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 10-Q</w:t>
      </w:r>
    </w:p>
    <w:p>
      <w:pPr>
        <w:spacing w:after="0" w:line="158"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QUARTERLY PERIOD ENDED June 30, 2020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OR</w:t>
      </w:r>
    </w:p>
    <w:p>
      <w:pPr>
        <w:spacing w:after="0" w:line="15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347" w:lineRule="exact"/>
        <w:rPr>
          <w:sz w:val="24"/>
          <w:szCs w:val="24"/>
          <w:color w:val="auto"/>
        </w:rPr>
      </w:pPr>
    </w:p>
    <w:p>
      <w:pPr>
        <w:ind w:left="2400"/>
        <w:spacing w:after="0"/>
        <w:rPr>
          <w:sz w:val="20"/>
          <w:szCs w:val="20"/>
          <w:color w:val="auto"/>
        </w:rPr>
      </w:pPr>
      <w:r>
        <w:rPr>
          <w:rFonts w:ascii="Arial" w:cs="Arial" w:eastAsia="Arial" w:hAnsi="Arial"/>
          <w:sz w:val="18"/>
          <w:szCs w:val="18"/>
          <w:color w:val="auto"/>
        </w:rPr>
        <w:t>For the Transition Period from __________________  to _________________________</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001-33650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CALADRIUS BIOSCIENCES, INC.</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30" w:lineRule="exact"/>
        <w:rPr>
          <w:sz w:val="24"/>
          <w:szCs w:val="24"/>
          <w:color w:val="auto"/>
        </w:rPr>
      </w:pPr>
    </w:p>
    <w:tbl>
      <w:tblPr>
        <w:tblLayout w:type="fixed"/>
        <w:tblInd w:w="900" w:type="dxa"/>
        <w:tblCellMar>
          <w:top w:w="0" w:type="dxa"/>
          <w:left w:w="0" w:type="dxa"/>
          <w:bottom w:w="0" w:type="dxa"/>
          <w:right w:w="0" w:type="dxa"/>
        </w:tblCellMar>
      </w:tblPr>
      <w:tr>
        <w:trPr>
          <w:trHeight w:val="230"/>
        </w:trPr>
        <w:tc>
          <w:tcPr>
            <w:tcW w:w="5360" w:type="dxa"/>
            <w:vAlign w:val="bottom"/>
          </w:tcPr>
          <w:p>
            <w:pPr>
              <w:jc w:val="center"/>
              <w:ind w:right="970"/>
              <w:spacing w:after="0"/>
              <w:rPr>
                <w:sz w:val="20"/>
                <w:szCs w:val="20"/>
                <w:color w:val="auto"/>
              </w:rPr>
            </w:pPr>
            <w:r>
              <w:rPr>
                <w:rFonts w:ascii="Arial" w:cs="Arial" w:eastAsia="Arial" w:hAnsi="Arial"/>
                <w:sz w:val="18"/>
                <w:szCs w:val="18"/>
                <w:color w:val="auto"/>
                <w:w w:val="92"/>
              </w:rPr>
              <w:t>Delaware</w:t>
            </w:r>
          </w:p>
        </w:tc>
        <w:tc>
          <w:tcPr>
            <w:tcW w:w="3680" w:type="dxa"/>
            <w:vAlign w:val="bottom"/>
          </w:tcPr>
          <w:p>
            <w:pPr>
              <w:jc w:val="right"/>
              <w:ind w:right="770"/>
              <w:spacing w:after="0"/>
              <w:rPr>
                <w:sz w:val="20"/>
                <w:szCs w:val="20"/>
                <w:color w:val="auto"/>
              </w:rPr>
            </w:pPr>
            <w:r>
              <w:rPr>
                <w:rFonts w:ascii="Arial" w:cs="Arial" w:eastAsia="Arial" w:hAnsi="Arial"/>
                <w:sz w:val="18"/>
                <w:szCs w:val="18"/>
                <w:color w:val="auto"/>
              </w:rPr>
              <w:t>22-2343568</w:t>
            </w:r>
          </w:p>
        </w:tc>
      </w:tr>
      <w:tr>
        <w:trPr>
          <w:trHeight w:val="270"/>
        </w:trPr>
        <w:tc>
          <w:tcPr>
            <w:tcW w:w="5360" w:type="dxa"/>
            <w:vAlign w:val="bottom"/>
          </w:tcPr>
          <w:p>
            <w:pPr>
              <w:jc w:val="center"/>
              <w:ind w:right="9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tcPr>
          <w:p>
            <w:pPr>
              <w:jc w:val="center"/>
              <w:ind w:left="990"/>
              <w:spacing w:after="0"/>
              <w:rPr>
                <w:sz w:val="20"/>
                <w:szCs w:val="20"/>
                <w:color w:val="auto"/>
              </w:rPr>
            </w:pPr>
            <w:r>
              <w:rPr>
                <w:rFonts w:ascii="Arial" w:cs="Arial" w:eastAsia="Arial" w:hAnsi="Arial"/>
                <w:sz w:val="18"/>
                <w:szCs w:val="18"/>
                <w:color w:val="auto"/>
                <w:w w:val="93"/>
              </w:rPr>
              <w:t>(I.R.S. Employer Identification No.)</w:t>
            </w:r>
          </w:p>
        </w:tc>
      </w:tr>
      <w:tr>
        <w:trPr>
          <w:trHeight w:val="567"/>
        </w:trPr>
        <w:tc>
          <w:tcPr>
            <w:tcW w:w="5360" w:type="dxa"/>
            <w:vAlign w:val="bottom"/>
          </w:tcPr>
          <w:p>
            <w:pPr>
              <w:jc w:val="center"/>
              <w:ind w:right="990"/>
              <w:spacing w:after="0"/>
              <w:rPr>
                <w:sz w:val="20"/>
                <w:szCs w:val="20"/>
                <w:color w:val="auto"/>
              </w:rPr>
            </w:pPr>
            <w:r>
              <w:rPr>
                <w:rFonts w:ascii="Arial" w:cs="Arial" w:eastAsia="Arial" w:hAnsi="Arial"/>
                <w:sz w:val="18"/>
                <w:szCs w:val="18"/>
                <w:color w:val="auto"/>
                <w:w w:val="91"/>
              </w:rPr>
              <w:t>110 Allen Road, 2nd Floor, Basking Ridge, New Jersey</w:t>
            </w:r>
          </w:p>
        </w:tc>
        <w:tc>
          <w:tcPr>
            <w:tcW w:w="3680" w:type="dxa"/>
            <w:vAlign w:val="bottom"/>
          </w:tcPr>
          <w:p>
            <w:pPr>
              <w:jc w:val="right"/>
              <w:ind w:right="990"/>
              <w:spacing w:after="0"/>
              <w:rPr>
                <w:sz w:val="20"/>
                <w:szCs w:val="20"/>
                <w:color w:val="auto"/>
              </w:rPr>
            </w:pPr>
            <w:r>
              <w:rPr>
                <w:rFonts w:ascii="Arial" w:cs="Arial" w:eastAsia="Arial" w:hAnsi="Arial"/>
                <w:sz w:val="18"/>
                <w:szCs w:val="18"/>
                <w:color w:val="auto"/>
              </w:rPr>
              <w:t>07920</w:t>
            </w:r>
          </w:p>
        </w:tc>
      </w:tr>
      <w:tr>
        <w:trPr>
          <w:trHeight w:val="243"/>
        </w:trPr>
        <w:tc>
          <w:tcPr>
            <w:tcW w:w="5360" w:type="dxa"/>
            <w:vAlign w:val="bottom"/>
          </w:tcPr>
          <w:p>
            <w:pPr>
              <w:jc w:val="center"/>
              <w:ind w:right="97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left="990"/>
              <w:spacing w:after="0"/>
              <w:rPr>
                <w:sz w:val="20"/>
                <w:szCs w:val="20"/>
                <w:color w:val="auto"/>
              </w:rPr>
            </w:pPr>
            <w:r>
              <w:rPr>
                <w:rFonts w:ascii="Arial" w:cs="Arial" w:eastAsia="Arial" w:hAnsi="Arial"/>
                <w:sz w:val="18"/>
                <w:szCs w:val="18"/>
                <w:color w:val="auto"/>
                <w:w w:val="91"/>
              </w:rPr>
              <w:t>(zip code)</w:t>
            </w:r>
          </w:p>
        </w:tc>
      </w:tr>
    </w:tbl>
    <w:p>
      <w:pPr>
        <w:spacing w:after="0" w:line="32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Registrant’s telephone number, including area code: 908-842-0100</w:t>
      </w:r>
    </w:p>
    <w:p>
      <w:pPr>
        <w:spacing w:after="0" w:line="1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00"/>
          </w:cols>
          <w:pgMar w:left="320" w:top="1003" w:right="379" w:bottom="1440" w:gutter="0" w:footer="0" w:header="0"/>
        </w:sectPr>
      </w:pPr>
    </w:p>
    <w:p>
      <w:pPr>
        <w:spacing w:after="0" w:line="59" w:lineRule="exact"/>
        <w:rPr>
          <w:sz w:val="24"/>
          <w:szCs w:val="24"/>
          <w:color w:val="auto"/>
        </w:rPr>
      </w:pPr>
    </w:p>
    <w:p>
      <w:pPr>
        <w:ind w:left="122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88" w:lineRule="exact"/>
        <w:rPr>
          <w:sz w:val="24"/>
          <w:szCs w:val="24"/>
          <w:color w:val="auto"/>
        </w:rPr>
      </w:pPr>
    </w:p>
    <w:p>
      <w:pPr>
        <w:sectPr>
          <w:pgSz w:w="11900" w:h="16838" w:orient="portrait"/>
          <w:cols w:equalWidth="0" w:num="3">
            <w:col w:w="4200" w:space="720"/>
            <w:col w:w="2060" w:space="720"/>
            <w:col w:w="3500"/>
          </w:cols>
          <w:pgMar w:left="320" w:top="1003" w:right="379" w:bottom="1440" w:gutter="0" w:footer="0" w:header="0"/>
          <w:type w:val="continuous"/>
        </w:sectPr>
      </w:pPr>
    </w:p>
    <w:p>
      <w:pPr>
        <w:spacing w:after="0" w:line="1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CLBS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Capital Market</w:t>
      </w:r>
    </w:p>
    <w:p>
      <w:pPr>
        <w:spacing w:after="0" w:line="149" w:lineRule="exact"/>
        <w:rPr>
          <w:sz w:val="24"/>
          <w:szCs w:val="24"/>
          <w:color w:val="auto"/>
        </w:rPr>
      </w:pPr>
    </w:p>
    <w:p>
      <w:pPr>
        <w:sectPr>
          <w:pgSz w:w="11900" w:h="16838" w:orient="portrait"/>
          <w:cols w:equalWidth="0" w:num="3">
            <w:col w:w="4700" w:space="720"/>
            <w:col w:w="2240" w:space="720"/>
            <w:col w:w="2820"/>
          </w:cols>
          <w:pgMar w:left="320" w:top="1003" w:right="379" w:bottom="1440" w:gutter="0" w:footer="0" w:header="0"/>
          <w:type w:val="continuous"/>
        </w:sectPr>
      </w:pPr>
    </w:p>
    <w:p>
      <w:pPr>
        <w:jc w:val="center"/>
        <w:ind w:right="-13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both"/>
        <w:ind w:left="120"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120"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120" w:firstLine="24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0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0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780" w:type="dxa"/>
            <w:vAlign w:val="bottom"/>
          </w:tcPr>
          <w:p>
            <w:pPr>
              <w:ind w:left="230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200"/>
          </w:cols>
          <w:pgMar w:left="320" w:top="1003" w:right="379" w:bottom="1440" w:gutter="0" w:footer="0" w:header="0"/>
          <w:type w:val="continuous"/>
        </w:sectPr>
      </w:pPr>
    </w:p>
    <w:p>
      <w:pPr>
        <w:spacing w:after="0" w:line="154" w:lineRule="exact"/>
        <w:rPr>
          <w:sz w:val="24"/>
          <w:szCs w:val="24"/>
          <w:color w:val="auto"/>
        </w:rPr>
      </w:pPr>
    </w:p>
    <w:p>
      <w:pPr>
        <w:ind w:left="1020"/>
        <w:spacing w:after="0"/>
        <w:rPr>
          <w:sz w:val="20"/>
          <w:szCs w:val="20"/>
          <w:color w:val="auto"/>
        </w:rPr>
      </w:pPr>
      <w:r>
        <w:rPr>
          <w:rFonts w:ascii="Arial" w:cs="Arial" w:eastAsia="Arial" w:hAnsi="Arial"/>
          <w:sz w:val="15"/>
          <w:szCs w:val="15"/>
          <w:b w:val="1"/>
          <w:bCs w:val="1"/>
          <w:color w:val="auto"/>
        </w:rPr>
        <w:t>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Outstanding as of Aug 13th, 2020</w:t>
      </w:r>
    </w:p>
    <w:p>
      <w:pPr>
        <w:spacing w:after="0" w:line="90" w:lineRule="exact"/>
        <w:rPr>
          <w:sz w:val="24"/>
          <w:szCs w:val="24"/>
          <w:color w:val="auto"/>
        </w:rPr>
      </w:pPr>
    </w:p>
    <w:p>
      <w:pPr>
        <w:sectPr>
          <w:pgSz w:w="11900" w:h="16838" w:orient="portrait"/>
          <w:cols w:equalWidth="0" w:num="2">
            <w:col w:w="6560" w:space="720"/>
            <w:col w:w="3920"/>
          </w:cols>
          <w:pgMar w:left="320" w:top="1003" w:right="379" w:bottom="1440" w:gutter="0" w:footer="0" w:header="0"/>
          <w:type w:val="continuous"/>
        </w:sectPr>
      </w:pPr>
    </w:p>
    <w:p>
      <w:pPr>
        <w:ind w:left="1020"/>
        <w:spacing w:after="0"/>
        <w:rPr>
          <w:sz w:val="20"/>
          <w:szCs w:val="20"/>
          <w:color w:val="auto"/>
        </w:rPr>
      </w:pPr>
      <w:r>
        <w:rPr>
          <w:rFonts w:ascii="Arial" w:cs="Arial" w:eastAsia="Arial" w:hAnsi="Arial"/>
          <w:sz w:val="16"/>
          <w:szCs w:val="16"/>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1006475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tabs>
          <w:tab w:leader="none" w:pos="940" w:val="left"/>
        </w:tabs>
        <w:rPr>
          <w:sz w:val="20"/>
          <w:szCs w:val="20"/>
          <w:color w:val="auto"/>
        </w:rPr>
      </w:pPr>
      <w:r>
        <w:rPr>
          <w:rFonts w:ascii="Arial" w:cs="Arial" w:eastAsia="Arial" w:hAnsi="Arial"/>
          <w:sz w:val="18"/>
          <w:szCs w:val="18"/>
          <w:color w:val="auto"/>
        </w:rPr>
        <w:t>19,323,107</w:t>
      </w:r>
      <w:r>
        <w:rPr>
          <w:sz w:val="20"/>
          <w:szCs w:val="20"/>
          <w:color w:val="auto"/>
        </w:rPr>
        <w:tab/>
      </w:r>
      <w:r>
        <w:rPr>
          <w:rFonts w:ascii="Arial" w:cs="Arial" w:eastAsia="Arial" w:hAnsi="Arial"/>
          <w:sz w:val="13"/>
          <w:szCs w:val="13"/>
          <w:color w:val="auto"/>
        </w:rPr>
        <w:t>shares</w:t>
      </w:r>
    </w:p>
    <w:p>
      <w:pPr>
        <w:sectPr>
          <w:pgSz w:w="11900" w:h="16838" w:orient="portrait"/>
          <w:cols w:equalWidth="0" w:num="2">
            <w:col w:w="6920" w:space="720"/>
            <w:col w:w="3560"/>
          </w:cols>
          <w:pgMar w:left="320" w:top="1003" w:right="37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“likely,” “believe,” “could,” “anticipate,” “estimate,” “continue”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spacing w:after="0" w:line="309" w:lineRule="exact"/>
        <w:rPr>
          <w:sz w:val="20"/>
          <w:szCs w:val="20"/>
          <w:color w:val="auto"/>
        </w:rPr>
      </w:pPr>
    </w:p>
    <w:p>
      <w:pPr>
        <w:jc w:val="both"/>
        <w:ind w:left="6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sufficient capital or strategic business arrangements to fund our operations and expansion plans, including meeting our financial obligations under various licensing and other strategic arrangements, the funding of our clinical trials for product candidates, and the commercialization of the relevant technology;</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build and maintain the management and human resources infrastructure necessary to support the growth of our business;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 market is established for our cell-based products and services and our ability to capture a meaningful share of this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scientific, regulatory and medical developments beyond our control;</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potential strategic or financial benefits of various licensing agreements will be realized;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development activities;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other planned clinical trials (or initiate other trials) in accordance with our estimated timelines due to delays associated with enrolling patients due to the novelty of the treatment, the size of the patient population and the need of patients to meet the inclusion criteria of the trial or otherwise;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COVID-19 coronavirus may impact our business, including our clinical trials and financial condition;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in "Risk Factors" in our Annual Report on Form 10-K filed with the Securities and Exchange Commission (the "SEC") on March 5, 2020 (our "2019 Form 10-K").</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factors discussed herein, including those risks described in "Item 1A. Risk Factors" and elsewhere in our 2019 Form 10-K and in our other periodic filings with the SEC, which are available for review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reliance on these forward-looking statements, which speak only as of the date they were made. Except as required by law, we undertake no obligation to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TABLE OF CONTENTS</w:t>
      </w:r>
    </w:p>
    <w:p>
      <w:pPr>
        <w:spacing w:after="0" w:line="149" w:lineRule="exact"/>
        <w:rPr>
          <w:sz w:val="20"/>
          <w:szCs w:val="20"/>
          <w:color w:val="auto"/>
        </w:rPr>
      </w:pPr>
    </w:p>
    <w:tbl>
      <w:tblPr>
        <w:tblLayout w:type="fixed"/>
        <w:tblInd w:w="300" w:type="dxa"/>
        <w:tblCellMar>
          <w:top w:w="0" w:type="dxa"/>
          <w:left w:w="0" w:type="dxa"/>
          <w:bottom w:w="0" w:type="dxa"/>
          <w:right w:w="0" w:type="dxa"/>
        </w:tblCellMar>
      </w:tblPr>
      <w:tr>
        <w:trPr>
          <w:trHeight w:val="243"/>
        </w:trPr>
        <w:tc>
          <w:tcPr>
            <w:tcW w:w="780" w:type="dxa"/>
            <w:vAlign w:val="bottom"/>
            <w:shd w:val="clear" w:color="auto" w:fill="CCEEFF"/>
          </w:tcPr>
          <w:p>
            <w:pPr>
              <w:spacing w:after="0"/>
              <w:rPr>
                <w:sz w:val="21"/>
                <w:szCs w:val="21"/>
                <w:color w:val="auto"/>
              </w:rPr>
            </w:pPr>
          </w:p>
        </w:tc>
        <w:tc>
          <w:tcPr>
            <w:tcW w:w="8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0000FF"/>
              </w:rPr>
              <w:t>PART I- FINANCIAL INFORMATION</w:t>
            </w:r>
          </w:p>
        </w:tc>
        <w:tc>
          <w:tcPr>
            <w:tcW w:w="11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w w:val="96"/>
              </w:rPr>
              <w:t>Page No.</w:t>
            </w:r>
          </w:p>
        </w:tc>
      </w:tr>
      <w:tr>
        <w:trPr>
          <w:trHeight w:val="233"/>
        </w:trPr>
        <w:tc>
          <w:tcPr>
            <w:tcW w:w="780" w:type="dxa"/>
            <w:vAlign w:val="bottom"/>
          </w:tcPr>
          <w:p>
            <w:pPr>
              <w:spacing w:after="0"/>
              <w:rPr>
                <w:sz w:val="20"/>
                <w:szCs w:val="20"/>
                <w:color w:val="auto"/>
              </w:rPr>
            </w:pPr>
            <w:r>
              <w:rPr>
                <w:rFonts w:ascii="Arial" w:cs="Arial" w:eastAsia="Arial" w:hAnsi="Arial"/>
                <w:sz w:val="16"/>
                <w:szCs w:val="16"/>
                <w:b w:val="1"/>
                <w:bCs w:val="1"/>
                <w:color w:val="0000FF"/>
              </w:rPr>
              <w:t>Item 1.</w:t>
            </w:r>
          </w:p>
        </w:tc>
        <w:tc>
          <w:tcPr>
            <w:tcW w:w="8920" w:type="dxa"/>
            <w:vAlign w:val="bottom"/>
          </w:tcPr>
          <w:p>
            <w:pPr>
              <w:ind w:left="160"/>
              <w:spacing w:after="0"/>
              <w:rPr>
                <w:rFonts w:ascii="Arial" w:cs="Arial" w:eastAsia="Arial" w:hAnsi="Arial"/>
                <w:sz w:val="16"/>
                <w:szCs w:val="16"/>
                <w:b w:val="1"/>
                <w:bCs w:val="1"/>
                <w:u w:val="single" w:color="auto"/>
                <w:color w:val="0000FF"/>
              </w:rPr>
            </w:pPr>
            <w:hyperlink w:anchor="page3">
              <w:r>
                <w:rPr>
                  <w:rFonts w:ascii="Arial" w:cs="Arial" w:eastAsia="Arial" w:hAnsi="Arial"/>
                  <w:sz w:val="16"/>
                  <w:szCs w:val="16"/>
                  <w:b w:val="1"/>
                  <w:bCs w:val="1"/>
                  <w:u w:val="single" w:color="auto"/>
                  <w:color w:val="0000FF"/>
                </w:rPr>
                <w:t>Financial Statements:</w:t>
              </w:r>
            </w:hyperlink>
          </w:p>
        </w:tc>
        <w:tc>
          <w:tcPr>
            <w:tcW w:w="1140" w:type="dxa"/>
            <w:vAlign w:val="bottom"/>
          </w:tcPr>
          <w:p>
            <w:pPr>
              <w:jc w:val="center"/>
              <w:ind w:left="339"/>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5</w:t>
              </w:r>
            </w:hyperlink>
          </w:p>
        </w:tc>
      </w:tr>
      <w:tr>
        <w:trPr>
          <w:trHeight w:val="253"/>
        </w:trPr>
        <w:tc>
          <w:tcPr>
            <w:tcW w:w="780" w:type="dxa"/>
            <w:vAlign w:val="bottom"/>
            <w:shd w:val="clear" w:color="auto" w:fill="CCEEFF"/>
          </w:tcPr>
          <w:p>
            <w:pPr>
              <w:spacing w:after="0"/>
              <w:rPr>
                <w:sz w:val="21"/>
                <w:szCs w:val="21"/>
                <w:color w:val="auto"/>
              </w:rPr>
            </w:pPr>
          </w:p>
        </w:tc>
        <w:tc>
          <w:tcPr>
            <w:tcW w:w="8920" w:type="dxa"/>
            <w:vAlign w:val="bottom"/>
            <w:shd w:val="clear" w:color="auto" w:fill="CCEEFF"/>
          </w:tcPr>
          <w:p>
            <w:pPr>
              <w:ind w:left="160"/>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Consolidated Balance Sheets at June 30, 2020 (unaudited) and December 31, 2019</w:t>
              </w:r>
            </w:hyperlink>
          </w:p>
        </w:tc>
        <w:tc>
          <w:tcPr>
            <w:tcW w:w="1140" w:type="dxa"/>
            <w:vAlign w:val="bottom"/>
            <w:shd w:val="clear" w:color="auto" w:fill="CCEEFF"/>
          </w:tcPr>
          <w:p>
            <w:pPr>
              <w:jc w:val="center"/>
              <w:ind w:left="339"/>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5</w:t>
              </w:r>
            </w:hyperlink>
          </w:p>
        </w:tc>
      </w:tr>
      <w:tr>
        <w:trPr>
          <w:trHeight w:val="233"/>
        </w:trPr>
        <w:tc>
          <w:tcPr>
            <w:tcW w:w="780" w:type="dxa"/>
            <w:vAlign w:val="bottom"/>
          </w:tcPr>
          <w:p>
            <w:pPr>
              <w:spacing w:after="0"/>
              <w:rPr>
                <w:sz w:val="20"/>
                <w:szCs w:val="20"/>
                <w:color w:val="auto"/>
              </w:rPr>
            </w:pPr>
          </w:p>
        </w:tc>
        <w:tc>
          <w:tcPr>
            <w:tcW w:w="8920" w:type="dxa"/>
            <w:vAlign w:val="bottom"/>
          </w:tcPr>
          <w:p>
            <w:pPr>
              <w:ind w:left="160"/>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Consolidated Statements of Operations for the three and six months ended June 30, 2020 and 2019 (unaudited)</w:t>
              </w:r>
            </w:hyperlink>
          </w:p>
        </w:tc>
        <w:tc>
          <w:tcPr>
            <w:tcW w:w="1140" w:type="dxa"/>
            <w:vAlign w:val="bottom"/>
          </w:tcPr>
          <w:p>
            <w:pPr>
              <w:jc w:val="center"/>
              <w:ind w:left="339"/>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6</w:t>
              </w:r>
            </w:hyperlink>
          </w:p>
        </w:tc>
      </w:tr>
      <w:tr>
        <w:trPr>
          <w:trHeight w:val="253"/>
        </w:trPr>
        <w:tc>
          <w:tcPr>
            <w:tcW w:w="780" w:type="dxa"/>
            <w:vAlign w:val="bottom"/>
            <w:shd w:val="clear" w:color="auto" w:fill="CCEEFF"/>
          </w:tcPr>
          <w:p>
            <w:pPr>
              <w:spacing w:after="0"/>
              <w:rPr>
                <w:sz w:val="21"/>
                <w:szCs w:val="21"/>
                <w:color w:val="auto"/>
              </w:rPr>
            </w:pPr>
          </w:p>
        </w:tc>
        <w:tc>
          <w:tcPr>
            <w:tcW w:w="8920" w:type="dxa"/>
            <w:vAlign w:val="bottom"/>
            <w:shd w:val="clear" w:color="auto" w:fill="CCEEFF"/>
          </w:tcPr>
          <w:p>
            <w:pPr>
              <w:ind w:left="160"/>
              <w:spacing w:after="0"/>
              <w:rPr>
                <w:rFonts w:ascii="Arial" w:cs="Arial" w:eastAsia="Arial" w:hAnsi="Arial"/>
                <w:sz w:val="16"/>
                <w:szCs w:val="16"/>
                <w:b w:val="1"/>
                <w:bCs w:val="1"/>
                <w:color w:val="0000FF"/>
                <w:w w:val="94"/>
              </w:rPr>
            </w:pPr>
            <w:hyperlink w:anchor="page5">
              <w:r>
                <w:rPr>
                  <w:rFonts w:ascii="Arial" w:cs="Arial" w:eastAsia="Arial" w:hAnsi="Arial"/>
                  <w:sz w:val="16"/>
                  <w:szCs w:val="16"/>
                  <w:b w:val="1"/>
                  <w:bCs w:val="1"/>
                  <w:color w:val="0000FF"/>
                  <w:w w:val="94"/>
                </w:rPr>
                <w:t>Consolidated Statements of Comprehensive Loss for the three and six months ended June 30, 2020 and 2019 (unaudited)</w:t>
              </w:r>
            </w:hyperlink>
          </w:p>
        </w:tc>
        <w:tc>
          <w:tcPr>
            <w:tcW w:w="1140" w:type="dxa"/>
            <w:vAlign w:val="bottom"/>
            <w:shd w:val="clear" w:color="auto" w:fill="CCEEFF"/>
          </w:tcPr>
          <w:p>
            <w:pPr>
              <w:jc w:val="center"/>
              <w:ind w:left="339"/>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7</w:t>
              </w:r>
            </w:hyperlink>
          </w:p>
        </w:tc>
      </w:tr>
      <w:tr>
        <w:trPr>
          <w:trHeight w:val="233"/>
        </w:trPr>
        <w:tc>
          <w:tcPr>
            <w:tcW w:w="780" w:type="dxa"/>
            <w:vAlign w:val="bottom"/>
          </w:tcPr>
          <w:p>
            <w:pPr>
              <w:spacing w:after="0"/>
              <w:rPr>
                <w:sz w:val="20"/>
                <w:szCs w:val="20"/>
                <w:color w:val="auto"/>
              </w:rPr>
            </w:pPr>
          </w:p>
        </w:tc>
        <w:tc>
          <w:tcPr>
            <w:tcW w:w="8920" w:type="dxa"/>
            <w:vAlign w:val="bottom"/>
          </w:tcPr>
          <w:p>
            <w:pPr>
              <w:ind w:left="160"/>
              <w:spacing w:after="0"/>
              <w:rPr>
                <w:rFonts w:ascii="Arial" w:cs="Arial" w:eastAsia="Arial" w:hAnsi="Arial"/>
                <w:sz w:val="16"/>
                <w:szCs w:val="16"/>
                <w:b w:val="1"/>
                <w:bCs w:val="1"/>
                <w:color w:val="0000FF"/>
              </w:rPr>
            </w:pPr>
            <w:hyperlink w:anchor="page6">
              <w:r>
                <w:rPr>
                  <w:rFonts w:ascii="Arial" w:cs="Arial" w:eastAsia="Arial" w:hAnsi="Arial"/>
                  <w:sz w:val="16"/>
                  <w:szCs w:val="16"/>
                  <w:b w:val="1"/>
                  <w:bCs w:val="1"/>
                  <w:color w:val="0000FF"/>
                </w:rPr>
                <w:t>Consolidated Statements of Equity for the three and six months ended June 30, 2020 and 2019 (unaudited)</w:t>
              </w:r>
            </w:hyperlink>
          </w:p>
        </w:tc>
        <w:tc>
          <w:tcPr>
            <w:tcW w:w="1140" w:type="dxa"/>
            <w:vAlign w:val="bottom"/>
          </w:tcPr>
          <w:p>
            <w:pPr>
              <w:jc w:val="center"/>
              <w:ind w:left="339"/>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8</w:t>
              </w:r>
            </w:hyperlink>
          </w:p>
        </w:tc>
      </w:tr>
      <w:tr>
        <w:trPr>
          <w:trHeight w:val="253"/>
        </w:trPr>
        <w:tc>
          <w:tcPr>
            <w:tcW w:w="780" w:type="dxa"/>
            <w:vAlign w:val="bottom"/>
            <w:shd w:val="clear" w:color="auto" w:fill="CCEEFF"/>
          </w:tcPr>
          <w:p>
            <w:pPr>
              <w:spacing w:after="0"/>
              <w:rPr>
                <w:sz w:val="21"/>
                <w:szCs w:val="21"/>
                <w:color w:val="auto"/>
              </w:rPr>
            </w:pPr>
          </w:p>
        </w:tc>
        <w:tc>
          <w:tcPr>
            <w:tcW w:w="8920" w:type="dxa"/>
            <w:vAlign w:val="bottom"/>
            <w:shd w:val="clear" w:color="auto" w:fill="CCEEFF"/>
          </w:tcPr>
          <w:p>
            <w:pPr>
              <w:ind w:left="160"/>
              <w:spacing w:after="0"/>
              <w:rPr>
                <w:rFonts w:ascii="Arial" w:cs="Arial" w:eastAsia="Arial" w:hAnsi="Arial"/>
                <w:sz w:val="16"/>
                <w:szCs w:val="16"/>
                <w:b w:val="1"/>
                <w:bCs w:val="1"/>
                <w:color w:val="0000FF"/>
              </w:rPr>
            </w:pPr>
            <w:hyperlink w:anchor="page8">
              <w:r>
                <w:rPr>
                  <w:rFonts w:ascii="Arial" w:cs="Arial" w:eastAsia="Arial" w:hAnsi="Arial"/>
                  <w:sz w:val="16"/>
                  <w:szCs w:val="16"/>
                  <w:b w:val="1"/>
                  <w:bCs w:val="1"/>
                  <w:color w:val="0000FF"/>
                </w:rPr>
                <w:t>Consolidated Statements of Cash Flows for the six months ended June 30, 2020 and 2019 (unaudited)</w:t>
              </w:r>
            </w:hyperlink>
          </w:p>
        </w:tc>
        <w:tc>
          <w:tcPr>
            <w:tcW w:w="1140" w:type="dxa"/>
            <w:vAlign w:val="bottom"/>
            <w:shd w:val="clear" w:color="auto" w:fill="CCEEFF"/>
          </w:tcPr>
          <w:p>
            <w:pPr>
              <w:jc w:val="center"/>
              <w:ind w:left="339"/>
              <w:spacing w:after="0"/>
              <w:rPr>
                <w:rFonts w:ascii="Arial" w:cs="Arial" w:eastAsia="Arial" w:hAnsi="Arial"/>
                <w:sz w:val="16"/>
                <w:szCs w:val="16"/>
                <w:color w:val="0000FF"/>
                <w:w w:val="89"/>
              </w:rPr>
            </w:pPr>
            <w:hyperlink w:anchor="page8">
              <w:r>
                <w:rPr>
                  <w:rFonts w:ascii="Arial" w:cs="Arial" w:eastAsia="Arial" w:hAnsi="Arial"/>
                  <w:sz w:val="16"/>
                  <w:szCs w:val="16"/>
                  <w:color w:val="0000FF"/>
                  <w:w w:val="89"/>
                </w:rPr>
                <w:t>10</w:t>
              </w:r>
            </w:hyperlink>
          </w:p>
        </w:tc>
      </w:tr>
      <w:tr>
        <w:trPr>
          <w:trHeight w:val="233"/>
        </w:trPr>
        <w:tc>
          <w:tcPr>
            <w:tcW w:w="780" w:type="dxa"/>
            <w:vAlign w:val="bottom"/>
          </w:tcPr>
          <w:p>
            <w:pPr>
              <w:spacing w:after="0"/>
              <w:rPr>
                <w:sz w:val="20"/>
                <w:szCs w:val="20"/>
                <w:color w:val="auto"/>
              </w:rPr>
            </w:pPr>
          </w:p>
        </w:tc>
        <w:tc>
          <w:tcPr>
            <w:tcW w:w="8920" w:type="dxa"/>
            <w:vAlign w:val="bottom"/>
          </w:tcPr>
          <w:p>
            <w:pPr>
              <w:ind w:left="160"/>
              <w:spacing w:after="0"/>
              <w:rPr>
                <w:sz w:val="20"/>
                <w:szCs w:val="20"/>
                <w:color w:val="auto"/>
              </w:rPr>
            </w:pPr>
            <w:r>
              <w:rPr>
                <w:rFonts w:ascii="Arial" w:cs="Arial" w:eastAsia="Arial" w:hAnsi="Arial"/>
                <w:sz w:val="16"/>
                <w:szCs w:val="16"/>
                <w:b w:val="1"/>
                <w:bCs w:val="1"/>
                <w:color w:val="0000FF"/>
              </w:rPr>
              <w:t>Notes to Unaudited Consolidated Financial Statements</w:t>
            </w:r>
          </w:p>
        </w:tc>
        <w:tc>
          <w:tcPr>
            <w:tcW w:w="1140" w:type="dxa"/>
            <w:vAlign w:val="bottom"/>
          </w:tcPr>
          <w:p>
            <w:pPr>
              <w:jc w:val="center"/>
              <w:ind w:left="339"/>
              <w:spacing w:after="0"/>
              <w:rPr>
                <w:rFonts w:ascii="Arial" w:cs="Arial" w:eastAsia="Arial" w:hAnsi="Arial"/>
                <w:sz w:val="16"/>
                <w:szCs w:val="16"/>
                <w:color w:val="0000FF"/>
                <w:w w:val="89"/>
              </w:rPr>
            </w:pPr>
            <w:hyperlink w:anchor="page9">
              <w:r>
                <w:rPr>
                  <w:rFonts w:ascii="Arial" w:cs="Arial" w:eastAsia="Arial" w:hAnsi="Arial"/>
                  <w:sz w:val="16"/>
                  <w:szCs w:val="16"/>
                  <w:color w:val="0000FF"/>
                  <w:w w:val="89"/>
                </w:rPr>
                <w:t>11</w:t>
              </w:r>
            </w:hyperlink>
          </w:p>
        </w:tc>
      </w:tr>
      <w:tr>
        <w:trPr>
          <w:trHeight w:val="253"/>
        </w:trPr>
        <w:tc>
          <w:tcPr>
            <w:tcW w:w="780" w:type="dxa"/>
            <w:vAlign w:val="bottom"/>
            <w:shd w:val="clear" w:color="auto" w:fill="CCEEFF"/>
          </w:tcPr>
          <w:p>
            <w:pPr>
              <w:spacing w:after="0"/>
              <w:rPr>
                <w:sz w:val="20"/>
                <w:szCs w:val="20"/>
                <w:color w:val="auto"/>
              </w:rPr>
            </w:pPr>
            <w:r>
              <w:rPr>
                <w:rFonts w:ascii="Arial" w:cs="Arial" w:eastAsia="Arial" w:hAnsi="Arial"/>
                <w:sz w:val="16"/>
                <w:szCs w:val="16"/>
                <w:b w:val="1"/>
                <w:bCs w:val="1"/>
                <w:color w:val="0000FF"/>
              </w:rPr>
              <w:t>Item 2.</w:t>
            </w:r>
          </w:p>
        </w:tc>
        <w:tc>
          <w:tcPr>
            <w:tcW w:w="8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0000FF"/>
              </w:rPr>
              <w:t>Management’s Discussion and Analysis of Financial Condition and Results of Operations</w:t>
            </w:r>
          </w:p>
        </w:tc>
        <w:tc>
          <w:tcPr>
            <w:tcW w:w="1140" w:type="dxa"/>
            <w:vAlign w:val="bottom"/>
            <w:shd w:val="clear" w:color="auto" w:fill="CCEEFF"/>
          </w:tcPr>
          <w:p>
            <w:pPr>
              <w:jc w:val="center"/>
              <w:ind w:left="339"/>
              <w:spacing w:after="0"/>
              <w:rPr>
                <w:rFonts w:ascii="Arial" w:cs="Arial" w:eastAsia="Arial" w:hAnsi="Arial"/>
                <w:sz w:val="16"/>
                <w:szCs w:val="16"/>
                <w:color w:val="0000FF"/>
                <w:w w:val="89"/>
              </w:rPr>
            </w:pPr>
            <w:hyperlink w:anchor="page20">
              <w:r>
                <w:rPr>
                  <w:rFonts w:ascii="Arial" w:cs="Arial" w:eastAsia="Arial" w:hAnsi="Arial"/>
                  <w:sz w:val="16"/>
                  <w:szCs w:val="16"/>
                  <w:color w:val="0000FF"/>
                  <w:w w:val="89"/>
                </w:rPr>
                <w:t>22</w:t>
              </w:r>
            </w:hyperlink>
          </w:p>
        </w:tc>
      </w:tr>
      <w:tr>
        <w:trPr>
          <w:trHeight w:val="233"/>
        </w:trPr>
        <w:tc>
          <w:tcPr>
            <w:tcW w:w="780" w:type="dxa"/>
            <w:vAlign w:val="bottom"/>
          </w:tcPr>
          <w:p>
            <w:pPr>
              <w:spacing w:after="0"/>
              <w:rPr>
                <w:sz w:val="20"/>
                <w:szCs w:val="20"/>
                <w:color w:val="auto"/>
              </w:rPr>
            </w:pPr>
            <w:r>
              <w:rPr>
                <w:rFonts w:ascii="Arial" w:cs="Arial" w:eastAsia="Arial" w:hAnsi="Arial"/>
                <w:sz w:val="16"/>
                <w:szCs w:val="16"/>
                <w:b w:val="1"/>
                <w:bCs w:val="1"/>
                <w:color w:val="0000FF"/>
              </w:rPr>
              <w:t>Item 3.</w:t>
            </w:r>
          </w:p>
        </w:tc>
        <w:tc>
          <w:tcPr>
            <w:tcW w:w="8920" w:type="dxa"/>
            <w:vAlign w:val="bottom"/>
          </w:tcPr>
          <w:p>
            <w:pPr>
              <w:ind w:left="160"/>
              <w:spacing w:after="0"/>
              <w:rPr>
                <w:sz w:val="20"/>
                <w:szCs w:val="20"/>
                <w:color w:val="auto"/>
              </w:rPr>
            </w:pPr>
            <w:r>
              <w:rPr>
                <w:rFonts w:ascii="Arial" w:cs="Arial" w:eastAsia="Arial" w:hAnsi="Arial"/>
                <w:sz w:val="16"/>
                <w:szCs w:val="16"/>
                <w:b w:val="1"/>
                <w:bCs w:val="1"/>
                <w:color w:val="0000FF"/>
              </w:rPr>
              <w:t>Quantitative and Qualitative Disclosures About Market Risk</w:t>
            </w:r>
          </w:p>
        </w:tc>
        <w:tc>
          <w:tcPr>
            <w:tcW w:w="1140" w:type="dxa"/>
            <w:vAlign w:val="bottom"/>
          </w:tcPr>
          <w:p>
            <w:pPr>
              <w:jc w:val="center"/>
              <w:ind w:left="339"/>
              <w:spacing w:after="0"/>
              <w:rPr>
                <w:rFonts w:ascii="Arial" w:cs="Arial" w:eastAsia="Arial" w:hAnsi="Arial"/>
                <w:sz w:val="16"/>
                <w:szCs w:val="16"/>
                <w:color w:val="0000FF"/>
                <w:w w:val="89"/>
              </w:rPr>
            </w:pPr>
            <w:hyperlink w:anchor="page27">
              <w:r>
                <w:rPr>
                  <w:rFonts w:ascii="Arial" w:cs="Arial" w:eastAsia="Arial" w:hAnsi="Arial"/>
                  <w:sz w:val="16"/>
                  <w:szCs w:val="16"/>
                  <w:color w:val="0000FF"/>
                  <w:w w:val="89"/>
                </w:rPr>
                <w:t>28</w:t>
              </w:r>
            </w:hyperlink>
          </w:p>
        </w:tc>
      </w:tr>
      <w:tr>
        <w:trPr>
          <w:trHeight w:val="253"/>
        </w:trPr>
        <w:tc>
          <w:tcPr>
            <w:tcW w:w="780" w:type="dxa"/>
            <w:vAlign w:val="bottom"/>
            <w:shd w:val="clear" w:color="auto" w:fill="CCEEFF"/>
          </w:tcPr>
          <w:p>
            <w:pPr>
              <w:spacing w:after="0"/>
              <w:rPr>
                <w:sz w:val="20"/>
                <w:szCs w:val="20"/>
                <w:color w:val="auto"/>
              </w:rPr>
            </w:pPr>
            <w:r>
              <w:rPr>
                <w:rFonts w:ascii="Arial" w:cs="Arial" w:eastAsia="Arial" w:hAnsi="Arial"/>
                <w:sz w:val="16"/>
                <w:szCs w:val="16"/>
                <w:b w:val="1"/>
                <w:bCs w:val="1"/>
                <w:color w:val="0000FF"/>
              </w:rPr>
              <w:t>Item 4.</w:t>
            </w:r>
          </w:p>
        </w:tc>
        <w:tc>
          <w:tcPr>
            <w:tcW w:w="8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0000FF"/>
              </w:rPr>
              <w:t>Controls and Procedures</w:t>
            </w:r>
          </w:p>
        </w:tc>
        <w:tc>
          <w:tcPr>
            <w:tcW w:w="1140" w:type="dxa"/>
            <w:vAlign w:val="bottom"/>
            <w:shd w:val="clear" w:color="auto" w:fill="CCEEFF"/>
          </w:tcPr>
          <w:p>
            <w:pPr>
              <w:jc w:val="center"/>
              <w:ind w:left="339"/>
              <w:spacing w:after="0"/>
              <w:rPr>
                <w:rFonts w:ascii="Arial" w:cs="Arial" w:eastAsia="Arial" w:hAnsi="Arial"/>
                <w:sz w:val="16"/>
                <w:szCs w:val="16"/>
                <w:color w:val="0000FF"/>
                <w:w w:val="89"/>
              </w:rPr>
            </w:pPr>
            <w:hyperlink w:anchor="page27">
              <w:r>
                <w:rPr>
                  <w:rFonts w:ascii="Arial" w:cs="Arial" w:eastAsia="Arial" w:hAnsi="Arial"/>
                  <w:sz w:val="16"/>
                  <w:szCs w:val="16"/>
                  <w:color w:val="0000FF"/>
                  <w:w w:val="89"/>
                </w:rPr>
                <w:t>28</w:t>
              </w:r>
            </w:hyperlink>
          </w:p>
        </w:tc>
      </w:tr>
      <w:tr>
        <w:trPr>
          <w:trHeight w:val="233"/>
        </w:trPr>
        <w:tc>
          <w:tcPr>
            <w:tcW w:w="780" w:type="dxa"/>
            <w:vAlign w:val="bottom"/>
          </w:tcPr>
          <w:p>
            <w:pPr>
              <w:spacing w:after="0"/>
              <w:rPr>
                <w:sz w:val="20"/>
                <w:szCs w:val="20"/>
                <w:color w:val="auto"/>
              </w:rPr>
            </w:pPr>
          </w:p>
        </w:tc>
        <w:tc>
          <w:tcPr>
            <w:tcW w:w="8920" w:type="dxa"/>
            <w:vAlign w:val="bottom"/>
          </w:tcPr>
          <w:p>
            <w:pPr>
              <w:ind w:left="160"/>
              <w:spacing w:after="0"/>
              <w:rPr>
                <w:sz w:val="20"/>
                <w:szCs w:val="20"/>
                <w:color w:val="auto"/>
              </w:rPr>
            </w:pPr>
            <w:r>
              <w:rPr>
                <w:rFonts w:ascii="Arial" w:cs="Arial" w:eastAsia="Arial" w:hAnsi="Arial"/>
                <w:sz w:val="16"/>
                <w:szCs w:val="16"/>
                <w:b w:val="1"/>
                <w:bCs w:val="1"/>
                <w:color w:val="0000FF"/>
              </w:rPr>
              <w:t>PART II- OTHER INFORMATION</w:t>
            </w:r>
          </w:p>
        </w:tc>
        <w:tc>
          <w:tcPr>
            <w:tcW w:w="1140" w:type="dxa"/>
            <w:vAlign w:val="bottom"/>
          </w:tcPr>
          <w:p>
            <w:pPr>
              <w:spacing w:after="0"/>
              <w:rPr>
                <w:sz w:val="20"/>
                <w:szCs w:val="20"/>
                <w:color w:val="auto"/>
              </w:rPr>
            </w:pPr>
          </w:p>
        </w:tc>
      </w:tr>
      <w:tr>
        <w:trPr>
          <w:trHeight w:val="253"/>
        </w:trPr>
        <w:tc>
          <w:tcPr>
            <w:tcW w:w="780" w:type="dxa"/>
            <w:vAlign w:val="bottom"/>
            <w:shd w:val="clear" w:color="auto" w:fill="CCEEFF"/>
          </w:tcPr>
          <w:p>
            <w:pPr>
              <w:spacing w:after="0"/>
              <w:rPr>
                <w:sz w:val="20"/>
                <w:szCs w:val="20"/>
                <w:color w:val="auto"/>
              </w:rPr>
            </w:pPr>
            <w:r>
              <w:rPr>
                <w:rFonts w:ascii="Arial" w:cs="Arial" w:eastAsia="Arial" w:hAnsi="Arial"/>
                <w:sz w:val="16"/>
                <w:szCs w:val="16"/>
                <w:b w:val="1"/>
                <w:bCs w:val="1"/>
                <w:color w:val="0000FF"/>
              </w:rPr>
              <w:t>Item 1.</w:t>
            </w:r>
          </w:p>
        </w:tc>
        <w:tc>
          <w:tcPr>
            <w:tcW w:w="8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0000FF"/>
              </w:rPr>
              <w:t>Legal Proceedings</w:t>
            </w:r>
          </w:p>
        </w:tc>
        <w:tc>
          <w:tcPr>
            <w:tcW w:w="1140" w:type="dxa"/>
            <w:vAlign w:val="bottom"/>
            <w:shd w:val="clear" w:color="auto" w:fill="CCEEFF"/>
          </w:tcPr>
          <w:p>
            <w:pPr>
              <w:jc w:val="center"/>
              <w:ind w:left="339"/>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30</w:t>
              </w:r>
            </w:hyperlink>
          </w:p>
        </w:tc>
      </w:tr>
      <w:tr>
        <w:trPr>
          <w:trHeight w:val="233"/>
        </w:trPr>
        <w:tc>
          <w:tcPr>
            <w:tcW w:w="780" w:type="dxa"/>
            <w:vAlign w:val="bottom"/>
          </w:tcPr>
          <w:p>
            <w:pPr>
              <w:spacing w:after="0"/>
              <w:rPr>
                <w:sz w:val="20"/>
                <w:szCs w:val="20"/>
                <w:color w:val="auto"/>
              </w:rPr>
            </w:pPr>
            <w:r>
              <w:rPr>
                <w:rFonts w:ascii="Arial" w:cs="Arial" w:eastAsia="Arial" w:hAnsi="Arial"/>
                <w:sz w:val="16"/>
                <w:szCs w:val="16"/>
                <w:b w:val="1"/>
                <w:bCs w:val="1"/>
                <w:color w:val="0000FF"/>
              </w:rPr>
              <w:t>Item 1A.</w:t>
            </w:r>
          </w:p>
        </w:tc>
        <w:tc>
          <w:tcPr>
            <w:tcW w:w="8920" w:type="dxa"/>
            <w:vAlign w:val="bottom"/>
          </w:tcPr>
          <w:p>
            <w:pPr>
              <w:ind w:left="160"/>
              <w:spacing w:after="0"/>
              <w:rPr>
                <w:sz w:val="20"/>
                <w:szCs w:val="20"/>
                <w:color w:val="auto"/>
              </w:rPr>
            </w:pPr>
            <w:r>
              <w:rPr>
                <w:rFonts w:ascii="Arial" w:cs="Arial" w:eastAsia="Arial" w:hAnsi="Arial"/>
                <w:sz w:val="16"/>
                <w:szCs w:val="16"/>
                <w:b w:val="1"/>
                <w:bCs w:val="1"/>
                <w:color w:val="0000FF"/>
              </w:rPr>
              <w:t>Risk Factors</w:t>
            </w:r>
          </w:p>
        </w:tc>
        <w:tc>
          <w:tcPr>
            <w:tcW w:w="1140" w:type="dxa"/>
            <w:vAlign w:val="bottom"/>
          </w:tcPr>
          <w:p>
            <w:pPr>
              <w:jc w:val="center"/>
              <w:ind w:left="339"/>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30</w:t>
              </w:r>
            </w:hyperlink>
          </w:p>
        </w:tc>
      </w:tr>
      <w:tr>
        <w:trPr>
          <w:trHeight w:val="253"/>
        </w:trPr>
        <w:tc>
          <w:tcPr>
            <w:tcW w:w="780" w:type="dxa"/>
            <w:vAlign w:val="bottom"/>
            <w:shd w:val="clear" w:color="auto" w:fill="CCEEFF"/>
          </w:tcPr>
          <w:p>
            <w:pPr>
              <w:spacing w:after="0"/>
              <w:rPr>
                <w:sz w:val="20"/>
                <w:szCs w:val="20"/>
                <w:color w:val="auto"/>
              </w:rPr>
            </w:pPr>
            <w:r>
              <w:rPr>
                <w:rFonts w:ascii="Arial" w:cs="Arial" w:eastAsia="Arial" w:hAnsi="Arial"/>
                <w:sz w:val="16"/>
                <w:szCs w:val="16"/>
                <w:b w:val="1"/>
                <w:bCs w:val="1"/>
                <w:color w:val="0000FF"/>
              </w:rPr>
              <w:t>Item 2.</w:t>
            </w:r>
          </w:p>
        </w:tc>
        <w:tc>
          <w:tcPr>
            <w:tcW w:w="8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0000FF"/>
              </w:rPr>
              <w:t>Unregistered Sales of Equity Securities and Use of Proceeds</w:t>
            </w:r>
          </w:p>
        </w:tc>
        <w:tc>
          <w:tcPr>
            <w:tcW w:w="1140" w:type="dxa"/>
            <w:vAlign w:val="bottom"/>
            <w:shd w:val="clear" w:color="auto" w:fill="CCEEFF"/>
          </w:tcPr>
          <w:p>
            <w:pPr>
              <w:jc w:val="center"/>
              <w:ind w:left="339"/>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30</w:t>
              </w:r>
            </w:hyperlink>
          </w:p>
        </w:tc>
      </w:tr>
      <w:tr>
        <w:trPr>
          <w:trHeight w:val="233"/>
        </w:trPr>
        <w:tc>
          <w:tcPr>
            <w:tcW w:w="780" w:type="dxa"/>
            <w:vAlign w:val="bottom"/>
          </w:tcPr>
          <w:p>
            <w:pPr>
              <w:spacing w:after="0"/>
              <w:rPr>
                <w:sz w:val="20"/>
                <w:szCs w:val="20"/>
                <w:color w:val="auto"/>
              </w:rPr>
            </w:pPr>
            <w:r>
              <w:rPr>
                <w:rFonts w:ascii="Arial" w:cs="Arial" w:eastAsia="Arial" w:hAnsi="Arial"/>
                <w:sz w:val="16"/>
                <w:szCs w:val="16"/>
                <w:b w:val="1"/>
                <w:bCs w:val="1"/>
                <w:color w:val="0000FF"/>
              </w:rPr>
              <w:t>Item 3.</w:t>
            </w:r>
          </w:p>
        </w:tc>
        <w:tc>
          <w:tcPr>
            <w:tcW w:w="8920" w:type="dxa"/>
            <w:vAlign w:val="bottom"/>
          </w:tcPr>
          <w:p>
            <w:pPr>
              <w:ind w:left="160"/>
              <w:spacing w:after="0"/>
              <w:rPr>
                <w:sz w:val="20"/>
                <w:szCs w:val="20"/>
                <w:color w:val="auto"/>
              </w:rPr>
            </w:pPr>
            <w:r>
              <w:rPr>
                <w:rFonts w:ascii="Arial" w:cs="Arial" w:eastAsia="Arial" w:hAnsi="Arial"/>
                <w:sz w:val="16"/>
                <w:szCs w:val="16"/>
                <w:b w:val="1"/>
                <w:bCs w:val="1"/>
                <w:color w:val="0000FF"/>
              </w:rPr>
              <w:t>Defaults Upon Senior Securities</w:t>
            </w:r>
          </w:p>
        </w:tc>
        <w:tc>
          <w:tcPr>
            <w:tcW w:w="1140" w:type="dxa"/>
            <w:vAlign w:val="bottom"/>
          </w:tcPr>
          <w:p>
            <w:pPr>
              <w:jc w:val="center"/>
              <w:ind w:left="339"/>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30</w:t>
              </w:r>
            </w:hyperlink>
          </w:p>
        </w:tc>
      </w:tr>
      <w:tr>
        <w:trPr>
          <w:trHeight w:val="253"/>
        </w:trPr>
        <w:tc>
          <w:tcPr>
            <w:tcW w:w="780" w:type="dxa"/>
            <w:vAlign w:val="bottom"/>
            <w:shd w:val="clear" w:color="auto" w:fill="CCEEFF"/>
          </w:tcPr>
          <w:p>
            <w:pPr>
              <w:spacing w:after="0"/>
              <w:rPr>
                <w:sz w:val="20"/>
                <w:szCs w:val="20"/>
                <w:color w:val="auto"/>
              </w:rPr>
            </w:pPr>
            <w:r>
              <w:rPr>
                <w:rFonts w:ascii="Arial" w:cs="Arial" w:eastAsia="Arial" w:hAnsi="Arial"/>
                <w:sz w:val="16"/>
                <w:szCs w:val="16"/>
                <w:b w:val="1"/>
                <w:bCs w:val="1"/>
                <w:color w:val="0000FF"/>
              </w:rPr>
              <w:t>Item 4.</w:t>
            </w:r>
          </w:p>
        </w:tc>
        <w:tc>
          <w:tcPr>
            <w:tcW w:w="8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0000FF"/>
              </w:rPr>
              <w:t>Mine Safety Disclosures</w:t>
            </w:r>
          </w:p>
        </w:tc>
        <w:tc>
          <w:tcPr>
            <w:tcW w:w="1140" w:type="dxa"/>
            <w:vAlign w:val="bottom"/>
            <w:shd w:val="clear" w:color="auto" w:fill="CCEEFF"/>
          </w:tcPr>
          <w:p>
            <w:pPr>
              <w:jc w:val="center"/>
              <w:ind w:left="339"/>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30</w:t>
              </w:r>
            </w:hyperlink>
          </w:p>
        </w:tc>
      </w:tr>
      <w:tr>
        <w:trPr>
          <w:trHeight w:val="233"/>
        </w:trPr>
        <w:tc>
          <w:tcPr>
            <w:tcW w:w="780" w:type="dxa"/>
            <w:vAlign w:val="bottom"/>
          </w:tcPr>
          <w:p>
            <w:pPr>
              <w:spacing w:after="0"/>
              <w:rPr>
                <w:sz w:val="20"/>
                <w:szCs w:val="20"/>
                <w:color w:val="auto"/>
              </w:rPr>
            </w:pPr>
            <w:r>
              <w:rPr>
                <w:rFonts w:ascii="Arial" w:cs="Arial" w:eastAsia="Arial" w:hAnsi="Arial"/>
                <w:sz w:val="16"/>
                <w:szCs w:val="16"/>
                <w:b w:val="1"/>
                <w:bCs w:val="1"/>
                <w:color w:val="0000FF"/>
              </w:rPr>
              <w:t>Item 5.</w:t>
            </w:r>
          </w:p>
        </w:tc>
        <w:tc>
          <w:tcPr>
            <w:tcW w:w="8920" w:type="dxa"/>
            <w:vAlign w:val="bottom"/>
          </w:tcPr>
          <w:p>
            <w:pPr>
              <w:ind w:left="160"/>
              <w:spacing w:after="0"/>
              <w:rPr>
                <w:sz w:val="20"/>
                <w:szCs w:val="20"/>
                <w:color w:val="auto"/>
              </w:rPr>
            </w:pPr>
            <w:r>
              <w:rPr>
                <w:rFonts w:ascii="Arial" w:cs="Arial" w:eastAsia="Arial" w:hAnsi="Arial"/>
                <w:sz w:val="16"/>
                <w:szCs w:val="16"/>
                <w:b w:val="1"/>
                <w:bCs w:val="1"/>
                <w:color w:val="0000FF"/>
              </w:rPr>
              <w:t>Other Information</w:t>
            </w:r>
          </w:p>
        </w:tc>
        <w:tc>
          <w:tcPr>
            <w:tcW w:w="1140" w:type="dxa"/>
            <w:vAlign w:val="bottom"/>
          </w:tcPr>
          <w:p>
            <w:pPr>
              <w:jc w:val="center"/>
              <w:ind w:left="339"/>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30</w:t>
              </w:r>
            </w:hyperlink>
          </w:p>
        </w:tc>
      </w:tr>
      <w:tr>
        <w:trPr>
          <w:trHeight w:val="253"/>
        </w:trPr>
        <w:tc>
          <w:tcPr>
            <w:tcW w:w="780" w:type="dxa"/>
            <w:vAlign w:val="bottom"/>
            <w:shd w:val="clear" w:color="auto" w:fill="CCEEFF"/>
          </w:tcPr>
          <w:p>
            <w:pPr>
              <w:spacing w:after="0"/>
              <w:rPr>
                <w:sz w:val="20"/>
                <w:szCs w:val="20"/>
                <w:color w:val="auto"/>
              </w:rPr>
            </w:pPr>
            <w:r>
              <w:rPr>
                <w:rFonts w:ascii="Arial" w:cs="Arial" w:eastAsia="Arial" w:hAnsi="Arial"/>
                <w:sz w:val="16"/>
                <w:szCs w:val="16"/>
                <w:b w:val="1"/>
                <w:bCs w:val="1"/>
                <w:color w:val="0000FF"/>
              </w:rPr>
              <w:t>Item 6.</w:t>
            </w:r>
          </w:p>
        </w:tc>
        <w:tc>
          <w:tcPr>
            <w:tcW w:w="8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0000FF"/>
              </w:rPr>
              <w:t>Exhibits</w:t>
            </w:r>
          </w:p>
        </w:tc>
        <w:tc>
          <w:tcPr>
            <w:tcW w:w="1140" w:type="dxa"/>
            <w:vAlign w:val="bottom"/>
            <w:shd w:val="clear" w:color="auto" w:fill="CCEEFF"/>
          </w:tcPr>
          <w:p>
            <w:pPr>
              <w:jc w:val="center"/>
              <w:ind w:left="339"/>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30</w:t>
              </w:r>
            </w:hyperlink>
          </w:p>
        </w:tc>
      </w:tr>
      <w:tr>
        <w:trPr>
          <w:trHeight w:val="223"/>
        </w:trPr>
        <w:tc>
          <w:tcPr>
            <w:tcW w:w="780" w:type="dxa"/>
            <w:vAlign w:val="bottom"/>
          </w:tcPr>
          <w:p>
            <w:pPr>
              <w:spacing w:after="0"/>
              <w:rPr>
                <w:sz w:val="19"/>
                <w:szCs w:val="19"/>
                <w:color w:val="auto"/>
              </w:rPr>
            </w:pPr>
          </w:p>
        </w:tc>
        <w:tc>
          <w:tcPr>
            <w:tcW w:w="8920" w:type="dxa"/>
            <w:vAlign w:val="bottom"/>
          </w:tcPr>
          <w:p>
            <w:pPr>
              <w:ind w:left="160"/>
              <w:spacing w:after="0"/>
              <w:rPr>
                <w:sz w:val="20"/>
                <w:szCs w:val="20"/>
                <w:color w:val="auto"/>
              </w:rPr>
            </w:pPr>
            <w:r>
              <w:rPr>
                <w:rFonts w:ascii="Arial" w:cs="Arial" w:eastAsia="Arial" w:hAnsi="Arial"/>
                <w:sz w:val="16"/>
                <w:szCs w:val="16"/>
                <w:b w:val="1"/>
                <w:bCs w:val="1"/>
                <w:color w:val="0000FF"/>
              </w:rPr>
              <w:t>Signatures</w:t>
            </w:r>
          </w:p>
        </w:tc>
        <w:tc>
          <w:tcPr>
            <w:tcW w:w="1140" w:type="dxa"/>
            <w:vAlign w:val="bottom"/>
          </w:tcPr>
          <w:p>
            <w:pPr>
              <w:jc w:val="center"/>
              <w:ind w:left="339"/>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31</w:t>
              </w:r>
            </w:hyperlink>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thousands, except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Pr>
          <w:p>
            <w:pPr>
              <w:spacing w:after="0"/>
              <w:rPr>
                <w:sz w:val="17"/>
                <w:szCs w:val="17"/>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94"/>
              </w:rPr>
              <w:t>(Unaudited)</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26,684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14,032</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Marketable securities</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11,125</w:t>
            </w:r>
          </w:p>
        </w:tc>
        <w:tc>
          <w:tcPr>
            <w:tcW w:w="0" w:type="dxa"/>
            <w:vAlign w:val="bottom"/>
          </w:tcPr>
          <w:p>
            <w:pPr>
              <w:spacing w:after="0"/>
              <w:rPr>
                <w:sz w:val="1"/>
                <w:szCs w:val="1"/>
                <w:color w:val="auto"/>
              </w:rPr>
            </w:pPr>
          </w:p>
        </w:tc>
      </w:tr>
      <w:tr>
        <w:trPr>
          <w:trHeight w:val="224"/>
        </w:trPr>
        <w:tc>
          <w:tcPr>
            <w:tcW w:w="8180" w:type="dxa"/>
            <w:vAlign w:val="bottom"/>
          </w:tcPr>
          <w:p>
            <w:pPr>
              <w:ind w:left="220"/>
              <w:spacing w:after="0"/>
              <w:rPr>
                <w:sz w:val="20"/>
                <w:szCs w:val="20"/>
                <w:color w:val="auto"/>
              </w:rPr>
            </w:pPr>
            <w:r>
              <w:rPr>
                <w:rFonts w:ascii="Arial" w:cs="Arial" w:eastAsia="Arial" w:hAnsi="Arial"/>
                <w:sz w:val="16"/>
                <w:szCs w:val="16"/>
                <w:color w:val="auto"/>
              </w:rPr>
              <w:t>Prepaid and other current assets</w:t>
            </w:r>
          </w:p>
        </w:tc>
        <w:tc>
          <w:tcPr>
            <w:tcW w:w="20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1,735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36,626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25,972</w:t>
            </w:r>
          </w:p>
        </w:tc>
        <w:tc>
          <w:tcPr>
            <w:tcW w:w="0" w:type="dxa"/>
            <w:vAlign w:val="bottom"/>
          </w:tcPr>
          <w:p>
            <w:pPr>
              <w:spacing w:after="0"/>
              <w:rPr>
                <w:sz w:val="1"/>
                <w:szCs w:val="1"/>
                <w:color w:val="auto"/>
              </w:rPr>
            </w:pPr>
          </w:p>
        </w:tc>
      </w:tr>
      <w:tr>
        <w:trPr>
          <w:trHeight w:val="224"/>
        </w:trPr>
        <w:tc>
          <w:tcPr>
            <w:tcW w:w="818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47"/>
        </w:trPr>
        <w:tc>
          <w:tcPr>
            <w:tcW w:w="818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37,481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27,153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4,486</w:t>
            </w:r>
          </w:p>
        </w:tc>
        <w:tc>
          <w:tcPr>
            <w:tcW w:w="0" w:type="dxa"/>
            <w:vAlign w:val="bottom"/>
          </w:tcPr>
          <w:p>
            <w:pPr>
              <w:spacing w:after="0"/>
              <w:rPr>
                <w:sz w:val="1"/>
                <w:szCs w:val="1"/>
                <w:color w:val="auto"/>
              </w:rPr>
            </w:pPr>
          </w:p>
        </w:tc>
      </w:tr>
      <w:tr>
        <w:trPr>
          <w:trHeight w:val="217"/>
        </w:trPr>
        <w:tc>
          <w:tcPr>
            <w:tcW w:w="818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5,976</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17"/>
        </w:trPr>
        <w:tc>
          <w:tcPr>
            <w:tcW w:w="8180" w:type="dxa"/>
            <w:vAlign w:val="bottom"/>
          </w:tcPr>
          <w:p>
            <w:pPr>
              <w:ind w:left="46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3,925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6,600</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8180" w:type="dxa"/>
            <w:vAlign w:val="bottom"/>
          </w:tcPr>
          <w:p>
            <w:pPr>
              <w:ind w:left="260"/>
              <w:spacing w:after="0" w:line="166" w:lineRule="exact"/>
              <w:rPr>
                <w:sz w:val="20"/>
                <w:szCs w:val="20"/>
                <w:color w:val="auto"/>
              </w:rPr>
            </w:pPr>
            <w:r>
              <w:rPr>
                <w:rFonts w:ascii="Arial" w:cs="Arial" w:eastAsia="Arial" w:hAnsi="Arial"/>
                <w:sz w:val="16"/>
                <w:szCs w:val="16"/>
                <w:color w:val="auto"/>
              </w:rPr>
              <w:t>Preferred stock, authorized, 20,000,000 shares</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520"/>
              <w:spacing w:after="0" w:line="162" w:lineRule="exact"/>
              <w:rPr>
                <w:sz w:val="20"/>
                <w:szCs w:val="20"/>
                <w:color w:val="auto"/>
              </w:rPr>
            </w:pPr>
            <w:r>
              <w:rPr>
                <w:rFonts w:ascii="Arial" w:cs="Arial" w:eastAsia="Arial" w:hAnsi="Arial"/>
                <w:sz w:val="16"/>
                <w:szCs w:val="16"/>
                <w:color w:val="auto"/>
                <w:w w:val="95"/>
              </w:rPr>
              <w:t>Series B convertible redeemable preferred stock liquidation value, 0.001 share of common stock, $0.01 par value;</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520"/>
              <w:spacing w:after="0" w:line="162" w:lineRule="exact"/>
              <w:rPr>
                <w:sz w:val="20"/>
                <w:szCs w:val="20"/>
                <w:color w:val="auto"/>
              </w:rPr>
            </w:pPr>
            <w:r>
              <w:rPr>
                <w:rFonts w:ascii="Arial" w:cs="Arial" w:eastAsia="Arial" w:hAnsi="Arial"/>
                <w:sz w:val="16"/>
                <w:szCs w:val="16"/>
                <w:color w:val="auto"/>
                <w:w w:val="97"/>
              </w:rPr>
              <w:t>825,000 shares designated; issued and outstanding, 10,000 shares at June 30, 2020 and December 31, 2019,</w:t>
            </w:r>
          </w:p>
        </w:tc>
        <w:tc>
          <w:tcPr>
            <w:tcW w:w="200" w:type="dxa"/>
            <w:vAlign w:val="bottom"/>
          </w:tcPr>
          <w:p>
            <w:pPr>
              <w:spacing w:after="0"/>
              <w:rPr>
                <w:sz w:val="14"/>
                <w:szCs w:val="14"/>
                <w:color w:val="auto"/>
              </w:rPr>
            </w:pP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8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180" w:type="dxa"/>
            <w:vAlign w:val="bottom"/>
          </w:tcPr>
          <w:p>
            <w:pPr>
              <w:ind w:left="52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180" w:type="dxa"/>
            <w:vAlign w:val="bottom"/>
            <w:shd w:val="clear" w:color="auto" w:fill="CCEEFF"/>
          </w:tcPr>
          <w:p>
            <w:pPr>
              <w:ind w:left="260"/>
              <w:spacing w:after="0" w:line="169" w:lineRule="exact"/>
              <w:rPr>
                <w:sz w:val="20"/>
                <w:szCs w:val="20"/>
                <w:color w:val="auto"/>
              </w:rPr>
            </w:pPr>
            <w:r>
              <w:rPr>
                <w:rFonts w:ascii="Arial" w:cs="Arial" w:eastAsia="Arial" w:hAnsi="Arial"/>
                <w:sz w:val="16"/>
                <w:szCs w:val="16"/>
                <w:color w:val="auto"/>
                <w:w w:val="93"/>
              </w:rPr>
              <w:t>Common stock, $0.001 par value, authorized 500,000,000 shares; issued and outstanding, 15,585,194 and 10,528,689</w:t>
            </w: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shares at June 30, 2020 and December 31, 2019, respectively</w:t>
            </w:r>
          </w:p>
        </w:tc>
        <w:tc>
          <w:tcPr>
            <w:tcW w:w="2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449,302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438,911</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11,080 shares at June 30, 2020 and December 31, 2019</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23"/>
        </w:trPr>
        <w:tc>
          <w:tcPr>
            <w:tcW w:w="818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(414,792)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(417,400)</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 income</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8180" w:type="dxa"/>
            <w:vAlign w:val="bottom"/>
          </w:tcPr>
          <w:p>
            <w:pPr>
              <w:ind w:left="460"/>
              <w:spacing w:after="0"/>
              <w:rPr>
                <w:sz w:val="20"/>
                <w:szCs w:val="20"/>
                <w:color w:val="auto"/>
              </w:rPr>
            </w:pPr>
            <w:r>
              <w:rPr>
                <w:rFonts w:ascii="Arial" w:cs="Arial" w:eastAsia="Arial" w:hAnsi="Arial"/>
                <w:sz w:val="16"/>
                <w:szCs w:val="16"/>
                <w:color w:val="auto"/>
              </w:rPr>
              <w:t>Total Caladrius Biosciences, Inc. stockholders' equity</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33,811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20,816</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17"/>
        </w:trPr>
        <w:tc>
          <w:tcPr>
            <w:tcW w:w="8180" w:type="dxa"/>
            <w:vAlign w:val="bottom"/>
          </w:tcPr>
          <w:p>
            <w:pPr>
              <w:ind w:left="46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33,556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20,553</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37,481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27,153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6"/>
          </w:tcPr>
          <w:p>
            <w:pPr>
              <w:spacing w:after="0"/>
              <w:rPr>
                <w:sz w:val="20"/>
                <w:szCs w:val="20"/>
                <w:color w:val="auto"/>
              </w:rPr>
            </w:pPr>
            <w:r>
              <w:rPr>
                <w:rFonts w:ascii="Arial" w:cs="Arial" w:eastAsia="Arial" w:hAnsi="Arial"/>
                <w:sz w:val="16"/>
                <w:szCs w:val="16"/>
                <w:b w:val="1"/>
                <w:bCs w:val="1"/>
                <w:color w:val="auto"/>
              </w:rPr>
              <w:t>Three Months Ended June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w w:val="98"/>
              </w:rPr>
              <w:t>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w w:val="90"/>
              </w:rPr>
              <w:t>Six Months Ended June 30,</w:t>
            </w:r>
          </w:p>
        </w:tc>
        <w:tc>
          <w:tcPr>
            <w:tcW w:w="0" w:type="dxa"/>
            <w:vAlign w:val="bottom"/>
          </w:tcPr>
          <w:p>
            <w:pPr>
              <w:spacing w:after="0"/>
              <w:rPr>
                <w:sz w:val="1"/>
                <w:szCs w:val="1"/>
                <w:color w:val="auto"/>
              </w:rPr>
            </w:pPr>
          </w:p>
        </w:tc>
      </w:tr>
      <w:tr>
        <w:trPr>
          <w:trHeight w:val="33"/>
        </w:trPr>
        <w:tc>
          <w:tcPr>
            <w:tcW w:w="6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6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1,818</w:t>
            </w:r>
          </w:p>
        </w:tc>
        <w:tc>
          <w:tcPr>
            <w:tcW w:w="40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2,988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3,317</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5,026</w:t>
            </w:r>
          </w:p>
        </w:tc>
        <w:tc>
          <w:tcPr>
            <w:tcW w:w="0" w:type="dxa"/>
            <w:vAlign w:val="bottom"/>
          </w:tcPr>
          <w:p>
            <w:pPr>
              <w:spacing w:after="0"/>
              <w:rPr>
                <w:sz w:val="1"/>
                <w:szCs w:val="1"/>
                <w:color w:val="auto"/>
              </w:rPr>
            </w:pPr>
          </w:p>
        </w:tc>
      </w:tr>
      <w:tr>
        <w:trPr>
          <w:trHeight w:val="33"/>
        </w:trPr>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2,358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4,912</w:t>
            </w:r>
          </w:p>
        </w:tc>
        <w:tc>
          <w:tcPr>
            <w:tcW w:w="0" w:type="dxa"/>
            <w:vAlign w:val="bottom"/>
          </w:tcPr>
          <w:p>
            <w:pPr>
              <w:spacing w:after="0"/>
              <w:rPr>
                <w:sz w:val="1"/>
                <w:szCs w:val="1"/>
                <w:color w:val="auto"/>
              </w:rPr>
            </w:pPr>
          </w:p>
        </w:tc>
      </w:tr>
      <w:tr>
        <w:trPr>
          <w:trHeight w:val="217"/>
        </w:trPr>
        <w:tc>
          <w:tcPr>
            <w:tcW w:w="692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4,292</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5,346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8,349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9,938</w:t>
            </w:r>
          </w:p>
        </w:tc>
        <w:tc>
          <w:tcPr>
            <w:tcW w:w="0" w:type="dxa"/>
            <w:vAlign w:val="bottom"/>
          </w:tcPr>
          <w:p>
            <w:pPr>
              <w:spacing w:after="0"/>
              <w:rPr>
                <w:sz w:val="1"/>
                <w:szCs w:val="1"/>
                <w:color w:val="auto"/>
              </w:rPr>
            </w:pPr>
          </w:p>
        </w:tc>
      </w:tr>
      <w:tr>
        <w:trPr>
          <w:trHeight w:val="33"/>
        </w:trPr>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920" w:type="dxa"/>
            <w:vAlign w:val="bottom"/>
          </w:tcPr>
          <w:p>
            <w:pPr>
              <w:ind w:left="220"/>
              <w:spacing w:after="0"/>
              <w:rPr>
                <w:sz w:val="20"/>
                <w:szCs w:val="20"/>
                <w:color w:val="auto"/>
              </w:rPr>
            </w:pPr>
            <w:r>
              <w:rPr>
                <w:rFonts w:ascii="Arial" w:cs="Arial" w:eastAsia="Arial" w:hAnsi="Arial"/>
                <w:sz w:val="16"/>
                <w:szCs w:val="16"/>
                <w:color w:val="auto"/>
              </w:rPr>
              <w:t>Operating loss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(5,346)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(8,349)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(9,938)</w:t>
            </w:r>
          </w:p>
        </w:tc>
        <w:tc>
          <w:tcPr>
            <w:tcW w:w="0" w:type="dxa"/>
            <w:vAlign w:val="bottom"/>
          </w:tcPr>
          <w:p>
            <w:pPr>
              <w:spacing w:after="0"/>
              <w:rPr>
                <w:sz w:val="1"/>
                <w:szCs w:val="1"/>
                <w:color w:val="auto"/>
              </w:rPr>
            </w:pPr>
          </w:p>
        </w:tc>
      </w:tr>
      <w:tr>
        <w:trPr>
          <w:trHeight w:val="33"/>
        </w:trPr>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92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Investment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7"/>
        </w:trPr>
        <w:tc>
          <w:tcPr>
            <w:tcW w:w="6920" w:type="dxa"/>
            <w:vAlign w:val="bottom"/>
          </w:tcPr>
          <w:p>
            <w:pPr>
              <w:ind w:left="220"/>
              <w:spacing w:after="0"/>
              <w:rPr>
                <w:sz w:val="20"/>
                <w:szCs w:val="20"/>
                <w:color w:val="auto"/>
              </w:rPr>
            </w:pPr>
            <w:r>
              <w:rPr>
                <w:rFonts w:ascii="Arial" w:cs="Arial" w:eastAsia="Arial" w:hAnsi="Arial"/>
                <w:sz w:val="16"/>
                <w:szCs w:val="16"/>
                <w:color w:val="auto"/>
              </w:rPr>
              <w:t>Total other income</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33"/>
        </w:trPr>
        <w:tc>
          <w:tcPr>
            <w:tcW w:w="6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920" w:type="dxa"/>
            <w:vAlign w:val="bottom"/>
          </w:tcPr>
          <w:p>
            <w:pPr>
              <w:ind w:left="20"/>
              <w:spacing w:after="0"/>
              <w:rPr>
                <w:sz w:val="20"/>
                <w:szCs w:val="20"/>
                <w:color w:val="auto"/>
              </w:rPr>
            </w:pPr>
            <w:r>
              <w:rPr>
                <w:rFonts w:ascii="Arial" w:cs="Arial" w:eastAsia="Arial" w:hAnsi="Arial"/>
                <w:sz w:val="16"/>
                <w:szCs w:val="16"/>
                <w:color w:val="auto"/>
              </w:rPr>
              <w:t>Loss before benefit from income taxes and noncontrolling interests</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(4,270)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(5,137)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(8,256)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(9,502)</w:t>
            </w:r>
          </w:p>
        </w:tc>
        <w:tc>
          <w:tcPr>
            <w:tcW w:w="0" w:type="dxa"/>
            <w:vAlign w:val="bottom"/>
          </w:tcPr>
          <w:p>
            <w:pPr>
              <w:spacing w:after="0"/>
              <w:rPr>
                <w:sz w:val="1"/>
                <w:szCs w:val="1"/>
                <w:color w:val="auto"/>
              </w:rPr>
            </w:pPr>
          </w:p>
        </w:tc>
      </w:tr>
      <w:tr>
        <w:trPr>
          <w:trHeight w:val="259"/>
        </w:trPr>
        <w:tc>
          <w:tcPr>
            <w:tcW w:w="6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Benefit from 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9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6,602</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(5,137)</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2,616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(9,502)</w:t>
            </w:r>
          </w:p>
        </w:tc>
        <w:tc>
          <w:tcPr>
            <w:tcW w:w="0" w:type="dxa"/>
            <w:vAlign w:val="bottom"/>
          </w:tcPr>
          <w:p>
            <w:pPr>
              <w:spacing w:after="0"/>
              <w:rPr>
                <w:sz w:val="1"/>
                <w:szCs w:val="1"/>
                <w:color w:val="auto"/>
              </w:rPr>
            </w:pPr>
          </w:p>
        </w:tc>
      </w:tr>
      <w:tr>
        <w:trPr>
          <w:trHeight w:val="33"/>
        </w:trPr>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6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 net income attributable to noncontrolling interests</w:t>
            </w: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0"/>
        </w:trPr>
        <w:tc>
          <w:tcPr>
            <w:tcW w:w="6920" w:type="dxa"/>
            <w:vAlign w:val="bottom"/>
            <w:vMerge w:val="restart"/>
          </w:tcPr>
          <w:p>
            <w:pPr>
              <w:ind w:left="20"/>
              <w:spacing w:after="0"/>
              <w:rPr>
                <w:sz w:val="20"/>
                <w:szCs w:val="20"/>
                <w:color w:val="auto"/>
              </w:rPr>
            </w:pPr>
            <w:r>
              <w:rPr>
                <w:rFonts w:ascii="Arial" w:cs="Arial" w:eastAsia="Arial" w:hAnsi="Arial"/>
                <w:sz w:val="16"/>
                <w:szCs w:val="16"/>
                <w:color w:val="auto"/>
              </w:rPr>
              <w:t>Net income (loss) attributable to Caladrius Biosciences, Inc. common stockholders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6,598</w:t>
            </w:r>
          </w:p>
        </w:tc>
        <w:tc>
          <w:tcPr>
            <w:tcW w:w="40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(5,140)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2,608</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(9,507)</w:t>
            </w:r>
          </w:p>
        </w:tc>
        <w:tc>
          <w:tcPr>
            <w:tcW w:w="0" w:type="dxa"/>
            <w:vAlign w:val="bottom"/>
          </w:tcPr>
          <w:p>
            <w:pPr>
              <w:spacing w:after="0"/>
              <w:rPr>
                <w:sz w:val="1"/>
                <w:szCs w:val="1"/>
                <w:color w:val="auto"/>
              </w:rPr>
            </w:pPr>
          </w:p>
        </w:tc>
      </w:tr>
      <w:tr>
        <w:trPr>
          <w:trHeight w:val="33"/>
        </w:trPr>
        <w:tc>
          <w:tcPr>
            <w:tcW w:w="6920" w:type="dxa"/>
            <w:vAlign w:val="bottom"/>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income (loss) per share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920" w:type="dxa"/>
            <w:vAlign w:val="bottom"/>
          </w:tcPr>
          <w:p>
            <w:pPr>
              <w:ind w:left="20"/>
              <w:spacing w:after="0"/>
              <w:rPr>
                <w:sz w:val="20"/>
                <w:szCs w:val="20"/>
                <w:color w:val="auto"/>
              </w:rPr>
            </w:pPr>
            <w:r>
              <w:rPr>
                <w:rFonts w:ascii="Arial" w:cs="Arial" w:eastAsia="Arial" w:hAnsi="Arial"/>
                <w:sz w:val="16"/>
                <w:szCs w:val="16"/>
                <w:color w:val="auto"/>
              </w:rPr>
              <w:t>Caladrius Biosciences, Inc. common stockholders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0.50</w:t>
            </w:r>
          </w:p>
        </w:tc>
        <w:tc>
          <w:tcPr>
            <w:tcW w:w="40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 shares</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10,393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11,880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10,211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40" w:type="dxa"/>
            <w:vAlign w:val="bottom"/>
          </w:tcPr>
          <w:p>
            <w:pPr>
              <w:spacing w:after="0"/>
              <w:rPr>
                <w:sz w:val="17"/>
                <w:szCs w:val="17"/>
                <w:color w:val="auto"/>
              </w:rPr>
            </w:pPr>
          </w:p>
        </w:tc>
        <w:tc>
          <w:tcPr>
            <w:tcW w:w="176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93"/>
              </w:rPr>
              <w:t>Three Months Ended</w:t>
            </w:r>
          </w:p>
        </w:tc>
        <w:tc>
          <w:tcPr>
            <w:tcW w:w="140" w:type="dxa"/>
            <w:vAlign w:val="bottom"/>
          </w:tcPr>
          <w:p>
            <w:pPr>
              <w:spacing w:after="0"/>
              <w:rPr>
                <w:sz w:val="17"/>
                <w:szCs w:val="17"/>
                <w:color w:val="auto"/>
              </w:rPr>
            </w:pPr>
          </w:p>
        </w:tc>
        <w:tc>
          <w:tcPr>
            <w:tcW w:w="150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3"/>
              </w:rPr>
              <w:t>Six Months Ended</w:t>
            </w:r>
          </w:p>
        </w:tc>
      </w:tr>
      <w:tr>
        <w:trPr>
          <w:trHeight w:val="210"/>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7"/>
              </w:rPr>
              <w:t>June 30,</w:t>
            </w:r>
          </w:p>
        </w:tc>
        <w:tc>
          <w:tcPr>
            <w:tcW w:w="140" w:type="dxa"/>
            <w:vAlign w:val="bottom"/>
          </w:tcPr>
          <w:p>
            <w:pPr>
              <w:spacing w:after="0"/>
              <w:rPr>
                <w:sz w:val="18"/>
                <w:szCs w:val="18"/>
                <w:color w:val="auto"/>
              </w:rPr>
            </w:pPr>
          </w:p>
        </w:tc>
        <w:tc>
          <w:tcPr>
            <w:tcW w:w="15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June 30,</w:t>
            </w:r>
          </w:p>
        </w:tc>
      </w:tr>
      <w:tr>
        <w:trPr>
          <w:trHeight w:val="33"/>
        </w:trPr>
        <w:tc>
          <w:tcPr>
            <w:tcW w:w="7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(5,137)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(9,502)</w:t>
            </w:r>
          </w:p>
        </w:tc>
      </w:tr>
      <w:tr>
        <w:trPr>
          <w:trHeight w:val="256"/>
        </w:trPr>
        <w:tc>
          <w:tcPr>
            <w:tcW w:w="7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37"/>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comprehensive (loss) income:</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7840" w:type="dxa"/>
            <w:vAlign w:val="bottom"/>
          </w:tcPr>
          <w:p>
            <w:pPr>
              <w:ind w:left="220"/>
              <w:spacing w:after="0"/>
              <w:rPr>
                <w:sz w:val="20"/>
                <w:szCs w:val="20"/>
                <w:color w:val="auto"/>
              </w:rPr>
            </w:pPr>
            <w:r>
              <w:rPr>
                <w:rFonts w:ascii="Arial" w:cs="Arial" w:eastAsia="Arial" w:hAnsi="Arial"/>
                <w:sz w:val="16"/>
                <w:szCs w:val="16"/>
                <w:color w:val="auto"/>
              </w:rPr>
              <w:t>Available for sale securities - net unrealized (loss) income</w:t>
            </w:r>
          </w:p>
        </w:tc>
        <w:tc>
          <w:tcPr>
            <w:tcW w:w="16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31</w:t>
            </w:r>
          </w:p>
        </w:tc>
      </w:tr>
      <w:tr>
        <w:trPr>
          <w:trHeight w:val="3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other comprehensive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w:t>
            </w:r>
          </w:p>
        </w:tc>
      </w:tr>
      <w:tr>
        <w:trPr>
          <w:trHeight w:val="237"/>
        </w:trPr>
        <w:tc>
          <w:tcPr>
            <w:tcW w:w="78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r>
      <w:tr>
        <w:trPr>
          <w:trHeight w:val="23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(5,120)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(9,471)</w:t>
            </w:r>
          </w:p>
        </w:tc>
      </w:tr>
      <w:tr>
        <w:trPr>
          <w:trHeight w:val="257"/>
        </w:trPr>
        <w:tc>
          <w:tcPr>
            <w:tcW w:w="7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57"/>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Comprehensive income 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r>
      <w:tr>
        <w:trPr>
          <w:trHeight w:val="237"/>
        </w:trPr>
        <w:tc>
          <w:tcPr>
            <w:tcW w:w="78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r>
      <w:tr>
        <w:trPr>
          <w:trHeight w:val="282"/>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Caladrius Biosciences, Inc. common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6,589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(5,123)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2,599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(9,476)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780" w:type="dxa"/>
            <w:vAlign w:val="bottom"/>
            <w:gridSpan w:val="3"/>
            <w:vMerge w:val="restart"/>
          </w:tcPr>
          <w:p>
            <w:pPr>
              <w:jc w:val="center"/>
              <w:ind w:left="231"/>
              <w:spacing w:after="0"/>
              <w:rPr>
                <w:sz w:val="20"/>
                <w:szCs w:val="20"/>
                <w:color w:val="auto"/>
              </w:rPr>
            </w:pPr>
            <w:r>
              <w:rPr>
                <w:rFonts w:ascii="Arial" w:cs="Arial" w:eastAsia="Arial" w:hAnsi="Arial"/>
                <w:sz w:val="13"/>
                <w:szCs w:val="13"/>
                <w:b w:val="1"/>
                <w:bCs w:val="1"/>
                <w:color w:val="auto"/>
                <w:w w:val="84"/>
              </w:rPr>
              <w:t>Series B</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6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7"/>
              </w:rPr>
              <w:t>Caladrius</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180" w:type="dxa"/>
            <w:vAlign w:val="bottom"/>
            <w:gridSpan w:val="5"/>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0"/>
              </w:rPr>
              <w:t>Biosciences,</w:t>
            </w:r>
          </w:p>
        </w:tc>
        <w:tc>
          <w:tcPr>
            <w:tcW w:w="160" w:type="dxa"/>
            <w:vAlign w:val="bottom"/>
          </w:tcPr>
          <w:p>
            <w:pPr>
              <w:spacing w:after="0"/>
              <w:rPr>
                <w:sz w:val="11"/>
                <w:szCs w:val="11"/>
                <w:color w:val="auto"/>
              </w:rPr>
            </w:pPr>
          </w:p>
        </w:tc>
        <w:tc>
          <w:tcPr>
            <w:tcW w:w="6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1180" w:type="dxa"/>
            <w:vAlign w:val="bottom"/>
            <w:gridSpan w:val="5"/>
          </w:tcPr>
          <w:p>
            <w:pPr>
              <w:jc w:val="center"/>
              <w:ind w:right="80"/>
              <w:spacing w:after="0" w:line="144" w:lineRule="exact"/>
              <w:rPr>
                <w:sz w:val="20"/>
                <w:szCs w:val="20"/>
                <w:color w:val="auto"/>
              </w:rPr>
            </w:pPr>
            <w:r>
              <w:rPr>
                <w:rFonts w:ascii="Arial" w:cs="Arial" w:eastAsia="Arial" w:hAnsi="Arial"/>
                <w:sz w:val="13"/>
                <w:szCs w:val="13"/>
                <w:b w:val="1"/>
                <w:bCs w:val="1"/>
                <w:color w:val="auto"/>
                <w:w w:val="88"/>
              </w:rPr>
              <w:t>Preferred Stock</w:t>
            </w:r>
          </w:p>
        </w:tc>
        <w:tc>
          <w:tcPr>
            <w:tcW w:w="1400" w:type="dxa"/>
            <w:vAlign w:val="bottom"/>
            <w:gridSpan w:val="5"/>
          </w:tcPr>
          <w:p>
            <w:pPr>
              <w:ind w:left="240"/>
              <w:spacing w:after="0" w:line="144" w:lineRule="exact"/>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Inc.</w:t>
            </w:r>
          </w:p>
        </w:tc>
        <w:tc>
          <w:tcPr>
            <w:tcW w:w="78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6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Paid in</w:t>
            </w:r>
          </w:p>
        </w:tc>
        <w:tc>
          <w:tcPr>
            <w:tcW w:w="9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w w:val="94"/>
              </w:rPr>
              <w:t>Comprehensive</w:t>
            </w:r>
          </w:p>
        </w:tc>
        <w:tc>
          <w:tcPr>
            <w:tcW w:w="96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72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Treasury</w:t>
            </w:r>
          </w:p>
        </w:tc>
        <w:tc>
          <w:tcPr>
            <w:tcW w:w="88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78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Interest in</w:t>
            </w:r>
          </w:p>
        </w:tc>
        <w:tc>
          <w:tcPr>
            <w:tcW w:w="140" w:type="dxa"/>
            <w:vAlign w:val="bottom"/>
          </w:tcPr>
          <w:p>
            <w:pPr>
              <w:spacing w:after="0"/>
              <w:rPr>
                <w:sz w:val="3"/>
                <w:szCs w:val="3"/>
                <w:color w:val="auto"/>
              </w:rPr>
            </w:pPr>
          </w:p>
        </w:tc>
        <w:tc>
          <w:tcPr>
            <w:tcW w:w="640" w:type="dxa"/>
            <w:vAlign w:val="bottom"/>
            <w:vMerge w:val="restart"/>
          </w:tcPr>
          <w:p>
            <w:pPr>
              <w:jc w:val="center"/>
              <w:ind w:right="70"/>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76"/>
        </w:trPr>
        <w:tc>
          <w:tcPr>
            <w:tcW w:w="2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6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Shares</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0"/>
              </w:rPr>
              <w:t>Equity</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Subsidiary</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96"/>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4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10,529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438,911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(417,400)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(708)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20,816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20,553</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2,608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2,608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90"/>
              <w:spacing w:after="0"/>
              <w:rPr>
                <w:sz w:val="20"/>
                <w:szCs w:val="20"/>
                <w:color w:val="auto"/>
              </w:rPr>
            </w:pPr>
            <w:r>
              <w:rPr>
                <w:rFonts w:ascii="Arial" w:cs="Arial" w:eastAsia="Arial" w:hAnsi="Arial"/>
                <w:sz w:val="14"/>
                <w:szCs w:val="14"/>
                <w:color w:val="auto"/>
              </w:rPr>
              <w:t>2,616</w:t>
            </w:r>
          </w:p>
        </w:tc>
        <w:tc>
          <w:tcPr>
            <w:tcW w:w="0" w:type="dxa"/>
            <w:vAlign w:val="bottom"/>
          </w:tcPr>
          <w:p>
            <w:pPr>
              <w:spacing w:after="0"/>
              <w:rPr>
                <w:sz w:val="1"/>
                <w:szCs w:val="1"/>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713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713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ind w:right="90"/>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proceeds from issuance of common</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and warrants</w:t>
            </w:r>
          </w:p>
        </w:tc>
        <w:tc>
          <w:tcPr>
            <w:tcW w:w="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4,950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9,678</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9,683</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9,683</w:t>
            </w:r>
          </w:p>
        </w:tc>
        <w:tc>
          <w:tcPr>
            <w:tcW w:w="0" w:type="dxa"/>
            <w:vAlign w:val="bottom"/>
          </w:tcPr>
          <w:p>
            <w:pPr>
              <w:spacing w:after="0"/>
              <w:rPr>
                <w:sz w:val="1"/>
                <w:szCs w:val="1"/>
                <w:color w:val="auto"/>
              </w:rPr>
            </w:pPr>
          </w:p>
        </w:tc>
      </w:tr>
      <w:tr>
        <w:trPr>
          <w:trHeight w:val="202"/>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480" w:type="dxa"/>
            <w:vAlign w:val="bottom"/>
          </w:tcPr>
          <w:p>
            <w:pPr>
              <w:jc w:val="right"/>
              <w:ind w:right="71"/>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15,585</w:t>
            </w:r>
          </w:p>
        </w:tc>
        <w:tc>
          <w:tcPr>
            <w:tcW w:w="10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449,302</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(414,792)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ind w:left="100"/>
              <w:spacing w:after="0"/>
              <w:rPr>
                <w:sz w:val="20"/>
                <w:szCs w:val="20"/>
                <w:color w:val="auto"/>
              </w:rPr>
            </w:pPr>
            <w:r>
              <w:rPr>
                <w:rFonts w:ascii="Arial" w:cs="Arial" w:eastAsia="Arial" w:hAnsi="Arial"/>
                <w:sz w:val="14"/>
                <w:szCs w:val="14"/>
                <w:color w:val="auto"/>
              </w:rPr>
              <w:t>(708)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33,811</w:t>
            </w:r>
          </w:p>
        </w:tc>
        <w:tc>
          <w:tcPr>
            <w:tcW w:w="80" w:type="dxa"/>
            <w:vAlign w:val="bottom"/>
          </w:tcPr>
          <w:p>
            <w:pPr>
              <w:spacing w:after="0"/>
              <w:rPr>
                <w:sz w:val="17"/>
                <w:szCs w:val="17"/>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(255)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0"/>
              <w:spacing w:after="0"/>
              <w:rPr>
                <w:sz w:val="20"/>
                <w:szCs w:val="20"/>
                <w:color w:val="auto"/>
              </w:rPr>
            </w:pPr>
            <w:r>
              <w:rPr>
                <w:rFonts w:ascii="Arial" w:cs="Arial" w:eastAsia="Arial" w:hAnsi="Arial"/>
                <w:sz w:val="14"/>
                <w:szCs w:val="14"/>
                <w:color w:val="auto"/>
              </w:rPr>
              <w:t>33,556</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8"/>
        </w:trPr>
        <w:tc>
          <w:tcPr>
            <w:tcW w:w="2600" w:type="dxa"/>
            <w:vAlign w:val="bottom"/>
          </w:tcPr>
          <w:p>
            <w:pPr>
              <w:spacing w:after="0"/>
              <w:rPr>
                <w:sz w:val="24"/>
                <w:szCs w:val="24"/>
                <w:color w:val="auto"/>
              </w:rPr>
            </w:pPr>
          </w:p>
        </w:tc>
        <w:tc>
          <w:tcPr>
            <w:tcW w:w="780" w:type="dxa"/>
            <w:vAlign w:val="bottom"/>
            <w:gridSpan w:val="3"/>
            <w:vMerge w:val="restart"/>
          </w:tcPr>
          <w:p>
            <w:pPr>
              <w:jc w:val="center"/>
              <w:ind w:left="231"/>
              <w:spacing w:after="0"/>
              <w:rPr>
                <w:sz w:val="20"/>
                <w:szCs w:val="20"/>
                <w:color w:val="auto"/>
              </w:rPr>
            </w:pPr>
            <w:r>
              <w:rPr>
                <w:rFonts w:ascii="Arial" w:cs="Arial" w:eastAsia="Arial" w:hAnsi="Arial"/>
                <w:sz w:val="13"/>
                <w:szCs w:val="13"/>
                <w:b w:val="1"/>
                <w:bCs w:val="1"/>
                <w:color w:val="auto"/>
                <w:w w:val="84"/>
              </w:rPr>
              <w:t>Series B</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6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7"/>
              </w:rPr>
              <w:t>Caladrius</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180" w:type="dxa"/>
            <w:vAlign w:val="bottom"/>
            <w:gridSpan w:val="5"/>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0"/>
              </w:rPr>
              <w:t>Biosciences,</w:t>
            </w:r>
          </w:p>
        </w:tc>
        <w:tc>
          <w:tcPr>
            <w:tcW w:w="160" w:type="dxa"/>
            <w:vAlign w:val="bottom"/>
          </w:tcPr>
          <w:p>
            <w:pPr>
              <w:spacing w:after="0"/>
              <w:rPr>
                <w:sz w:val="11"/>
                <w:szCs w:val="11"/>
                <w:color w:val="auto"/>
              </w:rPr>
            </w:pPr>
          </w:p>
        </w:tc>
        <w:tc>
          <w:tcPr>
            <w:tcW w:w="6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1180" w:type="dxa"/>
            <w:vAlign w:val="bottom"/>
            <w:gridSpan w:val="5"/>
          </w:tcPr>
          <w:p>
            <w:pPr>
              <w:jc w:val="center"/>
              <w:ind w:right="80"/>
              <w:spacing w:after="0" w:line="144" w:lineRule="exact"/>
              <w:rPr>
                <w:sz w:val="20"/>
                <w:szCs w:val="20"/>
                <w:color w:val="auto"/>
              </w:rPr>
            </w:pPr>
            <w:r>
              <w:rPr>
                <w:rFonts w:ascii="Arial" w:cs="Arial" w:eastAsia="Arial" w:hAnsi="Arial"/>
                <w:sz w:val="13"/>
                <w:szCs w:val="13"/>
                <w:b w:val="1"/>
                <w:bCs w:val="1"/>
                <w:color w:val="auto"/>
                <w:w w:val="88"/>
              </w:rPr>
              <w:t>Preferred Stock</w:t>
            </w:r>
          </w:p>
        </w:tc>
        <w:tc>
          <w:tcPr>
            <w:tcW w:w="1400" w:type="dxa"/>
            <w:vAlign w:val="bottom"/>
            <w:gridSpan w:val="5"/>
          </w:tcPr>
          <w:p>
            <w:pPr>
              <w:ind w:left="240"/>
              <w:spacing w:after="0" w:line="144" w:lineRule="exact"/>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Inc.</w:t>
            </w:r>
          </w:p>
        </w:tc>
        <w:tc>
          <w:tcPr>
            <w:tcW w:w="78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6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Paid in</w:t>
            </w:r>
          </w:p>
        </w:tc>
        <w:tc>
          <w:tcPr>
            <w:tcW w:w="98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96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72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Treasury</w:t>
            </w:r>
          </w:p>
        </w:tc>
        <w:tc>
          <w:tcPr>
            <w:tcW w:w="88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78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Interest in</w:t>
            </w:r>
          </w:p>
        </w:tc>
        <w:tc>
          <w:tcPr>
            <w:tcW w:w="140" w:type="dxa"/>
            <w:vAlign w:val="bottom"/>
          </w:tcPr>
          <w:p>
            <w:pPr>
              <w:spacing w:after="0"/>
              <w:rPr>
                <w:sz w:val="3"/>
                <w:szCs w:val="3"/>
                <w:color w:val="auto"/>
              </w:rPr>
            </w:pPr>
          </w:p>
        </w:tc>
        <w:tc>
          <w:tcPr>
            <w:tcW w:w="640" w:type="dxa"/>
            <w:vAlign w:val="bottom"/>
            <w:vMerge w:val="restart"/>
          </w:tcPr>
          <w:p>
            <w:pPr>
              <w:jc w:val="center"/>
              <w:ind w:right="70"/>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76"/>
        </w:trPr>
        <w:tc>
          <w:tcPr>
            <w:tcW w:w="2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6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Shares</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5"/>
              </w:rPr>
              <w:t>Loss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0"/>
              </w:rPr>
              <w:t>Equity</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Subsidiary</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9,866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436,433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(397,977)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(708)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37,726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(272)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37,454</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Adoption of accounting standard</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(9,507)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(9,507)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(9,502)</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ind w:right="9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157"/>
        </w:trPr>
        <w:tc>
          <w:tcPr>
            <w:tcW w:w="2600" w:type="dxa"/>
            <w:vAlign w:val="bottom"/>
          </w:tcPr>
          <w:p>
            <w:pPr>
              <w:ind w:left="20"/>
              <w:spacing w:after="0" w:line="157" w:lineRule="exact"/>
              <w:rPr>
                <w:sz w:val="20"/>
                <w:szCs w:val="20"/>
                <w:color w:val="auto"/>
              </w:rPr>
            </w:pPr>
            <w:r>
              <w:rPr>
                <w:rFonts w:ascii="Arial" w:cs="Arial" w:eastAsia="Arial" w:hAnsi="Arial"/>
                <w:sz w:val="14"/>
                <w:szCs w:val="14"/>
                <w:color w:val="auto"/>
              </w:rPr>
              <w:t>Net proceeds from issuance of common</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w:t>
            </w: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1,037</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1,037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r>
        <w:trPr>
          <w:trHeight w:val="22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2019</w:t>
            </w:r>
          </w:p>
        </w:tc>
        <w:tc>
          <w:tcPr>
            <w:tcW w:w="4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438,133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(407,546)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(708)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29,889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29,622</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780" w:type="dxa"/>
            <w:vAlign w:val="bottom"/>
            <w:gridSpan w:val="3"/>
            <w:vMerge w:val="restart"/>
          </w:tcPr>
          <w:p>
            <w:pPr>
              <w:jc w:val="center"/>
              <w:ind w:left="232"/>
              <w:spacing w:after="0"/>
              <w:rPr>
                <w:sz w:val="20"/>
                <w:szCs w:val="20"/>
                <w:color w:val="auto"/>
              </w:rPr>
            </w:pPr>
            <w:r>
              <w:rPr>
                <w:rFonts w:ascii="Arial" w:cs="Arial" w:eastAsia="Arial" w:hAnsi="Arial"/>
                <w:sz w:val="13"/>
                <w:szCs w:val="13"/>
                <w:b w:val="1"/>
                <w:bCs w:val="1"/>
                <w:color w:val="auto"/>
                <w:w w:val="84"/>
              </w:rPr>
              <w:t>Series B</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6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7"/>
              </w:rPr>
              <w:t>Caladrius</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180" w:type="dxa"/>
            <w:vAlign w:val="bottom"/>
            <w:gridSpan w:val="5"/>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0"/>
              </w:rPr>
              <w:t>Biosciences,</w:t>
            </w:r>
          </w:p>
        </w:tc>
        <w:tc>
          <w:tcPr>
            <w:tcW w:w="160" w:type="dxa"/>
            <w:vAlign w:val="bottom"/>
          </w:tcPr>
          <w:p>
            <w:pPr>
              <w:spacing w:after="0"/>
              <w:rPr>
                <w:sz w:val="11"/>
                <w:szCs w:val="11"/>
                <w:color w:val="auto"/>
              </w:rPr>
            </w:pPr>
          </w:p>
        </w:tc>
        <w:tc>
          <w:tcPr>
            <w:tcW w:w="6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1180" w:type="dxa"/>
            <w:vAlign w:val="bottom"/>
            <w:gridSpan w:val="5"/>
          </w:tcPr>
          <w:p>
            <w:pPr>
              <w:jc w:val="center"/>
              <w:ind w:right="80"/>
              <w:spacing w:after="0" w:line="144" w:lineRule="exact"/>
              <w:rPr>
                <w:sz w:val="20"/>
                <w:szCs w:val="20"/>
                <w:color w:val="auto"/>
              </w:rPr>
            </w:pPr>
            <w:r>
              <w:rPr>
                <w:rFonts w:ascii="Arial" w:cs="Arial" w:eastAsia="Arial" w:hAnsi="Arial"/>
                <w:sz w:val="13"/>
                <w:szCs w:val="13"/>
                <w:b w:val="1"/>
                <w:bCs w:val="1"/>
                <w:color w:val="auto"/>
                <w:w w:val="88"/>
              </w:rPr>
              <w:t>Preferred Stock</w:t>
            </w:r>
          </w:p>
        </w:tc>
        <w:tc>
          <w:tcPr>
            <w:tcW w:w="1400" w:type="dxa"/>
            <w:vAlign w:val="bottom"/>
            <w:gridSpan w:val="5"/>
          </w:tcPr>
          <w:p>
            <w:pPr>
              <w:ind w:left="240"/>
              <w:spacing w:after="0" w:line="144" w:lineRule="exact"/>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Inc.</w:t>
            </w:r>
          </w:p>
        </w:tc>
        <w:tc>
          <w:tcPr>
            <w:tcW w:w="78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6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Paid in</w:t>
            </w:r>
          </w:p>
        </w:tc>
        <w:tc>
          <w:tcPr>
            <w:tcW w:w="9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w w:val="94"/>
              </w:rPr>
              <w:t>Comprehensive</w:t>
            </w:r>
          </w:p>
        </w:tc>
        <w:tc>
          <w:tcPr>
            <w:tcW w:w="96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72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Treasury</w:t>
            </w:r>
          </w:p>
        </w:tc>
        <w:tc>
          <w:tcPr>
            <w:tcW w:w="88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78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Interest in</w:t>
            </w:r>
          </w:p>
        </w:tc>
        <w:tc>
          <w:tcPr>
            <w:tcW w:w="140" w:type="dxa"/>
            <w:vAlign w:val="bottom"/>
          </w:tcPr>
          <w:p>
            <w:pPr>
              <w:spacing w:after="0"/>
              <w:rPr>
                <w:sz w:val="3"/>
                <w:szCs w:val="3"/>
                <w:color w:val="auto"/>
              </w:rPr>
            </w:pPr>
          </w:p>
        </w:tc>
        <w:tc>
          <w:tcPr>
            <w:tcW w:w="640" w:type="dxa"/>
            <w:vAlign w:val="bottom"/>
            <w:vMerge w:val="restart"/>
          </w:tcPr>
          <w:p>
            <w:pPr>
              <w:jc w:val="center"/>
              <w:ind w:right="70"/>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76"/>
        </w:trPr>
        <w:tc>
          <w:tcPr>
            <w:tcW w:w="2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6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Shares</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5"/>
              </w:rPr>
              <w:t>Loss</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0"/>
              </w:rPr>
              <w:t>Equity</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Subsidiary</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10,639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439,330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(421,390)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(708)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17,243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(259)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16,984</w:t>
            </w: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6,598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6,598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90"/>
              <w:spacing w:after="0"/>
              <w:rPr>
                <w:sz w:val="20"/>
                <w:szCs w:val="20"/>
                <w:color w:val="auto"/>
              </w:rPr>
            </w:pPr>
            <w:r>
              <w:rPr>
                <w:rFonts w:ascii="Arial" w:cs="Arial" w:eastAsia="Arial" w:hAnsi="Arial"/>
                <w:sz w:val="14"/>
                <w:szCs w:val="14"/>
                <w:color w:val="auto"/>
              </w:rPr>
              <w:t>6,602</w:t>
            </w: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294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294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ind w:right="90"/>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proceeds from issuance of common</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and warrants</w:t>
            </w:r>
          </w:p>
        </w:tc>
        <w:tc>
          <w:tcPr>
            <w:tcW w:w="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4,950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9,678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9,683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9,683</w:t>
            </w:r>
          </w:p>
        </w:tc>
        <w:tc>
          <w:tcPr>
            <w:tcW w:w="0" w:type="dxa"/>
            <w:vAlign w:val="bottom"/>
          </w:tcPr>
          <w:p>
            <w:pPr>
              <w:spacing w:after="0"/>
              <w:rPr>
                <w:sz w:val="1"/>
                <w:szCs w:val="1"/>
                <w:color w:val="auto"/>
              </w:rPr>
            </w:pPr>
          </w:p>
        </w:tc>
      </w:tr>
      <w:tr>
        <w:trPr>
          <w:trHeight w:val="203"/>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480" w:type="dxa"/>
            <w:vAlign w:val="bottom"/>
          </w:tcPr>
          <w:p>
            <w:pPr>
              <w:jc w:val="right"/>
              <w:ind w:right="72"/>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15,585</w:t>
            </w:r>
          </w:p>
        </w:tc>
        <w:tc>
          <w:tcPr>
            <w:tcW w:w="10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449,302</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(414,792)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Arial" w:cs="Arial" w:eastAsia="Arial" w:hAnsi="Arial"/>
                <w:sz w:val="14"/>
                <w:szCs w:val="14"/>
                <w:color w:val="auto"/>
              </w:rPr>
              <w:t>(708)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33,811</w:t>
            </w:r>
          </w:p>
        </w:tc>
        <w:tc>
          <w:tcPr>
            <w:tcW w:w="80" w:type="dxa"/>
            <w:vAlign w:val="bottom"/>
          </w:tcPr>
          <w:p>
            <w:pPr>
              <w:spacing w:after="0"/>
              <w:rPr>
                <w:sz w:val="17"/>
                <w:szCs w:val="17"/>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(255)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0"/>
              <w:spacing w:after="0"/>
              <w:rPr>
                <w:sz w:val="20"/>
                <w:szCs w:val="20"/>
                <w:color w:val="auto"/>
              </w:rPr>
            </w:pPr>
            <w:r>
              <w:rPr>
                <w:rFonts w:ascii="Arial" w:cs="Arial" w:eastAsia="Arial" w:hAnsi="Arial"/>
                <w:sz w:val="14"/>
                <w:szCs w:val="14"/>
                <w:color w:val="auto"/>
              </w:rPr>
              <w:t>33,556</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8"/>
        </w:trPr>
        <w:tc>
          <w:tcPr>
            <w:tcW w:w="2600" w:type="dxa"/>
            <w:vAlign w:val="bottom"/>
          </w:tcPr>
          <w:p>
            <w:pPr>
              <w:spacing w:after="0"/>
              <w:rPr>
                <w:sz w:val="24"/>
                <w:szCs w:val="24"/>
                <w:color w:val="auto"/>
              </w:rPr>
            </w:pPr>
          </w:p>
        </w:tc>
        <w:tc>
          <w:tcPr>
            <w:tcW w:w="780" w:type="dxa"/>
            <w:vAlign w:val="bottom"/>
            <w:gridSpan w:val="3"/>
            <w:vMerge w:val="restart"/>
          </w:tcPr>
          <w:p>
            <w:pPr>
              <w:jc w:val="center"/>
              <w:ind w:left="232"/>
              <w:spacing w:after="0"/>
              <w:rPr>
                <w:sz w:val="20"/>
                <w:szCs w:val="20"/>
                <w:color w:val="auto"/>
              </w:rPr>
            </w:pPr>
            <w:r>
              <w:rPr>
                <w:rFonts w:ascii="Arial" w:cs="Arial" w:eastAsia="Arial" w:hAnsi="Arial"/>
                <w:sz w:val="13"/>
                <w:szCs w:val="13"/>
                <w:b w:val="1"/>
                <w:bCs w:val="1"/>
                <w:color w:val="auto"/>
                <w:w w:val="84"/>
              </w:rPr>
              <w:t>Series B</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6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7"/>
              </w:rPr>
              <w:t>Caladrius</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180" w:type="dxa"/>
            <w:vAlign w:val="bottom"/>
            <w:gridSpan w:val="5"/>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0"/>
              </w:rPr>
              <w:t>Biosciences,</w:t>
            </w:r>
          </w:p>
        </w:tc>
        <w:tc>
          <w:tcPr>
            <w:tcW w:w="160" w:type="dxa"/>
            <w:vAlign w:val="bottom"/>
          </w:tcPr>
          <w:p>
            <w:pPr>
              <w:spacing w:after="0"/>
              <w:rPr>
                <w:sz w:val="11"/>
                <w:szCs w:val="11"/>
                <w:color w:val="auto"/>
              </w:rPr>
            </w:pPr>
          </w:p>
        </w:tc>
        <w:tc>
          <w:tcPr>
            <w:tcW w:w="6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1180" w:type="dxa"/>
            <w:vAlign w:val="bottom"/>
            <w:gridSpan w:val="5"/>
          </w:tcPr>
          <w:p>
            <w:pPr>
              <w:jc w:val="center"/>
              <w:ind w:right="80"/>
              <w:spacing w:after="0" w:line="144" w:lineRule="exact"/>
              <w:rPr>
                <w:sz w:val="20"/>
                <w:szCs w:val="20"/>
                <w:color w:val="auto"/>
              </w:rPr>
            </w:pPr>
            <w:r>
              <w:rPr>
                <w:rFonts w:ascii="Arial" w:cs="Arial" w:eastAsia="Arial" w:hAnsi="Arial"/>
                <w:sz w:val="13"/>
                <w:szCs w:val="13"/>
                <w:b w:val="1"/>
                <w:bCs w:val="1"/>
                <w:color w:val="auto"/>
                <w:w w:val="88"/>
              </w:rPr>
              <w:t>Preferred Stock</w:t>
            </w:r>
          </w:p>
        </w:tc>
        <w:tc>
          <w:tcPr>
            <w:tcW w:w="1400" w:type="dxa"/>
            <w:vAlign w:val="bottom"/>
            <w:gridSpan w:val="5"/>
          </w:tcPr>
          <w:p>
            <w:pPr>
              <w:ind w:left="240"/>
              <w:spacing w:after="0" w:line="144" w:lineRule="exact"/>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Inc.</w:t>
            </w:r>
          </w:p>
        </w:tc>
        <w:tc>
          <w:tcPr>
            <w:tcW w:w="78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6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Paid in</w:t>
            </w:r>
          </w:p>
        </w:tc>
        <w:tc>
          <w:tcPr>
            <w:tcW w:w="9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w w:val="94"/>
              </w:rPr>
              <w:t>Comprehensive</w:t>
            </w:r>
          </w:p>
        </w:tc>
        <w:tc>
          <w:tcPr>
            <w:tcW w:w="96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72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Treasury</w:t>
            </w:r>
          </w:p>
        </w:tc>
        <w:tc>
          <w:tcPr>
            <w:tcW w:w="88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78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Interest in</w:t>
            </w:r>
          </w:p>
        </w:tc>
        <w:tc>
          <w:tcPr>
            <w:tcW w:w="140" w:type="dxa"/>
            <w:vAlign w:val="bottom"/>
          </w:tcPr>
          <w:p>
            <w:pPr>
              <w:spacing w:after="0"/>
              <w:rPr>
                <w:sz w:val="3"/>
                <w:szCs w:val="3"/>
                <w:color w:val="auto"/>
              </w:rPr>
            </w:pPr>
          </w:p>
        </w:tc>
        <w:tc>
          <w:tcPr>
            <w:tcW w:w="640" w:type="dxa"/>
            <w:vAlign w:val="bottom"/>
            <w:vMerge w:val="restart"/>
          </w:tcPr>
          <w:p>
            <w:pPr>
              <w:jc w:val="center"/>
              <w:ind w:right="70"/>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76"/>
        </w:trPr>
        <w:tc>
          <w:tcPr>
            <w:tcW w:w="2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6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Shares</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5"/>
              </w:rPr>
              <w:t>Loss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0"/>
              </w:rPr>
              <w:t>Equity</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Subsidiary</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2019</w:t>
            </w:r>
          </w:p>
        </w:tc>
        <w:tc>
          <w:tcPr>
            <w:tcW w:w="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10,393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437,850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(402,406)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(708)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34,728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(270)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34,458</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Net loss</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(5,140)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(5,140)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(5,137)</w:t>
            </w:r>
          </w:p>
        </w:tc>
        <w:tc>
          <w:tcPr>
            <w:tcW w:w="0" w:type="dxa"/>
            <w:vAlign w:val="bottom"/>
          </w:tcPr>
          <w:p>
            <w:pPr>
              <w:spacing w:after="0"/>
              <w:rPr>
                <w:sz w:val="1"/>
                <w:szCs w:val="1"/>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246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246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tcPr>
          <w:p>
            <w:pPr>
              <w:jc w:val="right"/>
              <w:ind w:right="90"/>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proceeds from issuance of common</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2"/>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2019</w:t>
            </w:r>
          </w:p>
        </w:tc>
        <w:tc>
          <w:tcPr>
            <w:tcW w:w="480" w:type="dxa"/>
            <w:vAlign w:val="bottom"/>
          </w:tcPr>
          <w:p>
            <w:pPr>
              <w:jc w:val="right"/>
              <w:ind w:right="72"/>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10,413</w:t>
            </w:r>
          </w:p>
        </w:tc>
        <w:tc>
          <w:tcPr>
            <w:tcW w:w="10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438,133</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(407,546)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ind w:left="100"/>
              <w:spacing w:after="0"/>
              <w:rPr>
                <w:sz w:val="20"/>
                <w:szCs w:val="20"/>
                <w:color w:val="auto"/>
              </w:rPr>
            </w:pPr>
            <w:r>
              <w:rPr>
                <w:rFonts w:ascii="Arial" w:cs="Arial" w:eastAsia="Arial" w:hAnsi="Arial"/>
                <w:sz w:val="14"/>
                <w:szCs w:val="14"/>
                <w:color w:val="auto"/>
              </w:rPr>
              <w:t>(708)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29,889</w:t>
            </w:r>
          </w:p>
        </w:tc>
        <w:tc>
          <w:tcPr>
            <w:tcW w:w="80" w:type="dxa"/>
            <w:vAlign w:val="bottom"/>
          </w:tcPr>
          <w:p>
            <w:pPr>
              <w:spacing w:after="0"/>
              <w:rPr>
                <w:sz w:val="17"/>
                <w:szCs w:val="17"/>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0"/>
              <w:spacing w:after="0"/>
              <w:rPr>
                <w:sz w:val="20"/>
                <w:szCs w:val="20"/>
                <w:color w:val="auto"/>
              </w:rPr>
            </w:pPr>
            <w:r>
              <w:rPr>
                <w:rFonts w:ascii="Arial" w:cs="Arial" w:eastAsia="Arial" w:hAnsi="Arial"/>
                <w:sz w:val="14"/>
                <w:szCs w:val="14"/>
                <w:color w:val="auto"/>
              </w:rPr>
              <w:t>29,622</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318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80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8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3"/>
        </w:trPr>
        <w:tc>
          <w:tcPr>
            <w:tcW w:w="802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2,616</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(9,502)</w:t>
            </w:r>
          </w:p>
        </w:tc>
      </w:tr>
      <w:tr>
        <w:trPr>
          <w:trHeight w:val="33"/>
        </w:trPr>
        <w:tc>
          <w:tcPr>
            <w:tcW w:w="8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53"/>
        </w:trPr>
        <w:tc>
          <w:tcPr>
            <w:tcW w:w="8020" w:type="dxa"/>
            <w:vAlign w:val="bottom"/>
          </w:tcPr>
          <w:p>
            <w:pPr>
              <w:ind w:left="480"/>
              <w:spacing w:after="0"/>
              <w:rPr>
                <w:sz w:val="20"/>
                <w:szCs w:val="20"/>
                <w:color w:val="auto"/>
              </w:rPr>
            </w:pPr>
            <w:r>
              <w:rPr>
                <w:rFonts w:ascii="Arial" w:cs="Arial" w:eastAsia="Arial" w:hAnsi="Arial"/>
                <w:sz w:val="16"/>
                <w:szCs w:val="16"/>
                <w:color w:val="auto"/>
              </w:rPr>
              <w:t>Share-based compensation</w:t>
            </w:r>
          </w:p>
        </w:tc>
        <w:tc>
          <w:tcPr>
            <w:tcW w:w="920" w:type="dxa"/>
            <w:vAlign w:val="bottom"/>
          </w:tcPr>
          <w:p>
            <w:pPr>
              <w:spacing w:after="0"/>
              <w:rPr>
                <w:sz w:val="22"/>
                <w:szCs w:val="22"/>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793</w:t>
            </w:r>
          </w:p>
        </w:tc>
      </w:tr>
      <w:tr>
        <w:trPr>
          <w:trHeight w:val="240"/>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Depreciation and amortization</w:t>
            </w: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r>
      <w:tr>
        <w:trPr>
          <w:trHeight w:val="224"/>
        </w:trPr>
        <w:tc>
          <w:tcPr>
            <w:tcW w:w="8020" w:type="dxa"/>
            <w:vAlign w:val="bottom"/>
          </w:tcPr>
          <w:p>
            <w:pPr>
              <w:ind w:left="460"/>
              <w:spacing w:after="0"/>
              <w:rPr>
                <w:sz w:val="20"/>
                <w:szCs w:val="20"/>
                <w:color w:val="auto"/>
              </w:rPr>
            </w:pPr>
            <w:r>
              <w:rPr>
                <w:rFonts w:ascii="Arial" w:cs="Arial" w:eastAsia="Arial" w:hAnsi="Arial"/>
                <w:sz w:val="16"/>
                <w:szCs w:val="16"/>
                <w:color w:val="auto"/>
              </w:rPr>
              <w:t>Accretion on marketable securities</w:t>
            </w:r>
          </w:p>
        </w:tc>
        <w:tc>
          <w:tcPr>
            <w:tcW w:w="920" w:type="dxa"/>
            <w:vAlign w:val="bottom"/>
          </w:tcPr>
          <w:p>
            <w:pPr>
              <w:spacing w:after="0"/>
              <w:rPr>
                <w:sz w:val="19"/>
                <w:szCs w:val="19"/>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133</w:t>
            </w:r>
          </w:p>
        </w:tc>
      </w:tr>
      <w:tr>
        <w:trPr>
          <w:trHeight w:val="33"/>
        </w:trPr>
        <w:tc>
          <w:tcPr>
            <w:tcW w:w="8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Changes in operating assets and liabilities:</w:t>
            </w: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3"/>
        </w:trPr>
        <w:tc>
          <w:tcPr>
            <w:tcW w:w="8020" w:type="dxa"/>
            <w:vAlign w:val="bottom"/>
          </w:tcPr>
          <w:p>
            <w:pPr>
              <w:ind w:left="660"/>
              <w:spacing w:after="0"/>
              <w:rPr>
                <w:sz w:val="20"/>
                <w:szCs w:val="20"/>
                <w:color w:val="auto"/>
              </w:rPr>
            </w:pPr>
            <w:r>
              <w:rPr>
                <w:rFonts w:ascii="Arial" w:cs="Arial" w:eastAsia="Arial" w:hAnsi="Arial"/>
                <w:sz w:val="16"/>
                <w:szCs w:val="16"/>
                <w:color w:val="auto"/>
              </w:rPr>
              <w:t>Prepaid and other current assets</w:t>
            </w:r>
          </w:p>
        </w:tc>
        <w:tc>
          <w:tcPr>
            <w:tcW w:w="92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(110)</w:t>
            </w:r>
          </w:p>
        </w:tc>
      </w:tr>
      <w:tr>
        <w:trPr>
          <w:trHeight w:val="33"/>
        </w:trPr>
        <w:tc>
          <w:tcPr>
            <w:tcW w:w="8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0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Other assets</w:t>
            </w: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181</w:t>
            </w:r>
          </w:p>
        </w:tc>
      </w:tr>
      <w:tr>
        <w:trPr>
          <w:trHeight w:val="224"/>
        </w:trPr>
        <w:tc>
          <w:tcPr>
            <w:tcW w:w="8020" w:type="dxa"/>
            <w:vAlign w:val="bottom"/>
          </w:tcPr>
          <w:p>
            <w:pPr>
              <w:ind w:left="660"/>
              <w:spacing w:after="0"/>
              <w:rPr>
                <w:sz w:val="20"/>
                <w:szCs w:val="20"/>
                <w:color w:val="auto"/>
              </w:rPr>
            </w:pPr>
            <w:r>
              <w:rPr>
                <w:rFonts w:ascii="Arial" w:cs="Arial" w:eastAsia="Arial" w:hAnsi="Arial"/>
                <w:sz w:val="16"/>
                <w:szCs w:val="16"/>
                <w:color w:val="auto"/>
              </w:rPr>
              <w:t>Accounts payable, accrued liabilities and other liabilities</w:t>
            </w:r>
          </w:p>
        </w:tc>
        <w:tc>
          <w:tcPr>
            <w:tcW w:w="92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4"/>
              </w:rPr>
              <w:t>(2,673)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(1,735)</w:t>
            </w:r>
          </w:p>
        </w:tc>
      </w:tr>
      <w:tr>
        <w:trPr>
          <w:trHeight w:val="33"/>
        </w:trPr>
        <w:tc>
          <w:tcPr>
            <w:tcW w:w="8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(used in) 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(10,205)</w:t>
            </w:r>
          </w:p>
        </w:tc>
      </w:tr>
      <w:tr>
        <w:trPr>
          <w:trHeight w:val="217"/>
        </w:trPr>
        <w:tc>
          <w:tcPr>
            <w:tcW w:w="80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33"/>
        </w:trPr>
        <w:tc>
          <w:tcPr>
            <w:tcW w:w="8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Purchase of marketable securities</w:t>
            </w: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(8,235)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(25,969)</w:t>
            </w:r>
          </w:p>
        </w:tc>
      </w:tr>
      <w:tr>
        <w:trPr>
          <w:trHeight w:val="223"/>
        </w:trPr>
        <w:tc>
          <w:tcPr>
            <w:tcW w:w="8020" w:type="dxa"/>
            <w:vAlign w:val="bottom"/>
          </w:tcPr>
          <w:p>
            <w:pPr>
              <w:ind w:left="220"/>
              <w:spacing w:after="0"/>
              <w:rPr>
                <w:sz w:val="20"/>
                <w:szCs w:val="20"/>
                <w:color w:val="auto"/>
              </w:rPr>
            </w:pPr>
            <w:r>
              <w:rPr>
                <w:rFonts w:ascii="Arial" w:cs="Arial" w:eastAsia="Arial" w:hAnsi="Arial"/>
                <w:sz w:val="16"/>
                <w:szCs w:val="16"/>
                <w:color w:val="auto"/>
              </w:rPr>
              <w:t>Sale of marketable securities</w:t>
            </w:r>
          </w:p>
        </w:tc>
        <w:tc>
          <w:tcPr>
            <w:tcW w:w="920" w:type="dxa"/>
            <w:vAlign w:val="bottom"/>
          </w:tcPr>
          <w:p>
            <w:pPr>
              <w:spacing w:after="0"/>
              <w:rPr>
                <w:sz w:val="19"/>
                <w:szCs w:val="19"/>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w w:val="89"/>
              </w:rPr>
              <w:t>11,104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36,721</w:t>
            </w:r>
          </w:p>
        </w:tc>
      </w:tr>
      <w:tr>
        <w:trPr>
          <w:trHeight w:val="33"/>
        </w:trPr>
        <w:tc>
          <w:tcPr>
            <w:tcW w:w="8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w:t>
            </w:r>
          </w:p>
        </w:tc>
        <w:tc>
          <w:tcPr>
            <w:tcW w:w="9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8020" w:type="dxa"/>
            <w:vAlign w:val="bottom"/>
          </w:tcPr>
          <w:p>
            <w:pPr>
              <w:ind w:left="460"/>
              <w:spacing w:after="0"/>
              <w:rPr>
                <w:sz w:val="20"/>
                <w:szCs w:val="20"/>
                <w:color w:val="auto"/>
              </w:rPr>
            </w:pPr>
            <w:r>
              <w:rPr>
                <w:rFonts w:ascii="Arial" w:cs="Arial" w:eastAsia="Arial" w:hAnsi="Arial"/>
                <w:sz w:val="16"/>
                <w:szCs w:val="16"/>
                <w:color w:val="auto"/>
              </w:rPr>
              <w:t>Net cash provided by investing activities</w:t>
            </w: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2,855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10,752</w:t>
            </w:r>
          </w:p>
        </w:tc>
      </w:tr>
      <w:tr>
        <w:trPr>
          <w:trHeight w:val="33"/>
        </w:trPr>
        <w:tc>
          <w:tcPr>
            <w:tcW w:w="8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3"/>
        </w:trPr>
        <w:tc>
          <w:tcPr>
            <w:tcW w:w="8020" w:type="dxa"/>
            <w:vAlign w:val="bottom"/>
          </w:tcPr>
          <w:p>
            <w:pPr>
              <w:ind w:left="220"/>
              <w:spacing w:after="0"/>
              <w:rPr>
                <w:sz w:val="20"/>
                <w:szCs w:val="20"/>
                <w:color w:val="auto"/>
              </w:rPr>
            </w:pPr>
            <w:r>
              <w:rPr>
                <w:rFonts w:ascii="Arial" w:cs="Arial" w:eastAsia="Arial" w:hAnsi="Arial"/>
                <w:sz w:val="16"/>
                <w:szCs w:val="16"/>
                <w:color w:val="auto"/>
              </w:rPr>
              <w:t>Tax withholding payments on net share settlement equity awards</w:t>
            </w:r>
          </w:p>
        </w:tc>
        <w:tc>
          <w:tcPr>
            <w:tcW w:w="92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(130)</w:t>
            </w:r>
          </w:p>
        </w:tc>
      </w:tr>
      <w:tr>
        <w:trPr>
          <w:trHeight w:val="33"/>
        </w:trPr>
        <w:tc>
          <w:tcPr>
            <w:tcW w:w="8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6"/>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proceeds from issuance of common stock</w:t>
            </w:r>
          </w:p>
        </w:tc>
        <w:tc>
          <w:tcPr>
            <w:tcW w:w="9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1,038</w:t>
            </w:r>
          </w:p>
        </w:tc>
      </w:tr>
      <w:tr>
        <w:trPr>
          <w:trHeight w:val="217"/>
        </w:trPr>
        <w:tc>
          <w:tcPr>
            <w:tcW w:w="8020" w:type="dxa"/>
            <w:vAlign w:val="bottom"/>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9,535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908</w:t>
            </w:r>
          </w:p>
        </w:tc>
      </w:tr>
      <w:tr>
        <w:trPr>
          <w:trHeight w:val="33"/>
        </w:trPr>
        <w:tc>
          <w:tcPr>
            <w:tcW w:w="8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12,652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1,455</w:t>
            </w: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920" w:type="dxa"/>
            <w:vAlign w:val="bottom"/>
          </w:tcPr>
          <w:p>
            <w:pPr>
              <w:spacing w:after="0"/>
              <w:rPr>
                <w:sz w:val="19"/>
                <w:szCs w:val="19"/>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w w:val="89"/>
              </w:rPr>
              <w:t>14,032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10,299</w:t>
            </w:r>
          </w:p>
        </w:tc>
      </w:tr>
      <w:tr>
        <w:trPr>
          <w:trHeight w:val="33"/>
        </w:trPr>
        <w:tc>
          <w:tcPr>
            <w:tcW w:w="8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2"/>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26,684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11,754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The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firstLine="563"/>
        <w:spacing w:after="0" w:line="257" w:lineRule="auto"/>
        <w:rPr>
          <w:sz w:val="20"/>
          <w:szCs w:val="20"/>
          <w:color w:val="auto"/>
        </w:rPr>
      </w:pPr>
      <w:r>
        <w:rPr>
          <w:rFonts w:ascii="Arial" w:cs="Arial" w:eastAsia="Arial" w:hAnsi="Arial"/>
          <w:sz w:val="18"/>
          <w:szCs w:val="18"/>
          <w:color w:val="auto"/>
        </w:rPr>
        <w:t>Caladrius Biosciences, Inc. (“we,” “us,” "our," “Caladrius” or the “Company”) is a clinical-stage biopharmaceutical company dedicated to the development and commercialization of cellular therapies designed to reverse disease and/or promote the regeneration of damaged tissue. The Company is developing first-in-class therapeutics based on the characteristics of naturally occurring CD34+ cells and their ability to stimulate the growth of new microvasculature. The Company's technology leverages these cells to enable the body's natural repair mechanisms using formulations unique to each medical indication.</w:t>
      </w:r>
    </w:p>
    <w:p>
      <w:pPr>
        <w:spacing w:after="0" w:line="215" w:lineRule="exact"/>
        <w:rPr>
          <w:sz w:val="20"/>
          <w:szCs w:val="20"/>
          <w:color w:val="auto"/>
        </w:rPr>
      </w:pPr>
    </w:p>
    <w:p>
      <w:pPr>
        <w:jc w:val="both"/>
        <w:ind w:firstLine="389"/>
        <w:spacing w:after="0" w:line="289" w:lineRule="auto"/>
        <w:rPr>
          <w:sz w:val="20"/>
          <w:szCs w:val="20"/>
          <w:color w:val="auto"/>
        </w:rPr>
      </w:pPr>
      <w:r>
        <w:rPr>
          <w:rFonts w:ascii="Arial" w:cs="Arial" w:eastAsia="Arial" w:hAnsi="Arial"/>
          <w:sz w:val="16"/>
          <w:szCs w:val="16"/>
          <w:color w:val="auto"/>
        </w:rPr>
        <w:t>The Company's leadership team has decades of collective biopharmaceutical development experience and world-recognized scientific achievement in the field of cardiovascular disease, among other therapeutic areas. Its goal is to develop and commercialize products that address important unmet medical needs based on a broad and versatile portfolio of candidates. The Company's current product candidates include CLBS119, an emergent CD34+ stem cell therapy responding to the COVID-19 pandemic and the potentially permanent damage the virus inflicts on the lungs of many patients, as well as three other developmental treatments for ischemic diseases based on its CD34+ cell therapy platform: CLBS12, recipient of SAKIGAKE designation and eligible for early conditional approval in Japan for the treatment of critical limb ischemia ("CLI") based on the results of an ongoing clinical trial; CLBS16, the subject of a recently completed positive Phase 2 clinical trial in the U.S. for the treatment of coronary microvascular dysfunction ("CMD"); and CLBS14, a Regenerative Medicine Advanced Therapy ("RMAT") designated therapy for which the Company has finalized with the U.S. Food and Drug Administration (the "FDA") a protocol for a Phase 3 confirmatory trial in subjects with no-option refractory disabling angina ("NORDA").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CD34+ cell was discovered as a result of the deliberate search for a stem cell capable of stimulating the development and/or repair of blood vessels. All tissues in the body maintain their function by replacing cells over time. In addition to the maintenance function, the body must also be capable of building new blood vessels after injury. A CD34+ cell is a stem cell that has the ability to stimulate new blood vessel formation. No other native cell discovered to date has demonstrated this same capability.</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proprietary CD34+ cell technology has led to the development of therapeutic product candidates designed to address diseases and conditions caused by ischemia. Ischemia occurs when the supply of oxygenated blood to healthy tissue is restricted. Through the administration of CD34+ cells, the Company seeks to promote the development and formation of new microvasculature and thereby increase blood flow to the impacted area. Caladrius believes that a number of conditions caused by underlying ischemic injury can be improved through its CD34+ cell technology, including but not limited to, CLI, CMD, NORDA and COVID-19 induced lung damage.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CLBS119 for Treatment of COVID -19 Induced Lung Damage</w:t>
      </w:r>
    </w:p>
    <w:p>
      <w:pPr>
        <w:spacing w:after="0" w:line="2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COVID-19 appears to damage the vasculature of the lungs and Caladrius believes that repair of that vasculature will prove necessary for patients to achieve a full recovery. Survivors of COVID-19 often remain debilitated even after leaving the hospital due to the damage caused to their lungs, and while many developmental therapies responding to the COVID-19 pandemic are appropriately targeting the SARS-CoV-2 virus itself or the manifestations of the acute phase of the illness, Caladrius is aware of no therapy that has demonstrated the ability to repair COVID-19 induced lung damage. With consistent clinical and pre-clinical evidence that CD34+ cells can repair multiple organs, including models of severe lung inflammation, the Company sought and received FDA authorization for its investigational new drug (“IND”) application for the study of CLBS119, a CD34+ cell therapy for repair of COVID-19 induced lung damage. The planned study, with enrollment expected to commence in the second half of 2020, will target patients with severe SARS-CoV-2 infection who, after ventilatory support due to respiratory failure, had otherwise recovered but remained debilitated due to persistent pulmonary damage.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CLBS12 for Treatment of Critical Limb Ischemia</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open-label, registration-eligible study of CLBS12 in Japan for the treatment of critical limb ischemia ("CLI"), a disease with no currently available approved therapy and a higher combined incidence and mortality rate than all cancers but lung cancer, has shown strong results to date. The initial responses observed in the subjects who have reached 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endpoint in this open label study are consistent with a positive therapeutic effect and safety profile as reported by previously published clinical trials in Japan. Although the study's enrollment, which is targeted for completion this year, has been slowed by the pandemic's impact in Japan, the Company is encouraged by the patient pre-screening pipeline that has been identified and hopes to conclude trial enrollment rapidly once the coronavirus abates. While the final outcome of the trial will depend on all data from all subjects, data from the concluded Buerger's Disease cohort and the data to date in the no-option CLI cohort remain very encouraging.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CLBS16 for Treatment of Coronary Microvascular Dysfunction</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2017, with the assistance of a $1.9 million grant from the National Institutes of Health (Award Number R44HL135889), Caladrius initiated its program for CLBS16 for the treatment of coronary microvascular dysfunction ("CMD"), a disease that potentially afflicts millions of patients with no current targeted treatment options. That study, titled ESCaPE-CMD, was a Phase 2 proof-of-concept study that enrolled patients at the Mayo Clinic in Rochester, MN and Cedars-Sinai Medical Center in Los Angeles, CA. In June 2019, the Company announced the completion of enrollment in this study. Results of the first 17 of 20 patients enrolled in this trial who reached 6-month follow-up were presented as a rapid fire oral presentation on November 16, 2019 at the annual meeting of the American Heart Association in Philadelphia, PA by one of the principal investigators, Dr. Noel Bairey Merz, FACC, FAHA, FESC, the director of the Barbra Streisand Women's Heart Center at Cedars-Sinai in Los Angeles, CA. That data set showed a positive therapeutic effect with a statistically significant improvement in angina frequency, coronary flow reserve, Canadian Cardiovascular Society Angina Class and Seattle Questionnaire score, as well as an acceptable safety profile. The full data from that study was presented at the SCAI 2020 Scientific Sessions Virtual Conference on May 14, 2020 and we now expect to initiate the next CMD trial, a Phase 2b study, by the end of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CLBS14 for Treatment of No Option Refractory Disabling Angina (NORDA)</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acquired the rights to data and regulatory filings for a CD34+ cell therapy program for refractory angina that had been advanced to Phase 3 by a previous sponsor.</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Based on the clinical evidence from the completed studies that a single administration of CLBS14 reduces mortality, improves angina and increases exercise capacity in patients with otherwise untreatable angina, this product received Regenerative Medicine Advanced Therapy (“RMAT”) designation from the FDA. The Company, working closely with the FDA, has finalized the design of a confirmatory Phase 3 trial which, in combination with previously filed Phase 1, 2 and 3 data, will be considered for the registration of CLBS14. Notably, this study design includes a 6-month primary endpoint and, with the benefit of the RMAT designation, the biologics license application ("BLA"), once submitted, is expected to receive a 6-month review. The Company has substantially completed the preparatory work for initiation of this trial. Caladrius will not, however, commence enrollment of patients until sufficient capital is acquired and dedicated to this program such that the Company has confidence that it can fund the trial uninterrupted through completion.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broad intellectual property portfolio of cell therapy assets includes notable programs available for out-licensing in order to continue their clinical development. Its current long-term strategy focuses on advancing its therapies through development with the ultimate objective of obtaining market authorizations and entering commercialization, either alone or with partners, to provide treatment options to patients suffering from life-threatening medical conditions. The Company believes that it is well-positioned to realize potentially meaningful value increases within its own proprietary pipeline if the Company is successful in advancing its product candidates to their next significant development milestones.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Considerations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2019, a novel strain of coronavirus (SARS-CoV-2), which causes COVID-19, was reported to have surfaced in China. In March 2020, the World Health Organization declared the outbreak of COVID-19 to be a pandemic, and the world's economies began to experience pronounced effects. While the disruption currently is expected to be temporary, there is uncertainty around the extent and duration of disruption, and any future related financial impact cannot be reasonably estimated at this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of the SEC for interim financial information. Accordingly, they do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not include all of the information and footnotes required by generally accepted accounting principles for complete financial statements. In the opinion of management, the accompanying Consolidated Financial Statements of the Company and its subsidiaries, which are unaudited, include all normal and recurring adjustments considered necessary to present fairly the Company’s financial position as of June 30, 2020, and the results of its operations and its cash flows for the periods presented. The unaudited consolidated financial statements herein should be read together with the historical consolidated financial statements of the Company for the years ended December 31, 2019 and 2018 included in our 2019 Form 10-K. Operating results for the three and six months ended June 30, 2020 are not necessarily indicative of the results that may be expected for the year ending December 31,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 of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estimates and assumptions in determining stock-based awards values. Accordingly, actual results could differ from those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Caladrius Biosciences, Inc. and its wholly owned and majority owned subsidiaries and affiliates. All intercompany activities have been eliminated in consolidation.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to the policies below, the Company's significant accounting policies are described in Note 2 of the Notes to Consolidated Financial Statements included in its 2019 Form 10-K. There were no changes to these policies during the three and six months ended June 30,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23" w:lineRule="exact"/>
        <w:rPr>
          <w:sz w:val="20"/>
          <w:szCs w:val="20"/>
          <w:color w:val="auto"/>
        </w:rPr>
      </w:pPr>
    </w:p>
    <w:p>
      <w:pPr>
        <w:jc w:val="both"/>
        <w:ind w:firstLine="373"/>
        <w:spacing w:after="0" w:line="292" w:lineRule="auto"/>
        <w:rPr>
          <w:sz w:val="20"/>
          <w:szCs w:val="20"/>
          <w:color w:val="auto"/>
        </w:rPr>
      </w:pPr>
      <w:r>
        <w:rPr>
          <w:rFonts w:ascii="Arial" w:cs="Arial" w:eastAsia="Arial" w:hAnsi="Arial"/>
          <w:sz w:val="16"/>
          <w:szCs w:val="16"/>
          <w:color w:val="auto"/>
        </w:rPr>
        <w:t>The Company is subject to credit risk from its portfolio of cash, cash equivalents and marketable securities. Under its investment policy, the Company limits amounts invested in such securities by credit rating, maturity, industry group, investment type and issuer, except for securities issued by the U.S. government. Cash is held at major banks in the United States. Therefore, the Company is not exposed to any significant concentrations of credit risk from these financial instruments. The goals of the Company's investment policy, in order of priority, are as follows: safety and preservation of principal and diversification of risk, liquidity of investments sufficient to meet cash flow requirements, and a competitive after-tax rate of return.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expenses all share-based payment awards to employees, directors, and consultants, including grants of stock options, warrants, and restricted stock, over the requisite service period based on the grant date fair value of the awards. Consultant awards are remeasured each reporting period through vesting.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The fair value of the Company’s restricted stock and restricted stock units is based on the closing market price of the Company’s common stock on the date of grant.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2016, the FASB issued ASU 2016-02, Leases (Topic 842). ASU 2016-02 requires that a lessee recognize lease assets and lease liabilities for those leases classified as operating leases. The guidance was effective for interim and annual periods beginning after December 15, 2018 and was adopted as of January 1, 2019. The Company adopted the standard using the modified retrospective transition method, with an immaterial adjustment to accumulated deficit upon adoption. The comparative information has not been restated and continues to be reported under the accounting standards that were in effect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those periods. The Company concluded that the adoption of ASU 2016-02 was non-cash in nature, did not affect the Company's cash position, and did not have a material impact on the Company's consolidated financial statements.</w:t>
      </w:r>
    </w:p>
    <w:p>
      <w:pPr>
        <w:spacing w:after="0" w:line="19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June 2016, the FASB issued ASU 2016-13, Financial Instruments—Credit Losses, which will require companies to present assets held at amortized cost and available for sale debt securities net of the amount expected to be collected. The guidance requires the measurement of expected credit losses to be based on relevant information from past events, including historical experiences, current conditions and reasonable and supportable forecasts that affect collectability. The guidance was effective for fiscal years and interim periods beginning after December 15, 2019 and early adoption was permitted. The adoption of this guidance did not have a material impact on the Company's consolidated financial statements.</w:t>
      </w:r>
    </w:p>
    <w:p>
      <w:pPr>
        <w:spacing w:after="0" w:line="2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June 2018, the FASB issued ASU 2018-07, "Improvements to Nonemployee Share-Based Payment Accounting," which supersedes ASC 505-50 and expands the scope of ASC 718 to include all share-based payments arrangements related to the acquisition of goods and services from both employees and nonemployees. For public companies, the amendments are effective for annual reporting periods beginning after December 15, 2018, including interim periods within those annual periods. Early adoption was permitted, but no earlier than a company's adoption date of ASC 606. The Company determined that the adoption of this new accounting guidance did not have a material impact on its consolidated financial statements and footnote disclosures.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2019, the FASB issued ASU 2019-07, "Codification Updates to SEC Sections", to codify the SEC releases that clarify and improve the disclosure and presentation requirements of a variety of codification topics, thereby eliminating certain disclosure requirements that were redundant, duplicative, overlapping, outdated, or superseded. The Company determined that the adoption of this new accounting guidance did not have a material impact on its consolidated financial statements and footnote disclosures.</w:t>
      </w:r>
    </w:p>
    <w:p>
      <w:pPr>
        <w:spacing w:after="0" w:line="2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October 2019, the FASB issued ASU 2019-12, which affects general principles within Topic 740, Income Taxes. The amendments of ASU 2019-12 are meant to simplify and reduce the cost of accounting for income taxes. For public business entities, the amendments in this Update are effective for fiscal years, and interim periods within those fiscal years, beginning after December 15, 2020. The Company believes that the adoption of this new accounting guidance will not have a material impact on its financial statements and footnote disclosures.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Available-for-Sale-Securities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is a summary of available-for-sale securities recorded in cash and cash equivalents or marketable securities in our Consolidated Balance Sheets (in thousands):</w:t>
      </w:r>
    </w:p>
    <w:p>
      <w:pPr>
        <w:spacing w:after="0" w:line="103"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5"/>
          </w:tcPr>
          <w:p>
            <w:pPr>
              <w:ind w:left="34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5"/>
          </w:tcPr>
          <w:p>
            <w:pPr>
              <w:ind w:left="16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1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9"/>
        </w:trPr>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Unrealized</w:t>
            </w: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Unrealized</w:t>
            </w:r>
          </w:p>
        </w:tc>
        <w:tc>
          <w:tcPr>
            <w:tcW w:w="1000" w:type="dxa"/>
            <w:vAlign w:val="bottom"/>
            <w:gridSpan w:val="3"/>
          </w:tcPr>
          <w:p>
            <w:pPr>
              <w:ind w:left="8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Unrealized</w:t>
            </w: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Unrealized</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Estimated</w:t>
            </w:r>
          </w:p>
        </w:tc>
      </w:tr>
      <w:tr>
        <w:trPr>
          <w:trHeight w:val="210"/>
        </w:trPr>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79"/>
              </w:rPr>
              <w:t>Losses</w:t>
            </w:r>
          </w:p>
        </w:tc>
        <w:tc>
          <w:tcPr>
            <w:tcW w:w="1000" w:type="dxa"/>
            <w:vAlign w:val="bottom"/>
            <w:gridSpan w:val="3"/>
          </w:tcPr>
          <w:p>
            <w:pPr>
              <w:ind w:left="6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79"/>
              </w:rPr>
              <w:t>Losses</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0"/>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9"/>
        </w:trPr>
        <w:tc>
          <w:tcPr>
            <w:tcW w:w="1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6,425</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11,673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11,675</w:t>
            </w:r>
          </w:p>
        </w:tc>
      </w:tr>
      <w:tr>
        <w:trPr>
          <w:trHeight w:val="220"/>
        </w:trPr>
        <w:tc>
          <w:tcPr>
            <w:tcW w:w="1160" w:type="dxa"/>
            <w:vAlign w:val="bottom"/>
          </w:tcPr>
          <w:p>
            <w:pPr>
              <w:ind w:left="20"/>
              <w:spacing w:after="0"/>
              <w:rPr>
                <w:sz w:val="20"/>
                <w:szCs w:val="20"/>
                <w:color w:val="auto"/>
              </w:rPr>
            </w:pPr>
            <w:r>
              <w:rPr>
                <w:rFonts w:ascii="Arial" w:cs="Arial" w:eastAsia="Arial" w:hAnsi="Arial"/>
                <w:sz w:val="16"/>
                <w:szCs w:val="16"/>
                <w:color w:val="auto"/>
              </w:rPr>
              <w:t>Money market</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6"/>
        </w:trPr>
        <w:tc>
          <w:tcPr>
            <w:tcW w:w="1160" w:type="dxa"/>
            <w:vAlign w:val="bottom"/>
          </w:tcPr>
          <w:p>
            <w:pPr>
              <w:ind w:left="20"/>
              <w:spacing w:after="0"/>
              <w:rPr>
                <w:sz w:val="20"/>
                <w:szCs w:val="20"/>
                <w:color w:val="auto"/>
              </w:rPr>
            </w:pPr>
            <w:r>
              <w:rPr>
                <w:rFonts w:ascii="Arial" w:cs="Arial" w:eastAsia="Arial" w:hAnsi="Arial"/>
                <w:sz w:val="16"/>
                <w:szCs w:val="16"/>
                <w:color w:val="auto"/>
              </w:rPr>
              <w:t>funds</w:t>
            </w:r>
          </w:p>
        </w:tc>
        <w:tc>
          <w:tcPr>
            <w:tcW w:w="1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5,019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11,093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11,093</w:t>
            </w:r>
          </w:p>
        </w:tc>
      </w:tr>
      <w:tr>
        <w:trPr>
          <w:trHeight w:val="33"/>
        </w:trPr>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0"/>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debt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9"/>
        </w:trPr>
        <w:tc>
          <w:tcPr>
            <w:tcW w:w="1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20,975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20,973</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1160" w:type="dxa"/>
            <w:vAlign w:val="bottom"/>
          </w:tcPr>
          <w:p>
            <w:pPr>
              <w:ind w:left="20"/>
              <w:spacing w:after="0"/>
              <w:rPr>
                <w:sz w:val="20"/>
                <w:szCs w:val="20"/>
                <w:color w:val="auto"/>
              </w:rPr>
            </w:pPr>
            <w:r>
              <w:rPr>
                <w:rFonts w:ascii="Arial" w:cs="Arial" w:eastAsia="Arial" w:hAnsi="Arial"/>
                <w:sz w:val="16"/>
                <w:szCs w:val="16"/>
                <w:color w:val="auto"/>
              </w:rPr>
              <w:t>Sovereign</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3"/>
        </w:trPr>
        <w:tc>
          <w:tcPr>
            <w:tcW w:w="1160" w:type="dxa"/>
            <w:vAlign w:val="bottom"/>
          </w:tcPr>
          <w:p>
            <w:pPr>
              <w:ind w:left="20"/>
              <w:spacing w:after="0"/>
              <w:rPr>
                <w:sz w:val="20"/>
                <w:szCs w:val="20"/>
                <w:color w:val="auto"/>
              </w:rPr>
            </w:pPr>
            <w:r>
              <w:rPr>
                <w:rFonts w:ascii="Arial" w:cs="Arial" w:eastAsia="Arial" w:hAnsi="Arial"/>
                <w:sz w:val="16"/>
                <w:szCs w:val="16"/>
                <w:color w:val="auto"/>
              </w:rPr>
              <w:t>government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6"/>
        </w:trPr>
        <w:tc>
          <w:tcPr>
            <w:tcW w:w="1160" w:type="dxa"/>
            <w:vAlign w:val="bottom"/>
          </w:tcPr>
          <w:p>
            <w:pPr>
              <w:ind w:left="20"/>
              <w:spacing w:after="0"/>
              <w:rPr>
                <w:sz w:val="20"/>
                <w:szCs w:val="20"/>
                <w:color w:val="auto"/>
              </w:rPr>
            </w:pPr>
            <w:r>
              <w:rPr>
                <w:rFonts w:ascii="Arial" w:cs="Arial" w:eastAsia="Arial" w:hAnsi="Arial"/>
                <w:sz w:val="16"/>
                <w:szCs w:val="16"/>
                <w:color w:val="auto"/>
              </w:rPr>
              <w:t>securities</w:t>
            </w:r>
          </w:p>
        </w:tc>
        <w:tc>
          <w:tcPr>
            <w:tcW w:w="1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1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2"/>
        </w:trPr>
        <w:tc>
          <w:tcPr>
            <w:tcW w:w="1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32,621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32,614</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22,766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22,768</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Estimated fair values of available-for-sale securities are generally based on prices obtained from commercial pricing services. The following table summarizes the classification of the available-for-sale securities in our Consolidated Balance Sheets (in thousands):</w:t>
      </w:r>
    </w:p>
    <w:p>
      <w:pPr>
        <w:spacing w:after="0" w:line="94"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6"/>
                <w:szCs w:val="16"/>
                <w:color w:val="auto"/>
              </w:rPr>
            </w:pPr>
          </w:p>
        </w:tc>
        <w:tc>
          <w:tcPr>
            <w:tcW w:w="132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December 31, 2019</w:t>
            </w:r>
          </w:p>
        </w:tc>
      </w:tr>
      <w:tr>
        <w:trPr>
          <w:trHeight w:val="249"/>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24,407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11,643</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8,207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11,125</w:t>
            </w:r>
          </w:p>
        </w:tc>
      </w:tr>
      <w:tr>
        <w:trPr>
          <w:trHeight w:val="27"/>
        </w:trPr>
        <w:tc>
          <w:tcPr>
            <w:tcW w:w="6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6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32,614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22,768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portfolio of available-for-sale securities by contractual maturity (in thousands):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June 30, 2020</w:t>
            </w:r>
          </w:p>
        </w:tc>
        <w:tc>
          <w:tcPr>
            <w:tcW w:w="840" w:type="dxa"/>
            <w:vAlign w:val="bottom"/>
            <w:tcBorders>
              <w:bottom w:val="single" w:sz="8" w:color="auto"/>
            </w:tcBorders>
          </w:tcPr>
          <w:p>
            <w:pPr>
              <w:spacing w:after="0"/>
              <w:rPr>
                <w:sz w:val="16"/>
                <w:szCs w:val="16"/>
                <w:color w:val="auto"/>
              </w:rPr>
            </w:pPr>
          </w:p>
        </w:tc>
      </w:tr>
      <w:tr>
        <w:trPr>
          <w:trHeight w:val="196"/>
        </w:trPr>
        <w:tc>
          <w:tcPr>
            <w:tcW w:w="6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Estimated Fair Value</w:t>
            </w:r>
          </w:p>
        </w:tc>
      </w:tr>
      <w:tr>
        <w:trPr>
          <w:trHeight w:val="250"/>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32,621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32,614</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Greater than one year</w:t>
            </w:r>
          </w:p>
        </w:tc>
        <w:tc>
          <w:tcPr>
            <w:tcW w:w="18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8"/>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32,621</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32,614</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Income (Loss) Per Share</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the three and six months ended June 30, 2020, the Company reported net income in each period. However, no common stock equivalents were utilized in the calculation of diluted income per share since any conversion as of June 30, 2020 would have been anti-dilutive. For the three and six months ended June 30, 2019, the Company incurred net losses and therefore no common stock equivalents were utilized in the calculation of diluted loss per share as they are anti-dilutive. At June 30, 2020 and 2019, the Company excluded the following potentially dilutive securities (in thousands):</w:t>
      </w:r>
    </w:p>
    <w:p>
      <w:pPr>
        <w:spacing w:after="0" w:line="149"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23495</wp:posOffset>
            </wp:positionV>
            <wp:extent cx="2289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9175"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49"/>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1,101</w:t>
            </w:r>
          </w:p>
        </w:tc>
      </w:tr>
      <w:tr>
        <w:trPr>
          <w:trHeight w:val="24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Warrants</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21"/>
                <w:szCs w:val="21"/>
                <w:color w:val="auto"/>
              </w:rPr>
            </w:pPr>
          </w:p>
        </w:tc>
        <w:tc>
          <w:tcPr>
            <w:tcW w:w="1760" w:type="dxa"/>
            <w:vAlign w:val="bottom"/>
          </w:tcPr>
          <w:p>
            <w:pPr>
              <w:jc w:val="right"/>
              <w:ind w:right="75"/>
              <w:spacing w:after="0"/>
              <w:rPr>
                <w:sz w:val="20"/>
                <w:szCs w:val="20"/>
                <w:color w:val="auto"/>
              </w:rPr>
            </w:pPr>
            <w:r>
              <w:rPr>
                <w:rFonts w:ascii="Arial" w:cs="Arial" w:eastAsia="Arial" w:hAnsi="Arial"/>
                <w:sz w:val="18"/>
                <w:szCs w:val="18"/>
                <w:color w:val="auto"/>
              </w:rPr>
              <w:t>30</w:t>
            </w:r>
          </w:p>
        </w:tc>
      </w:tr>
      <w:tr>
        <w:trPr>
          <w:trHeight w:val="27"/>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240</w:t>
            </w:r>
          </w:p>
        </w:tc>
      </w:tr>
      <w:tr>
        <w:trPr>
          <w:trHeight w:val="27"/>
        </w:trPr>
        <w:tc>
          <w:tcPr>
            <w:tcW w:w="7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Fair Value Measurements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Level 1 inputs are defined as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2 inputs are defined as inputs other than quoted prices included within Level 1 that are observable for the assets or liabilities, either directly or indirectly.</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as of June 30, 2020, and December 31, 2019 (in thousands).</w:t>
      </w:r>
    </w:p>
    <w:p>
      <w:pPr>
        <w:spacing w:after="0" w:line="81"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1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7"/>
                <w:szCs w:val="17"/>
                <w:color w:val="auto"/>
              </w:rPr>
            </w:pPr>
          </w:p>
        </w:tc>
        <w:tc>
          <w:tcPr>
            <w:tcW w:w="700" w:type="dxa"/>
            <w:vAlign w:val="bottom"/>
          </w:tcPr>
          <w:p>
            <w:pPr>
              <w:jc w:val="right"/>
              <w:ind w:right="222"/>
              <w:spacing w:after="0"/>
              <w:rPr>
                <w:sz w:val="20"/>
                <w:szCs w:val="20"/>
                <w:color w:val="auto"/>
              </w:rPr>
            </w:pPr>
            <w:r>
              <w:rPr>
                <w:rFonts w:ascii="Arial" w:cs="Arial" w:eastAsia="Arial" w:hAnsi="Arial"/>
                <w:sz w:val="14"/>
                <w:szCs w:val="14"/>
                <w:b w:val="1"/>
                <w:bCs w:val="1"/>
                <w:color w:val="auto"/>
              </w:rPr>
              <w:t>Total</w:t>
            </w:r>
          </w:p>
        </w:tc>
      </w:tr>
      <w:tr>
        <w:trPr>
          <w:trHeight w:val="223"/>
        </w:trPr>
        <w:tc>
          <w:tcPr>
            <w:tcW w:w="1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0"/>
        </w:trPr>
        <w:tc>
          <w:tcPr>
            <w:tcW w:w="1680" w:type="dxa"/>
            <w:vAlign w:val="bottom"/>
          </w:tcPr>
          <w:p>
            <w:pPr>
              <w:ind w:left="20"/>
              <w:spacing w:after="0"/>
              <w:rPr>
                <w:sz w:val="20"/>
                <w:szCs w:val="20"/>
                <w:color w:val="auto"/>
              </w:rPr>
            </w:pPr>
            <w:r>
              <w:rPr>
                <w:rFonts w:ascii="Arial" w:cs="Arial" w:eastAsia="Arial" w:hAnsi="Arial"/>
                <w:sz w:val="16"/>
                <w:szCs w:val="16"/>
                <w:color w:val="auto"/>
              </w:rPr>
              <w:t>Marketable securities -</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6"/>
        </w:trPr>
        <w:tc>
          <w:tcPr>
            <w:tcW w:w="1680" w:type="dxa"/>
            <w:vAlign w:val="bottom"/>
          </w:tcPr>
          <w:p>
            <w:pPr>
              <w:ind w:left="20"/>
              <w:spacing w:after="0"/>
              <w:rPr>
                <w:sz w:val="20"/>
                <w:szCs w:val="20"/>
                <w:color w:val="auto"/>
              </w:rPr>
            </w:pPr>
            <w:r>
              <w:rPr>
                <w:rFonts w:ascii="Arial" w:cs="Arial" w:eastAsia="Arial" w:hAnsi="Arial"/>
                <w:sz w:val="16"/>
                <w:szCs w:val="16"/>
                <w:color w:val="auto"/>
              </w:rPr>
              <w:t>available for sale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44"/>
              <w:spacing w:after="0"/>
              <w:rPr>
                <w:sz w:val="20"/>
                <w:szCs w:val="20"/>
                <w:color w:val="auto"/>
              </w:rPr>
            </w:pPr>
            <w:r>
              <w:rPr>
                <w:rFonts w:ascii="Arial" w:cs="Arial" w:eastAsia="Arial" w:hAnsi="Arial"/>
                <w:sz w:val="16"/>
                <w:szCs w:val="16"/>
                <w:color w:val="auto"/>
              </w:rPr>
              <w:t>8,207</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8,207</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64"/>
              <w:spacing w:after="0"/>
              <w:rPr>
                <w:sz w:val="20"/>
                <w:szCs w:val="20"/>
                <w:color w:val="auto"/>
              </w:rPr>
            </w:pPr>
            <w:r>
              <w:rPr>
                <w:rFonts w:ascii="Arial" w:cs="Arial" w:eastAsia="Arial" w:hAnsi="Arial"/>
                <w:sz w:val="16"/>
                <w:szCs w:val="16"/>
                <w:color w:val="auto"/>
              </w:rPr>
              <w:t>11,125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11,125</w:t>
            </w:r>
          </w:p>
        </w:tc>
      </w:tr>
      <w:tr>
        <w:trPr>
          <w:trHeight w:val="33"/>
        </w:trPr>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5"/>
        </w:trPr>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8,207</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8,207</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11,125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11,125</w:t>
            </w: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Accrued Liabilities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as of June 30, 2020 and December 31, 2019 were as follows (in thousands):</w:t>
      </w:r>
    </w:p>
    <w:p>
      <w:pPr>
        <w:spacing w:after="0" w:line="149"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6"/>
                <w:szCs w:val="16"/>
                <w:color w:val="auto"/>
              </w:rPr>
            </w:pPr>
          </w:p>
        </w:tc>
        <w:tc>
          <w:tcPr>
            <w:tcW w:w="1540" w:type="dxa"/>
            <w:vAlign w:val="bottom"/>
          </w:tcPr>
          <w:p>
            <w:pPr>
              <w:jc w:val="right"/>
              <w:ind w:right="213"/>
              <w:spacing w:after="0"/>
              <w:rPr>
                <w:sz w:val="20"/>
                <w:szCs w:val="20"/>
                <w:color w:val="auto"/>
              </w:rPr>
            </w:pPr>
            <w:r>
              <w:rPr>
                <w:rFonts w:ascii="Arial" w:cs="Arial" w:eastAsia="Arial" w:hAnsi="Arial"/>
                <w:sz w:val="14"/>
                <w:szCs w:val="14"/>
                <w:b w:val="1"/>
                <w:bCs w:val="1"/>
                <w:color w:val="auto"/>
                <w:w w:val="96"/>
              </w:rPr>
              <w:t>December 31, 2019</w:t>
            </w:r>
          </w:p>
        </w:tc>
      </w:tr>
      <w:tr>
        <w:trPr>
          <w:trHeight w:val="250"/>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employee benefits and related taxes</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1,834</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30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53"/>
              <w:spacing w:after="0"/>
              <w:rPr>
                <w:sz w:val="20"/>
                <w:szCs w:val="20"/>
                <w:color w:val="auto"/>
              </w:rPr>
            </w:pPr>
            <w:r>
              <w:rPr>
                <w:rFonts w:ascii="Arial" w:cs="Arial" w:eastAsia="Arial" w:hAnsi="Arial"/>
                <w:sz w:val="18"/>
                <w:szCs w:val="18"/>
                <w:color w:val="auto"/>
              </w:rPr>
              <w:t>354</w:t>
            </w: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CIRM upfront funding -- current</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1,600</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869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53"/>
              <w:spacing w:after="0"/>
              <w:rPr>
                <w:sz w:val="20"/>
                <w:szCs w:val="20"/>
                <w:color w:val="auto"/>
              </w:rPr>
            </w:pPr>
            <w:r>
              <w:rPr>
                <w:rFonts w:ascii="Arial" w:cs="Arial" w:eastAsia="Arial" w:hAnsi="Arial"/>
                <w:sz w:val="18"/>
                <w:szCs w:val="18"/>
                <w:color w:val="auto"/>
              </w:rPr>
              <w:t>698</w:t>
            </w:r>
          </w:p>
        </w:tc>
      </w:tr>
      <w:tr>
        <w:trPr>
          <w:trHeight w:val="27"/>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2,888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4,486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Operating Leases</w:t>
      </w:r>
    </w:p>
    <w:p>
      <w:pPr>
        <w:spacing w:after="0" w:line="256" w:lineRule="exact"/>
        <w:rPr>
          <w:sz w:val="20"/>
          <w:szCs w:val="20"/>
          <w:color w:val="auto"/>
        </w:rPr>
      </w:pPr>
    </w:p>
    <w:p>
      <w:pPr>
        <w:jc w:val="both"/>
        <w:ind w:firstLine="374"/>
        <w:spacing w:after="0" w:line="296" w:lineRule="auto"/>
        <w:rPr>
          <w:sz w:val="20"/>
          <w:szCs w:val="20"/>
          <w:color w:val="auto"/>
        </w:rPr>
      </w:pPr>
      <w:r>
        <w:rPr>
          <w:rFonts w:ascii="Arial" w:cs="Arial" w:eastAsia="Arial" w:hAnsi="Arial"/>
          <w:sz w:val="16"/>
          <w:szCs w:val="16"/>
          <w:color w:val="auto"/>
        </w:rPr>
        <w:t>The Company has operating leases for two offices with terms that expire in 2022 and 2023. The Company estimates its incremental borrowing rate, at lease commencement, to determine the present value of lease payments, since most of the Company's leases do not provide an implicit rate of return. The Company recognizes lease expense on a straight-line basis over the lease term. For lease agreements entered into or reassessed after the adoption of Topic 842, the Company elected to account for non-lease components associated with its leases and lease components as a single lease component. Each of the Company's leases include options for the Company to extend the lease term and/or sub-lease space in whole or in part.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Operating lease liabilities and right-of-use assets were recorded in the following captions of our balance sheet were as follows (in thousands):</w:t>
      </w:r>
    </w:p>
    <w:p>
      <w:pPr>
        <w:spacing w:after="0" w:line="161"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5600" w:type="dxa"/>
            <w:vAlign w:val="bottom"/>
            <w:tcBorders>
              <w:bottom w:val="single" w:sz="8" w:color="BFE4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BFE4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December 31, 2019</w:t>
            </w:r>
          </w:p>
        </w:tc>
      </w:tr>
      <w:tr>
        <w:trPr>
          <w:trHeight w:val="236"/>
        </w:trPr>
        <w:tc>
          <w:tcPr>
            <w:tcW w:w="56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Right-of Use Assets:</w:t>
            </w:r>
          </w:p>
        </w:tc>
        <w:tc>
          <w:tcPr>
            <w:tcW w:w="1300" w:type="dxa"/>
            <w:vAlign w:val="bottom"/>
            <w:tcBorders>
              <w:bottom w:val="single" w:sz="8" w:color="BFE4FF"/>
            </w:tcBorders>
            <w:shd w:val="clear" w:color="auto" w:fill="BFE4FF"/>
          </w:tcPr>
          <w:p>
            <w:pPr>
              <w:spacing w:after="0"/>
              <w:rPr>
                <w:sz w:val="20"/>
                <w:szCs w:val="20"/>
                <w:color w:val="auto"/>
              </w:rPr>
            </w:pPr>
          </w:p>
        </w:tc>
        <w:tc>
          <w:tcPr>
            <w:tcW w:w="44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00" w:type="dxa"/>
            <w:vAlign w:val="bottom"/>
            <w:tcBorders>
              <w:bottom w:val="single" w:sz="8" w:color="BFE4FF"/>
            </w:tcBorders>
            <w:shd w:val="clear" w:color="auto" w:fill="BFE4FF"/>
          </w:tcPr>
          <w:p>
            <w:pPr>
              <w:spacing w:after="0"/>
              <w:rPr>
                <w:sz w:val="20"/>
                <w:szCs w:val="20"/>
                <w:color w:val="auto"/>
              </w:rPr>
            </w:pPr>
          </w:p>
        </w:tc>
        <w:tc>
          <w:tcPr>
            <w:tcW w:w="1540" w:type="dxa"/>
            <w:vAlign w:val="bottom"/>
            <w:tcBorders>
              <w:bottom w:val="single" w:sz="8" w:color="BFE4FF"/>
            </w:tcBorders>
            <w:shd w:val="clear" w:color="auto" w:fill="BFE4FF"/>
          </w:tcPr>
          <w:p>
            <w:pPr>
              <w:spacing w:after="0"/>
              <w:rPr>
                <w:sz w:val="20"/>
                <w:szCs w:val="20"/>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300" w:type="dxa"/>
            <w:vAlign w:val="bottom"/>
          </w:tcPr>
          <w:p>
            <w:pPr>
              <w:jc w:val="right"/>
              <w:ind w:right="109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w w:val="93"/>
              </w:rPr>
              <w:t>731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906</w:t>
            </w:r>
          </w:p>
        </w:tc>
      </w:tr>
      <w:tr>
        <w:trPr>
          <w:trHeight w:val="27"/>
        </w:trPr>
        <w:tc>
          <w:tcPr>
            <w:tcW w:w="5600" w:type="dxa"/>
            <w:vAlign w:val="bottom"/>
            <w:tcBorders>
              <w:bottom w:val="single" w:sz="8" w:color="BFE4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9"/>
        </w:trPr>
        <w:tc>
          <w:tcPr>
            <w:tcW w:w="56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Right-of-Use Asset</w:t>
            </w:r>
          </w:p>
        </w:tc>
        <w:tc>
          <w:tcPr>
            <w:tcW w:w="1300" w:type="dxa"/>
            <w:vAlign w:val="bottom"/>
            <w:tcBorders>
              <w:bottom w:val="single" w:sz="8" w:color="auto"/>
            </w:tcBorders>
            <w:shd w:val="clear" w:color="auto" w:fill="BFE4FF"/>
          </w:tcPr>
          <w:p>
            <w:pPr>
              <w:jc w:val="right"/>
              <w:ind w:right="109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93"/>
              </w:rPr>
              <w:t>731</w:t>
            </w:r>
          </w:p>
        </w:tc>
        <w:tc>
          <w:tcPr>
            <w:tcW w:w="120" w:type="dxa"/>
            <w:vAlign w:val="bottom"/>
            <w:tcBorders>
              <w:bottom w:val="single" w:sz="8" w:color="BFE4FF"/>
            </w:tcBorders>
            <w:shd w:val="clear" w:color="auto" w:fill="BFE4FF"/>
          </w:tcPr>
          <w:p>
            <w:pPr>
              <w:spacing w:after="0"/>
              <w:rPr>
                <w:sz w:val="24"/>
                <w:szCs w:val="24"/>
                <w:color w:val="auto"/>
              </w:rPr>
            </w:pPr>
          </w:p>
        </w:tc>
        <w:tc>
          <w:tcPr>
            <w:tcW w:w="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BFE4FF"/>
          </w:tcPr>
          <w:p>
            <w:pPr>
              <w:jc w:val="right"/>
              <w:ind w:right="33"/>
              <w:spacing w:after="0"/>
              <w:rPr>
                <w:sz w:val="20"/>
                <w:szCs w:val="20"/>
                <w:color w:val="auto"/>
              </w:rPr>
            </w:pPr>
            <w:r>
              <w:rPr>
                <w:rFonts w:ascii="Arial" w:cs="Arial" w:eastAsia="Arial" w:hAnsi="Arial"/>
                <w:sz w:val="18"/>
                <w:szCs w:val="18"/>
                <w:color w:val="auto"/>
              </w:rPr>
              <w:t>906</w:t>
            </w:r>
          </w:p>
        </w:tc>
      </w:tr>
      <w:tr>
        <w:trPr>
          <w:trHeight w:val="20"/>
        </w:trPr>
        <w:tc>
          <w:tcPr>
            <w:tcW w:w="5600" w:type="dxa"/>
            <w:vAlign w:val="bottom"/>
            <w:tcBorders>
              <w:top w:val="single" w:sz="8" w:color="BFE4FF"/>
            </w:tcBorders>
          </w:tcPr>
          <w:p>
            <w:pPr>
              <w:spacing w:after="0" w:line="20" w:lineRule="exact"/>
              <w:rPr>
                <w:sz w:val="1"/>
                <w:szCs w:val="1"/>
                <w:color w:val="auto"/>
              </w:rPr>
            </w:pPr>
          </w:p>
        </w:tc>
        <w:tc>
          <w:tcPr>
            <w:tcW w:w="1300" w:type="dxa"/>
            <w:vAlign w:val="bottom"/>
            <w:tcBorders>
              <w:top w:val="single" w:sz="8" w:color="BFE4FF"/>
              <w:bottom w:val="single" w:sz="8" w:color="auto"/>
            </w:tcBorders>
          </w:tcPr>
          <w:p>
            <w:pPr>
              <w:spacing w:after="0" w:line="20" w:lineRule="exact"/>
              <w:rPr>
                <w:sz w:val="1"/>
                <w:szCs w:val="1"/>
                <w:color w:val="auto"/>
              </w:rPr>
            </w:pPr>
          </w:p>
        </w:tc>
        <w:tc>
          <w:tcPr>
            <w:tcW w:w="44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BFE4FF"/>
              <w:bottom w:val="single" w:sz="8" w:color="auto"/>
            </w:tcBorders>
          </w:tcPr>
          <w:p>
            <w:pPr>
              <w:spacing w:after="0" w:line="20" w:lineRule="exact"/>
              <w:rPr>
                <w:sz w:val="1"/>
                <w:szCs w:val="1"/>
                <w:color w:val="auto"/>
              </w:rPr>
            </w:pPr>
          </w:p>
        </w:tc>
        <w:tc>
          <w:tcPr>
            <w:tcW w:w="1540" w:type="dxa"/>
            <w:vAlign w:val="bottom"/>
            <w:tcBorders>
              <w:top w:val="single" w:sz="8" w:color="BFE4FF"/>
              <w:bottom w:val="single" w:sz="8" w:color="auto"/>
            </w:tcBorders>
          </w:tcPr>
          <w:p>
            <w:pPr>
              <w:spacing w:after="0" w:line="20" w:lineRule="exact"/>
              <w:rPr>
                <w:sz w:val="1"/>
                <w:szCs w:val="1"/>
                <w:color w:val="auto"/>
              </w:rPr>
            </w:pPr>
          </w:p>
        </w:tc>
      </w:tr>
      <w:tr>
        <w:trPr>
          <w:trHeight w:val="203"/>
        </w:trPr>
        <w:tc>
          <w:tcPr>
            <w:tcW w:w="5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50"/>
        </w:trPr>
        <w:tc>
          <w:tcPr>
            <w:tcW w:w="56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Operating Lease Liabilities:</w:t>
            </w:r>
          </w:p>
        </w:tc>
        <w:tc>
          <w:tcPr>
            <w:tcW w:w="130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spacing w:after="0"/>
              <w:rPr>
                <w:sz w:val="21"/>
                <w:szCs w:val="2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300" w:type="dxa"/>
            <w:vAlign w:val="bottom"/>
          </w:tcPr>
          <w:p>
            <w:pPr>
              <w:jc w:val="right"/>
              <w:ind w:right="109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w w:val="93"/>
              </w:rPr>
              <w:t>349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353</w:t>
            </w:r>
          </w:p>
        </w:tc>
      </w:tr>
      <w:tr>
        <w:trPr>
          <w:trHeight w:val="27"/>
        </w:trPr>
        <w:tc>
          <w:tcPr>
            <w:tcW w:w="5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6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Other long-term liabilities</w:t>
            </w:r>
          </w:p>
        </w:tc>
        <w:tc>
          <w:tcPr>
            <w:tcW w:w="1300" w:type="dxa"/>
            <w:vAlign w:val="bottom"/>
            <w:tcBorders>
              <w:bottom w:val="single" w:sz="8" w:color="BFE4FF"/>
            </w:tcBorders>
            <w:shd w:val="clear" w:color="auto" w:fill="BFE4FF"/>
          </w:tcPr>
          <w:p>
            <w:pPr>
              <w:spacing w:after="0"/>
              <w:rPr>
                <w:sz w:val="23"/>
                <w:szCs w:val="23"/>
                <w:color w:val="auto"/>
              </w:rPr>
            </w:pPr>
          </w:p>
        </w:tc>
        <w:tc>
          <w:tcPr>
            <w:tcW w:w="44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3"/>
              </w:rPr>
              <w:t>445</w:t>
            </w:r>
          </w:p>
        </w:tc>
        <w:tc>
          <w:tcPr>
            <w:tcW w:w="12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154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624</w:t>
            </w:r>
          </w:p>
        </w:tc>
      </w:tr>
      <w:tr>
        <w:trPr>
          <w:trHeight w:val="263"/>
        </w:trPr>
        <w:tc>
          <w:tcPr>
            <w:tcW w:w="560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300" w:type="dxa"/>
            <w:vAlign w:val="bottom"/>
            <w:tcBorders>
              <w:top w:val="single" w:sz="8" w:color="auto"/>
              <w:bottom w:val="single" w:sz="8" w:color="auto"/>
            </w:tcBorders>
          </w:tcPr>
          <w:p>
            <w:pPr>
              <w:jc w:val="right"/>
              <w:ind w:right="109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794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977</w:t>
            </w:r>
          </w:p>
        </w:tc>
      </w:tr>
      <w:tr>
        <w:trPr>
          <w:trHeight w:val="20"/>
        </w:trPr>
        <w:tc>
          <w:tcPr>
            <w:tcW w:w="56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firstLine="366"/>
        <w:spacing w:after="0" w:line="342" w:lineRule="auto"/>
        <w:rPr>
          <w:sz w:val="20"/>
          <w:szCs w:val="20"/>
          <w:color w:val="auto"/>
        </w:rPr>
      </w:pPr>
      <w:r>
        <w:rPr>
          <w:rFonts w:ascii="Arial" w:cs="Arial" w:eastAsia="Arial" w:hAnsi="Arial"/>
          <w:sz w:val="16"/>
          <w:szCs w:val="16"/>
          <w:color w:val="auto"/>
        </w:rPr>
        <w:t>As of June 30, 2020, the weighted average remaining lease term for our operating leases was 1.6 years, and the weighted average discount rate for our operating leases was 9.625%. Future minimum lease payments under the lease agreements as of June 30, 2020 were as follows (in thousands):</w:t>
      </w:r>
    </w:p>
    <w:p>
      <w:pPr>
        <w:spacing w:after="0" w:line="43" w:lineRule="exact"/>
        <w:rPr>
          <w:sz w:val="20"/>
          <w:szCs w:val="20"/>
          <w:color w:val="auto"/>
        </w:rPr>
      </w:pPr>
    </w:p>
    <w:tbl>
      <w:tblPr>
        <w:tblLayout w:type="fixed"/>
        <w:tblInd w:w="1020" w:type="dxa"/>
        <w:tblCellMar>
          <w:top w:w="0" w:type="dxa"/>
          <w:left w:w="0" w:type="dxa"/>
          <w:bottom w:w="0" w:type="dxa"/>
          <w:right w:w="0" w:type="dxa"/>
        </w:tblCellMar>
      </w:tblPr>
      <w:tr>
        <w:trPr>
          <w:trHeight w:val="210"/>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Years ended</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Operating Leases</w:t>
            </w:r>
          </w:p>
        </w:tc>
      </w:tr>
      <w:tr>
        <w:trPr>
          <w:trHeight w:val="33"/>
        </w:trPr>
        <w:tc>
          <w:tcPr>
            <w:tcW w:w="7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rPr>
              <w:t>204</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414</w:t>
            </w:r>
          </w:p>
        </w:tc>
      </w:tr>
      <w:tr>
        <w:trPr>
          <w:trHeight w:val="27"/>
        </w:trPr>
        <w:tc>
          <w:tcPr>
            <w:tcW w:w="7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rPr>
              <w:t>239</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27</w:t>
            </w:r>
          </w:p>
        </w:tc>
      </w:tr>
      <w:tr>
        <w:trPr>
          <w:trHeight w:val="27"/>
        </w:trPr>
        <w:tc>
          <w:tcPr>
            <w:tcW w:w="792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lease payments</w:t>
            </w:r>
          </w:p>
        </w:tc>
        <w:tc>
          <w:tcPr>
            <w:tcW w:w="50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rPr>
              <w:t>884</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792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7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Present value of lease liabilities</w:t>
            </w:r>
          </w:p>
        </w:tc>
        <w:tc>
          <w:tcPr>
            <w:tcW w:w="500" w:type="dxa"/>
            <w:vAlign w:val="bottom"/>
            <w:tcBorders>
              <w:bottom w:val="single" w:sz="8" w:color="auto"/>
            </w:tcBorders>
            <w:shd w:val="clear" w:color="auto" w:fill="BFE4FF"/>
          </w:tcPr>
          <w:p>
            <w:pPr>
              <w:jc w:val="right"/>
              <w:ind w:right="315"/>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rPr>
              <w:t>794</w:t>
            </w:r>
          </w:p>
        </w:tc>
      </w:tr>
      <w:tr>
        <w:trPr>
          <w:trHeight w:val="20"/>
        </w:trPr>
        <w:tc>
          <w:tcPr>
            <w:tcW w:w="792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BFE4FF"/>
              <w:bottom w:val="single" w:sz="8" w:color="auto"/>
            </w:tcBorders>
          </w:tcPr>
          <w:p>
            <w:pPr>
              <w:spacing w:after="0" w:line="20" w:lineRule="exact"/>
              <w:rPr>
                <w:sz w:val="1"/>
                <w:szCs w:val="1"/>
                <w:color w:val="auto"/>
              </w:rPr>
            </w:pPr>
          </w:p>
        </w:tc>
        <w:tc>
          <w:tcPr>
            <w:tcW w:w="800" w:type="dxa"/>
            <w:vAlign w:val="bottom"/>
            <w:tcBorders>
              <w:top w:val="single" w:sz="8" w:color="BFE4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Agreement</w:t>
      </w:r>
    </w:p>
    <w:p>
      <w:pPr>
        <w:spacing w:after="0" w:line="252" w:lineRule="exact"/>
        <w:rPr>
          <w:sz w:val="20"/>
          <w:szCs w:val="20"/>
          <w:color w:val="auto"/>
        </w:rPr>
      </w:pPr>
    </w:p>
    <w:p>
      <w:pPr>
        <w:ind w:firstLine="418"/>
        <w:spacing w:after="0" w:line="277" w:lineRule="auto"/>
        <w:rPr>
          <w:sz w:val="20"/>
          <w:szCs w:val="20"/>
          <w:color w:val="auto"/>
        </w:rPr>
      </w:pPr>
      <w:r>
        <w:rPr>
          <w:rFonts w:ascii="Arial" w:cs="Arial" w:eastAsia="Arial" w:hAnsi="Arial"/>
          <w:sz w:val="18"/>
          <w:szCs w:val="18"/>
          <w:color w:val="auto"/>
        </w:rPr>
        <w:t>In March 2019, the Company and Lincoln Park Capital Fund, LLC (“Lincoln Park”) entered into a purchase agreement (the “Purchase Agreement”) and a registration rights agreement (the “Registration Rights Agreement”), pursuant to which the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has the right to sell to Lincoln Park shares of the Company’s common stock having an aggregate value of up to $26.0 million, subject to certain limitations and conditions set forth in the Purchase Agreement (the “Offering”). As consideration for entering into the Purchase Agreement, the Company issued to Lincoln Park an additional 181,510 shares of common stock as commitment shares.</w:t>
      </w:r>
    </w:p>
    <w:p>
      <w:pPr>
        <w:spacing w:after="0" w:line="211" w:lineRule="exact"/>
        <w:rPr>
          <w:sz w:val="20"/>
          <w:szCs w:val="20"/>
          <w:color w:val="auto"/>
        </w:rPr>
      </w:pPr>
    </w:p>
    <w:p>
      <w:pPr>
        <w:jc w:val="both"/>
        <w:ind w:firstLine="370"/>
        <w:spacing w:after="0" w:line="287" w:lineRule="auto"/>
        <w:rPr>
          <w:sz w:val="20"/>
          <w:szCs w:val="20"/>
          <w:color w:val="auto"/>
        </w:rPr>
      </w:pPr>
      <w:r>
        <w:rPr>
          <w:rFonts w:ascii="Arial" w:cs="Arial" w:eastAsia="Arial" w:hAnsi="Arial"/>
          <w:sz w:val="16"/>
          <w:szCs w:val="16"/>
          <w:color w:val="auto"/>
        </w:rPr>
        <w:t>Pursuant to the Purchase Agreement, Lincoln Park purchased 250,000 shares of common stock, at a price of $4.00 per share, for a total gross purchase price of $1.0 million (the “Initial Purchase”) upon commencement. Thereafter, as often as every business day from and after one business day following the date of the Initial Purchase and over the 36-month term of the Purchase Agreement the Company has the right, from time to time, at its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 million, unless the Company and Lincoln Park mutually agree to increase the maximum amount of such single purchase (each, a “Regular Purchase”). If the Company directs Lincoln Park to purchase the maximum number of shares of common stock it then may sell in a Regular Purchase, then in addition to such Regular Purchase, and subject to certain conditions and limitations in the Purchase Agreement, the Company may direct Lincoln Park in an “accelerated purchase” to purchase an additional amount of common stock that may not exceed the lesser of (i) 300% the number of shares purchased pursuant to the corresponding Regular Purchase or (ii) 30% of the total number of shares of the Company’s common stock traded during a specified period on the applicable purchase date as set forth in the Purchase Agreement. Under certain circumstances and in accordance with the Purchase Agreement, the Company may direct Lincoln Park to purchase shares in multiple accelerated purchases on the same trading day.</w:t>
      </w:r>
    </w:p>
    <w:p>
      <w:pPr>
        <w:spacing w:after="0" w:line="195" w:lineRule="exact"/>
        <w:rPr>
          <w:sz w:val="20"/>
          <w:szCs w:val="20"/>
          <w:color w:val="auto"/>
        </w:rPr>
      </w:pPr>
    </w:p>
    <w:p>
      <w:pPr>
        <w:jc w:val="both"/>
        <w:ind w:firstLine="434"/>
        <w:spacing w:after="0" w:line="279" w:lineRule="auto"/>
        <w:rPr>
          <w:sz w:val="20"/>
          <w:szCs w:val="20"/>
          <w:color w:val="auto"/>
        </w:rPr>
      </w:pPr>
      <w:r>
        <w:rPr>
          <w:rFonts w:ascii="Arial" w:cs="Arial" w:eastAsia="Arial" w:hAnsi="Arial"/>
          <w:sz w:val="17"/>
          <w:szCs w:val="17"/>
          <w:color w:val="auto"/>
        </w:rPr>
        <w:t>The Company controls the timing and amount of any sales of its common stock to Lincoln Park. There is no upper limit on the price per share that Lincoln Park must pay for its common stock under the Purchase Agreement, but in no event will shares be sold to Lincoln Park on a day the closing price is less than the floor price specified in the Purchase Agreement. In all instances, the Company may not sell shares of its common stock to Lincoln Park under the purchase agreement if it would result in Lincoln Park beneficially owning more than 9.99% of its common stock.</w:t>
      </w:r>
    </w:p>
    <w:p>
      <w:pPr>
        <w:spacing w:after="0" w:line="19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Purchase Agreement does not limit the Company’s ability to raise capital from other sources at the Company’s sole discretion, except that (subject to certain exceptions) the Company may not enter into any Variable Rate Transaction (as defined in the Purchase Agreement, including the issuance of any floating conversion rate or variable priced equity-like securities) during the 36 months after the date of the Purchase Agreement. The Company has the right to terminate the Purchase Agreement at any time, at no cost to the Company.</w:t>
      </w:r>
    </w:p>
    <w:p>
      <w:pPr>
        <w:spacing w:after="0" w:line="214" w:lineRule="exact"/>
        <w:rPr>
          <w:sz w:val="20"/>
          <w:szCs w:val="20"/>
          <w:color w:val="auto"/>
        </w:rPr>
      </w:pPr>
    </w:p>
    <w:p>
      <w:pPr>
        <w:jc w:val="both"/>
        <w:ind w:right="20" w:firstLine="455"/>
        <w:spacing w:after="0" w:line="277" w:lineRule="auto"/>
        <w:rPr>
          <w:sz w:val="20"/>
          <w:szCs w:val="20"/>
          <w:color w:val="auto"/>
        </w:rPr>
      </w:pPr>
      <w:r>
        <w:rPr>
          <w:rFonts w:ascii="Arial" w:cs="Arial" w:eastAsia="Arial" w:hAnsi="Arial"/>
          <w:sz w:val="18"/>
          <w:szCs w:val="18"/>
          <w:color w:val="auto"/>
        </w:rPr>
        <w:t>As of June 30, 2020, the Company had not made any sales of common stock to Lincoln Park under the Purchase Agreement other than the Initial Purchase.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Sales Agreement</w:t>
      </w:r>
    </w:p>
    <w:p>
      <w:pPr>
        <w:spacing w:after="0" w:line="252" w:lineRule="exact"/>
        <w:rPr>
          <w:sz w:val="20"/>
          <w:szCs w:val="20"/>
          <w:color w:val="auto"/>
        </w:rPr>
      </w:pPr>
    </w:p>
    <w:p>
      <w:pPr>
        <w:jc w:val="both"/>
        <w:ind w:firstLine="381"/>
        <w:spacing w:after="0" w:line="271" w:lineRule="auto"/>
        <w:rPr>
          <w:sz w:val="20"/>
          <w:szCs w:val="20"/>
          <w:color w:val="auto"/>
        </w:rPr>
      </w:pPr>
      <w:r>
        <w:rPr>
          <w:rFonts w:ascii="Arial" w:cs="Arial" w:eastAsia="Arial" w:hAnsi="Arial"/>
          <w:sz w:val="17"/>
          <w:szCs w:val="17"/>
          <w:color w:val="auto"/>
        </w:rPr>
        <w:t>In February 2018, the Company entered into a common stock sales agreement with H.C. Wainwright &amp; Co., LLC ("HCW") as sales agent, which was subsequently amended in August 2018 (the "Sales Agreement"), in connection with an “at the market offering” under which the Company from time to time may offer and sell shares of its common stock having an aggregate offering price of not more than $25.0 million. In March 2019, subsequent to the filing of our Annual Report on Form 10-K for the fiscal year ended December 31, 2018 (the "2018 Form 10-K"), the aggregate market value of our outstanding common stock held by non-affiliates was approximately $52.8 million. Pursuant to General Instruction I.B.6 of Form S-3, since the aggregate market value of our outstanding common stock held by non-affiliates was below $75.0 million at the time of our 2018 Form 10-K filing, the aggregate amount of securities that we were permitted to offer and sell at such time was reduced to $17.6 million, which was equal to one-third of the aggregate market value of our common stock held by non-affiliates at such time.</w:t>
      </w:r>
    </w:p>
    <w:p>
      <w:pPr>
        <w:spacing w:after="0" w:line="205" w:lineRule="exact"/>
        <w:rPr>
          <w:sz w:val="20"/>
          <w:szCs w:val="20"/>
          <w:color w:val="auto"/>
        </w:rPr>
      </w:pPr>
    </w:p>
    <w:p>
      <w:pPr>
        <w:jc w:val="both"/>
        <w:ind w:firstLine="399"/>
        <w:spacing w:after="0" w:line="273" w:lineRule="auto"/>
        <w:rPr>
          <w:sz w:val="20"/>
          <w:szCs w:val="20"/>
          <w:color w:val="auto"/>
        </w:rPr>
      </w:pPr>
      <w:r>
        <w:rPr>
          <w:rFonts w:ascii="Arial" w:cs="Arial" w:eastAsia="Arial" w:hAnsi="Arial"/>
          <w:sz w:val="17"/>
          <w:szCs w:val="17"/>
          <w:color w:val="auto"/>
        </w:rPr>
        <w:t>Subject to the terms and conditions of the Sales Agreement, HCW will use its commercially reasonable efforts consistent with its normal trading and sales practices to sell the shares from time to time, based upon the Company's instructions, including any price, time or size limits specified by the Company. The Company has provided HCW with customary indemnification rights, and HCW will be entitled to a commission at a fixed commission rate equal to 3.0% of the gross proceeds per share sold. The Company has no obligation to sell any of the shares and may at any time suspend sales under the Sales Agreement or terminate the Sales Agreement. The Sales Agreement will terminate upon the sale of all of the shares under the Sales Agreement unless terminated earlier by either party as permitted under the Sales Agreement.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firstLine="457"/>
        <w:spacing w:after="0" w:line="263" w:lineRule="auto"/>
        <w:rPr>
          <w:sz w:val="20"/>
          <w:szCs w:val="20"/>
          <w:color w:val="auto"/>
        </w:rPr>
      </w:pPr>
      <w:r>
        <w:rPr>
          <w:rFonts w:ascii="Arial" w:cs="Arial" w:eastAsia="Arial" w:hAnsi="Arial"/>
          <w:sz w:val="18"/>
          <w:szCs w:val="18"/>
          <w:color w:val="auto"/>
        </w:rPr>
        <w:t>During the six months ended June 30, 2020, the Company issued 681,034 shares of common stock under the Sales Agreement for net proceeds of $1.3 million. As of June 30, 2020, the Company has issued 907,168 shares of common stock under the Sales Agreement for net proceeds of $2.3 million since inception.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Registered Direct Offerings</w:t>
      </w:r>
    </w:p>
    <w:p>
      <w:pPr>
        <w:spacing w:after="0" w:line="252" w:lineRule="exact"/>
        <w:rPr>
          <w:sz w:val="20"/>
          <w:szCs w:val="20"/>
          <w:color w:val="auto"/>
        </w:rPr>
      </w:pPr>
    </w:p>
    <w:p>
      <w:pPr>
        <w:jc w:val="both"/>
        <w:ind w:firstLine="560"/>
        <w:spacing w:after="0" w:line="293" w:lineRule="auto"/>
        <w:rPr>
          <w:sz w:val="20"/>
          <w:szCs w:val="20"/>
          <w:color w:val="auto"/>
        </w:rPr>
      </w:pPr>
      <w:r>
        <w:rPr>
          <w:rFonts w:ascii="Arial" w:cs="Arial" w:eastAsia="Arial" w:hAnsi="Arial"/>
          <w:sz w:val="16"/>
          <w:szCs w:val="16"/>
          <w:color w:val="auto"/>
        </w:rPr>
        <w:t>In April 2020, the Company entered into a securities purchase agreement (the “April Purchase Agreement”) with certain investors (the “April Purchasers”). Pursuant to the terms of the April Purchase Agreement, the Company agreed to sell to the Purchasers an aggregate of 2,162,166 shares of its common stock at a purchase price equal to $2.3125 per share. In a concurrent private placement, the Company issued to the April Purchasers warrants to purchase an aggregate of 1,081,083 shares of its common stock. In connection with the registered direct offering and concurrent private placement, the Company received gross proceeds of $5,000,009. Each warrant is exercisable for one share of common stock and features an exercise price equal to $2.2500 per share. The warrants are exercisable immediately upon issuance and will expire five and one-half years from the issuance date.</w:t>
      </w:r>
    </w:p>
    <w:p>
      <w:pPr>
        <w:spacing w:after="0" w:line="191" w:lineRule="exact"/>
        <w:rPr>
          <w:sz w:val="20"/>
          <w:szCs w:val="20"/>
          <w:color w:val="auto"/>
        </w:rPr>
      </w:pPr>
    </w:p>
    <w:p>
      <w:pPr>
        <w:jc w:val="both"/>
        <w:ind w:firstLine="604"/>
        <w:spacing w:after="0" w:line="293" w:lineRule="auto"/>
        <w:rPr>
          <w:sz w:val="20"/>
          <w:szCs w:val="20"/>
          <w:color w:val="auto"/>
        </w:rPr>
      </w:pPr>
      <w:r>
        <w:rPr>
          <w:rFonts w:ascii="Arial" w:cs="Arial" w:eastAsia="Arial" w:hAnsi="Arial"/>
          <w:sz w:val="16"/>
          <w:szCs w:val="16"/>
          <w:color w:val="auto"/>
        </w:rPr>
        <w:t>In May 2020, the Company entered into a securities purchase agreement (the “May Purchase Agreement”) with certain investors (the “May Purchasers”). Pursuant to the terms of the May Purchase Agreement, the Company agreed to sell to the May Purchasers an aggregate of 2,084,850 shares of its common stock at a purchase price equal to $2.0625 per share. In a concurrent private placement, the Company issued to the Purchasers warrants to purchase an aggregate of 1,042,425 shares of its common stock. In connection with the registered direct offering and concurrent private placement, the Company received gross proceeds of $4.3 million. Each warrant is exercisable for one share of common stock and features an exercise price equal to $2.0625 per share. The warrants are exercisable immediately upon issuance and will expire five and one-half years from the issuance date.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activity for stock options and warrants for the six months ended June 30, 2020:</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480"/>
              <w:spacing w:after="0"/>
              <w:rPr>
                <w:sz w:val="20"/>
                <w:szCs w:val="20"/>
                <w:color w:val="auto"/>
              </w:rPr>
            </w:pPr>
            <w:r>
              <w:rPr>
                <w:rFonts w:ascii="Arial" w:cs="Arial" w:eastAsia="Arial" w:hAnsi="Arial"/>
                <w:sz w:val="13"/>
                <w:szCs w:val="13"/>
                <w:color w:val="auto"/>
              </w:rPr>
              <w:t>Stock Options</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680"/>
              <w:spacing w:after="0"/>
              <w:rPr>
                <w:sz w:val="20"/>
                <w:szCs w:val="20"/>
                <w:color w:val="auto"/>
              </w:rPr>
            </w:pPr>
            <w:r>
              <w:rPr>
                <w:rFonts w:ascii="Arial" w:cs="Arial" w:eastAsia="Arial" w:hAnsi="Arial"/>
                <w:sz w:val="13"/>
                <w:szCs w:val="13"/>
                <w:color w:val="auto"/>
              </w:rPr>
              <w:t>Warrants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8" w:lineRule="exact"/>
              <w:rPr>
                <w:sz w:val="20"/>
                <w:szCs w:val="20"/>
                <w:color w:val="auto"/>
              </w:rPr>
            </w:pPr>
            <w:r>
              <w:rPr>
                <w:rFonts w:ascii="Arial" w:cs="Arial" w:eastAsia="Arial" w:hAnsi="Arial"/>
                <w:sz w:val="13"/>
                <w:szCs w:val="13"/>
                <w:color w:val="auto"/>
                <w:w w:val="87"/>
              </w:rPr>
              <w:t>Weighted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20"/>
              <w:spacing w:after="0" w:line="148" w:lineRule="exact"/>
              <w:rPr>
                <w:sz w:val="20"/>
                <w:szCs w:val="20"/>
                <w:color w:val="auto"/>
              </w:rPr>
            </w:pPr>
            <w:r>
              <w:rPr>
                <w:rFonts w:ascii="Arial" w:cs="Arial" w:eastAsia="Arial" w:hAnsi="Arial"/>
                <w:sz w:val="13"/>
                <w:szCs w:val="13"/>
                <w:color w:val="auto"/>
                <w:w w:val="87"/>
              </w:rPr>
              <w:t>Weighted</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6"/>
              </w:rPr>
              <w:t>Average</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Average</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7"/>
              </w:rPr>
              <w:t>Weighted</w:t>
            </w: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0"/>
              </w:rPr>
              <w:t>Remaining</w:t>
            </w:r>
          </w:p>
        </w:tc>
        <w:tc>
          <w:tcPr>
            <w:tcW w:w="1120" w:type="dxa"/>
            <w:vAlign w:val="bottom"/>
            <w:gridSpan w:val="3"/>
          </w:tcPr>
          <w:p>
            <w:pPr>
              <w:ind w:left="20"/>
              <w:spacing w:after="0" w:line="135" w:lineRule="exact"/>
              <w:rPr>
                <w:sz w:val="20"/>
                <w:szCs w:val="20"/>
                <w:color w:val="auto"/>
              </w:rPr>
            </w:pPr>
            <w:r>
              <w:rPr>
                <w:rFonts w:ascii="Arial" w:cs="Arial" w:eastAsia="Arial" w:hAnsi="Arial"/>
                <w:sz w:val="13"/>
                <w:szCs w:val="13"/>
                <w:color w:val="auto"/>
                <w:w w:val="99"/>
              </w:rPr>
              <w:t>Aggregate Intrinsic</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7"/>
              </w:rPr>
              <w:t>Weighted</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Remaining</w:t>
            </w:r>
          </w:p>
        </w:tc>
        <w:tc>
          <w:tcPr>
            <w:tcW w:w="100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88"/>
              </w:rPr>
              <w:t>Aggregate Intrinsic</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3"/>
                <w:szCs w:val="13"/>
                <w:color w:val="auto"/>
                <w:w w:val="86"/>
              </w:rPr>
              <w:t>Average Exercise</w:t>
            </w: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Contractual Term</w:t>
            </w:r>
          </w:p>
        </w:tc>
        <w:tc>
          <w:tcPr>
            <w:tcW w:w="160" w:type="dxa"/>
            <w:vAlign w:val="bottom"/>
          </w:tcPr>
          <w:p>
            <w:pPr>
              <w:spacing w:after="0"/>
              <w:rPr>
                <w:sz w:val="11"/>
                <w:szCs w:val="11"/>
                <w:color w:val="auto"/>
              </w:rPr>
            </w:pPr>
          </w:p>
        </w:tc>
        <w:tc>
          <w:tcPr>
            <w:tcW w:w="9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Value (In</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3"/>
                <w:szCs w:val="13"/>
                <w:color w:val="auto"/>
                <w:w w:val="86"/>
              </w:rPr>
              <w:t>Average Exercise</w:t>
            </w: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Contractual Term</w:t>
            </w:r>
          </w:p>
        </w:tc>
        <w:tc>
          <w:tcPr>
            <w:tcW w:w="14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3"/>
                <w:szCs w:val="13"/>
                <w:color w:val="auto"/>
              </w:rPr>
              <w:t>Value (In</w:t>
            </w:r>
          </w:p>
        </w:tc>
        <w:tc>
          <w:tcPr>
            <w:tcW w:w="0" w:type="dxa"/>
            <w:vAlign w:val="bottom"/>
          </w:tcPr>
          <w:p>
            <w:pPr>
              <w:spacing w:after="0"/>
              <w:rPr>
                <w:sz w:val="1"/>
                <w:szCs w:val="1"/>
                <w:color w:val="auto"/>
              </w:rPr>
            </w:pPr>
          </w:p>
        </w:tc>
      </w:tr>
      <w:tr>
        <w:trPr>
          <w:trHeight w:val="170"/>
        </w:trPr>
        <w:tc>
          <w:tcPr>
            <w:tcW w:w="26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Shares</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color w:val="auto"/>
                <w:w w:val="87"/>
              </w:rPr>
              <w:t>Price</w:t>
            </w:r>
          </w:p>
        </w:tc>
        <w:tc>
          <w:tcPr>
            <w:tcW w:w="10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color w:val="auto"/>
                <w:w w:val="84"/>
              </w:rPr>
              <w:t>(Years)</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Thousands)</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Shares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0"/>
              </w:rPr>
              <w:t>Price</w:t>
            </w: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color w:val="auto"/>
                <w:w w:val="84"/>
              </w:rPr>
              <w:t>(Years)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Thousands)</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2019</w:t>
            </w: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1,044,417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18.31</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during the period:</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80" w:type="dxa"/>
            <w:vAlign w:val="bottom"/>
          </w:tcPr>
          <w:p>
            <w:pPr>
              <w:ind w:left="120"/>
              <w:spacing w:after="0"/>
              <w:rPr>
                <w:sz w:val="20"/>
                <w:szCs w:val="20"/>
                <w:color w:val="auto"/>
              </w:rPr>
            </w:pPr>
            <w:r>
              <w:rPr>
                <w:rFonts w:ascii="Arial" w:cs="Arial" w:eastAsia="Arial" w:hAnsi="Arial"/>
                <w:sz w:val="14"/>
                <w:szCs w:val="14"/>
                <w:color w:val="auto"/>
              </w:rPr>
              <w:t>Granted</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245,776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2,123,508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680" w:type="dxa"/>
            <w:vAlign w:val="bottom"/>
          </w:tcPr>
          <w:p>
            <w:pPr>
              <w:ind w:left="120"/>
              <w:spacing w:after="0"/>
              <w:rPr>
                <w:sz w:val="20"/>
                <w:szCs w:val="20"/>
                <w:color w:val="auto"/>
              </w:rPr>
            </w:pPr>
            <w:r>
              <w:rPr>
                <w:rFonts w:ascii="Arial" w:cs="Arial" w:eastAsia="Arial" w:hAnsi="Arial"/>
                <w:sz w:val="14"/>
                <w:szCs w:val="14"/>
                <w:color w:val="auto"/>
              </w:rPr>
              <w:t>Forfeited</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(5,400)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Expired</w:t>
            </w: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(123,584)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21.48</w:t>
            </w: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20"/>
              <w:spacing w:after="0"/>
              <w:rPr>
                <w:sz w:val="20"/>
                <w:szCs w:val="20"/>
                <w:color w:val="auto"/>
              </w:rPr>
            </w:pPr>
            <w:r>
              <w:rPr>
                <w:rFonts w:ascii="Arial" w:cs="Arial" w:eastAsia="Arial" w:hAnsi="Arial"/>
                <w:sz w:val="14"/>
                <w:szCs w:val="14"/>
                <w:color w:val="auto"/>
              </w:rPr>
              <w:t>Outstanding at June 30, 2020</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1,161,209</w:t>
            </w:r>
          </w:p>
        </w:tc>
        <w:tc>
          <w:tcPr>
            <w:tcW w:w="100" w:type="dxa"/>
            <w:vAlign w:val="bottom"/>
          </w:tcPr>
          <w:p>
            <w:pPr>
              <w:spacing w:after="0"/>
              <w:rPr>
                <w:sz w:val="17"/>
                <w:szCs w:val="17"/>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14.85</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2,153,508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680" w:type="dxa"/>
            <w:vAlign w:val="bottom"/>
            <w:shd w:val="clear" w:color="auto" w:fill="CCEEFF"/>
          </w:tcPr>
          <w:p>
            <w:pPr>
              <w:ind w:left="20"/>
              <w:spacing w:after="0" w:line="124" w:lineRule="exact"/>
              <w:rPr>
                <w:sz w:val="20"/>
                <w:szCs w:val="20"/>
                <w:color w:val="auto"/>
              </w:rPr>
            </w:pPr>
            <w:r>
              <w:rPr>
                <w:rFonts w:ascii="Arial" w:cs="Arial" w:eastAsia="Arial" w:hAnsi="Arial"/>
                <w:sz w:val="14"/>
                <w:szCs w:val="14"/>
                <w:color w:val="auto"/>
              </w:rPr>
              <w:t>Vested at June 30, 2020</w:t>
            </w:r>
          </w:p>
        </w:tc>
        <w:tc>
          <w:tcPr>
            <w:tcW w:w="10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1,131,822</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15.14</w:t>
            </w:r>
          </w:p>
        </w:tc>
        <w:tc>
          <w:tcPr>
            <w:tcW w:w="1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0"/>
                <w:szCs w:val="10"/>
                <w:color w:val="auto"/>
              </w:rPr>
            </w:pPr>
          </w:p>
        </w:tc>
        <w:tc>
          <w:tcPr>
            <w:tcW w:w="90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2,153,508</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 expected to vest in the future</w:t>
            </w: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80" w:type="dxa"/>
            <w:vAlign w:val="bottom"/>
          </w:tcPr>
          <w:p>
            <w:pPr>
              <w:ind w:left="20"/>
              <w:spacing w:after="0"/>
              <w:rPr>
                <w:sz w:val="20"/>
                <w:szCs w:val="20"/>
                <w:color w:val="auto"/>
              </w:rPr>
            </w:pPr>
            <w:r>
              <w:rPr>
                <w:rFonts w:ascii="Arial" w:cs="Arial" w:eastAsia="Arial" w:hAnsi="Arial"/>
                <w:sz w:val="14"/>
                <w:szCs w:val="14"/>
                <w:color w:val="auto"/>
              </w:rPr>
              <w:t>Vested at June 30, 2020</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829,034</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19.25</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2,153,508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six months ended June 30, 2020 and 2019, the Company issued restricted stock for services as follows ($ in thousands):</w:t>
      </w:r>
    </w:p>
    <w:p>
      <w:pPr>
        <w:spacing w:after="0" w:line="158" w:lineRule="exact"/>
        <w:rPr>
          <w:sz w:val="20"/>
          <w:szCs w:val="20"/>
          <w:color w:val="auto"/>
        </w:rPr>
      </w:pPr>
    </w:p>
    <w:tbl>
      <w:tblPr>
        <w:tblLayout w:type="fixed"/>
        <w:tblInd w:w="128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33"/>
        </w:trPr>
        <w:tc>
          <w:tcPr>
            <w:tcW w:w="5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2"/>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Number of restricted stock issued</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156,184</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123,564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6"/>
                <w:szCs w:val="16"/>
                <w:color w:val="auto"/>
              </w:rPr>
              <w:t>Value of restricted stock issued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512</w:t>
            </w:r>
          </w:p>
        </w:tc>
        <w:tc>
          <w:tcPr>
            <w:tcW w:w="200" w:type="dxa"/>
            <w:vAlign w:val="bottom"/>
          </w:tcPr>
          <w:p>
            <w:pPr>
              <w:spacing w:after="0"/>
              <w:rPr>
                <w:sz w:val="20"/>
                <w:szCs w:val="20"/>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612</w:t>
            </w:r>
          </w:p>
        </w:tc>
      </w:tr>
      <w:tr>
        <w:trPr>
          <w:trHeight w:val="24"/>
        </w:trPr>
        <w:tc>
          <w:tcPr>
            <w:tcW w:w="5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six months ended June 30, 2020 and 2019, the Company issued restricted stock units for services as follows ($ in thousands, except share data):</w:t>
      </w:r>
    </w:p>
    <w:p>
      <w:pPr>
        <w:spacing w:after="0" w:line="103"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5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33"/>
        </w:trPr>
        <w:tc>
          <w:tcPr>
            <w:tcW w:w="5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2"/>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restricted stock units issued</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195,320</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184,454</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5880" w:type="dxa"/>
            <w:vAlign w:val="bottom"/>
          </w:tcPr>
          <w:p>
            <w:pPr>
              <w:ind w:left="20"/>
              <w:spacing w:after="0"/>
              <w:rPr>
                <w:sz w:val="20"/>
                <w:szCs w:val="20"/>
                <w:color w:val="auto"/>
              </w:rPr>
            </w:pPr>
            <w:r>
              <w:rPr>
                <w:rFonts w:ascii="Arial" w:cs="Arial" w:eastAsia="Arial" w:hAnsi="Arial"/>
                <w:sz w:val="16"/>
                <w:szCs w:val="16"/>
                <w:color w:val="auto"/>
              </w:rPr>
              <w:t>Value of restricted stock units issued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623</w:t>
            </w:r>
          </w:p>
        </w:tc>
        <w:tc>
          <w:tcPr>
            <w:tcW w:w="14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909</w:t>
            </w:r>
          </w:p>
        </w:tc>
      </w:tr>
      <w:tr>
        <w:trPr>
          <w:trHeight w:val="23"/>
        </w:trPr>
        <w:tc>
          <w:tcPr>
            <w:tcW w:w="5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weighted average estimated fair value of restricted stock issued for services in the six months ended June 30, 2020 and 2019 was $3.19 and $4.93 per share, respectively. The fair value of the restricted stock units was determined using the Company’s closing stock price on the date of issuance. The vesting terms of restricted stock unit issuances are generally one year, or upon the achievement of performance-based milestones.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Share-Based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utilize share-based compensation in the form of stock options, restricted stock, and restricted stock units. The following table summarizes the components of share-based compensation expense for the three and six months ended June 30, 2020 and 2019 (in thousands):</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r>
      <w:tr>
        <w:trPr>
          <w:trHeight w:val="196"/>
        </w:trPr>
        <w:tc>
          <w:tcPr>
            <w:tcW w:w="52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r>
      <w:tr>
        <w:trPr>
          <w:trHeight w:val="250"/>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174</w:t>
            </w: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195</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619</w:t>
            </w:r>
          </w:p>
        </w:tc>
      </w:tr>
      <w:tr>
        <w:trPr>
          <w:trHeight w:val="27"/>
        </w:trPr>
        <w:tc>
          <w:tcPr>
            <w:tcW w:w="5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88"/>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295</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245</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861</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793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compensation cost related to non-vested awards not yet recognized and the weighted-average periods over which the awards were expected to be recognized at June 30, 2020 were as follows (in thousands):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Restricted Stock</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Restricted Stock</w:t>
            </w:r>
          </w:p>
        </w:tc>
        <w:tc>
          <w:tcPr>
            <w:tcW w:w="0" w:type="dxa"/>
            <w:vAlign w:val="bottom"/>
          </w:tcPr>
          <w:p>
            <w:pPr>
              <w:spacing w:after="0"/>
              <w:rPr>
                <w:sz w:val="1"/>
                <w:szCs w:val="1"/>
                <w:color w:val="auto"/>
              </w:rPr>
            </w:pPr>
          </w:p>
        </w:tc>
      </w:tr>
      <w:tr>
        <w:trPr>
          <w:trHeight w:val="192"/>
        </w:trPr>
        <w:tc>
          <w:tcPr>
            <w:tcW w:w="7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Units</w:t>
            </w: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compensation cost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734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Expected weighted-average period in years of compensation cost to be recognized</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fair value of shares vested and the weighted average estimated fair values of shares granted for the six months ended June 30, 2020 and 2019 were as follows (in thousands):</w:t>
      </w:r>
    </w:p>
    <w:p>
      <w:pPr>
        <w:spacing w:after="0" w:line="94"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Options</w:t>
            </w:r>
          </w:p>
        </w:tc>
        <w:tc>
          <w:tcPr>
            <w:tcW w:w="860" w:type="dxa"/>
            <w:vAlign w:val="bottom"/>
            <w:tcBorders>
              <w:bottom w:val="single" w:sz="8" w:color="auto"/>
            </w:tcBorders>
          </w:tcPr>
          <w:p>
            <w:pPr>
              <w:spacing w:after="0"/>
              <w:rPr>
                <w:sz w:val="16"/>
                <w:szCs w:val="16"/>
                <w:color w:val="auto"/>
              </w:rPr>
            </w:pPr>
          </w:p>
        </w:tc>
      </w:tr>
      <w:tr>
        <w:trPr>
          <w:trHeight w:val="196"/>
        </w:trPr>
        <w:tc>
          <w:tcPr>
            <w:tcW w:w="6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4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4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shares vested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515</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378</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Weighted average estimated fair value of shares granted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3.18</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fair value of stock options and warrants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Research Funding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Institute of Regenerative Medicine Grant Award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February 2017, the California Institute for Regenerative Medicine ("CIRM") awarded the Company funds of up to $12.2 million to support the T-Rex Study. The funding is based upon the achievement of certain milestones related to the proportion of subjects enrolled in California, as well as manufacturing and development costs incurred in California. Based on the actual number of subjects enrolled in California, the total amount of funding was revised to $8.1 million. The Company received $5.7 million in initial funding in May 2017, a $1.9 million milestone payment in December 2017, a $0.3 million progress payment in March 2018, and a $200,000 progress payment in May 2019, of which the total will be amortized over the estimated award period through July 2020 as a reduction to the related research and development expenses. As of June 30, 2020, $0.2 million of the funding received was recorded in accrued liabilities. During the three and six months ended June 30, 2020, the Company amortized and recognized $0.7 million and $1.4 million in credits, respectively, to research and development related to CIRM funds received. During the three and six months ended June 30, 2019, the Company amortized and recognized $0.7 million and $1.3 million in credits, respectively, to research and development related to CIRM funds received.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Income Taxes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2019, the Company had approximately $246 million of federal NOLs available to offset future taxable income expiring from 2030 through 2036. In accordance with Section 382 of the Internal Revenue code, the usage of the Company’s NOLs could be limited in the event of a change in ownership. The ultimate realization of deferred tax assets is dependent upon the generation of future taxable income during the period when those temporary differences become deductible.</w:t>
      </w:r>
    </w:p>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performed an analysis and determined that it has had ownership changes of greater than 50% over a 3-year testing period. The last ownership change was determined to be in 2015. Based on a market capitalization of $124.5 million and using an applicable federal rate of 2.5%, the annual limitation would be approximately $3.0 million. Post change losses generated after June 2, 2015 would not be subject to 382 limitations.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applies the FASB’s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 authority. The Company recognizes interest and penalties associated with certain tax positions as a component of income tax expense.</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2020, management does not believe the Company has any material uncertain tax positions that would require it to measure and reflect the potential lack of sustainability of a position on audit in its financial statements. The Company will continue to evaluate its uncertain tax positions in future periods to determine if measurement and recognition in its financial statements is necessary. The Company does not believe there will be any material changes in its unrecognized tax positions over the next year.</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years prior to 2016, the federal statute of limitations is closed for assessing tax. The Company’s state tax returns remain open to examination for a period of three to four years from date of filing.</w:t>
      </w:r>
    </w:p>
    <w:p>
      <w:pPr>
        <w:spacing w:after="0" w:line="197" w:lineRule="exact"/>
        <w:rPr>
          <w:sz w:val="20"/>
          <w:szCs w:val="20"/>
          <w:color w:val="auto"/>
        </w:rPr>
      </w:pPr>
    </w:p>
    <w:p>
      <w:pPr>
        <w:jc w:val="both"/>
        <w:ind w:firstLine="401"/>
        <w:spacing w:after="0" w:line="275" w:lineRule="auto"/>
        <w:rPr>
          <w:sz w:val="20"/>
          <w:szCs w:val="20"/>
          <w:color w:val="auto"/>
        </w:rPr>
      </w:pPr>
      <w:r>
        <w:rPr>
          <w:rFonts w:ascii="Arial" w:cs="Arial" w:eastAsia="Arial" w:hAnsi="Arial"/>
          <w:sz w:val="17"/>
          <w:szCs w:val="17"/>
          <w:color w:val="auto"/>
        </w:rPr>
        <w:t>In December 2019, the Company received preliminary approval from the New Jersey Economic Development Authority ("NJEDA") to participate in the Technology Business Tax Certificate Transfer Program (the "Program"). The Program permits qualified companies to sell a percentage of their New Jersey net operating losses ("NJ NOLs") to unrelated profitable corporations. On April 21, 2020, the Company received final approval from NJEDA to sell $11.5 million of its NJ NOLs, which was subsequently sold to a qualifying and approved buyer pursuant to the Program for net proceeds of $10.9 million. The net proceeds have been recorded as a benefit from income taxes in the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time to time, the Company is subject to legal proceedings and claims, either asserted or unasserted, that arise in the ordinary course of business. While the outcome of pending claims cannot be predicted with certainty, the Company does not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believe that the outcome of any pending claims will have a material adverse effect on the Company's financial condition or operating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Offering</w:t>
      </w:r>
    </w:p>
    <w:p>
      <w:pPr>
        <w:spacing w:after="0" w:line="252" w:lineRule="exact"/>
        <w:rPr>
          <w:sz w:val="20"/>
          <w:szCs w:val="20"/>
          <w:color w:val="auto"/>
        </w:rPr>
      </w:pPr>
    </w:p>
    <w:p>
      <w:pPr>
        <w:jc w:val="both"/>
        <w:ind w:firstLine="391"/>
        <w:spacing w:after="0" w:line="255" w:lineRule="auto"/>
        <w:rPr>
          <w:sz w:val="20"/>
          <w:szCs w:val="20"/>
          <w:color w:val="auto"/>
        </w:rPr>
      </w:pPr>
      <w:r>
        <w:rPr>
          <w:rFonts w:ascii="Arial" w:cs="Arial" w:eastAsia="Arial" w:hAnsi="Arial"/>
          <w:sz w:val="18"/>
          <w:szCs w:val="18"/>
          <w:color w:val="auto"/>
        </w:rPr>
        <w:t>On July 10, 2020, the Company entered into a securities purchase agreement (the “Private Placement”) with certain investors (the “Private Placement Purchasers”). Pursuant to the terms of the Private Placement, the Company agreed to sell to the Private Placement Purchasers an aggregate of 969,694 shares of its common stock at a purchase price equal to $2.0625 per share, along with warrants to purchase an aggregate of 484,847 shares of its common stock. In connection with the Private Placement, the Company received gross proceeds of $2.0 million. Each warrant is exercisable for one share of common stock and features an exercise price equal to $2.0625 per share. The warrants are exercisable immediately upon issuance and will expire five and one-half years from the issuance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Sales Agreement</w:t>
      </w:r>
    </w:p>
    <w:p>
      <w:pPr>
        <w:spacing w:after="0" w:line="252" w:lineRule="exact"/>
        <w:rPr>
          <w:sz w:val="20"/>
          <w:szCs w:val="20"/>
          <w:color w:val="auto"/>
        </w:rPr>
      </w:pPr>
    </w:p>
    <w:p>
      <w:pPr>
        <w:jc w:val="both"/>
        <w:ind w:firstLine="391"/>
        <w:spacing w:after="0" w:line="277" w:lineRule="auto"/>
        <w:rPr>
          <w:sz w:val="20"/>
          <w:szCs w:val="20"/>
          <w:color w:val="auto"/>
        </w:rPr>
      </w:pPr>
      <w:r>
        <w:rPr>
          <w:rFonts w:ascii="Arial" w:cs="Arial" w:eastAsia="Arial" w:hAnsi="Arial"/>
          <w:sz w:val="18"/>
          <w:szCs w:val="18"/>
          <w:color w:val="auto"/>
        </w:rPr>
        <w:t>Subsequent to June 30, 2020, the Company issued 2,779,299 shares of common stock under the Sales Agreement with HCW for net proceeds of $6.9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74"/>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Our actual results could differ materially from those anticipated in these forward-looking statements as a result of various factors, including those set forth under “Cautionary Note Regarding Forward-Looking Statements” herein and under “Risk Factors” in our 2019 Form 10-K. The following discussion should be read in conjunction with our consolidated financial statements and related notes thereto included elsewhere in this Quarterly Report and in our 2019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563"/>
        <w:spacing w:after="0" w:line="301" w:lineRule="auto"/>
        <w:rPr>
          <w:sz w:val="20"/>
          <w:szCs w:val="20"/>
          <w:color w:val="auto"/>
        </w:rPr>
      </w:pPr>
      <w:r>
        <w:rPr>
          <w:rFonts w:ascii="Arial" w:cs="Arial" w:eastAsia="Arial" w:hAnsi="Arial"/>
          <w:sz w:val="16"/>
          <w:szCs w:val="16"/>
          <w:color w:val="auto"/>
        </w:rPr>
        <w:t>Caladrius Biosciences, Inc. (“we,” “us,” "our," “Caladrius” or the “Company”) is a clinical-stage biopharmaceutical company dedicated to the development and commercialization of cellular therapies designed to reverse disease and/or promote the regeneration of damaged tissue. We are developing first-in-class therapeutics based on the characteristics of naturally occurring CD34+ cells and their ability to stimulate the growth of new microvasculature. Our technology leverages these cells to enable the body's natural repair mechanisms using formulations unique to each medical indication.</w:t>
      </w:r>
    </w:p>
    <w:p>
      <w:pPr>
        <w:spacing w:after="0" w:line="184"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Our leadership team has decades of collective biopharmaceutical development experience and world-recognized scientific achievement in the field of cardiovascular disease, among other therapeutic areas. Our goal is to develop and commercialize products that address important unmet medical needs based on a broad and versatile portfolio of candidates. Our current product candidates include CLBS119, an emergent CD34+ stem cell therapy responding to the COVID-19 pandemic and the potentially permanent damage the virus inflicts on the lungs of many patients, as well as three other developmental treatments for ischemic diseases based on its CD34+ cell therapy platform: CLBS12, recipient of SAKIGAKE designation and eligible for early conditional approval in Japan for the treatment of critical limb ischemia ("CLI") based on the results of an ongoing clinical trial; CLBS16, the subject of a recently completed positive Phase 2 clinical trial in the U.S. for the treatment of coronary microvascular dysfunction ("CMD"); and CLBS14, a Regenerative Medicine Advanced Therapy ("RMAT") designated therapy for which we have finalized with the U.S. Food and Drug Administration (the "FDA") a protocol for a Phase 3 confirmatory trial in subjects with no-option refractory disabling angina ("NORDA").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CD34+ cell was discovered as a result of the deliberate search for a stem cell capable of stimulating the development and/or repair of blood vessels. All tissues in the body maintain their function by replacing cells over time. In addition to the maintenance function, the body must also be capable of building new blood vessels after injury. A CD34+ cell is a stem cell that has the ability to stimulate new blood vessel formation. No other native cell discovered to date has demonstrated this same capability.</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proprietary CD34+ cell technology has led to the development of therapeutic product candidates designed to address diseases and conditions caused by ischemia. Ischemia occurs when the supply of oxygenated blood to healthy tissue is restricted. Through the administration of CD34+ cells, we seek to promote the development and formation of new microvasculature and thereby increase blood flow to the impacted area. We believe that a number of conditions caused by underlying ischemic injury can be improved through our CD34+ cell technology, including but not limited to, CLI, CMD, NORDA and COVID-19 induced lung damage.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CLBS119 for Treatment of COVID -19 Induced Lung Damage</w:t>
      </w:r>
    </w:p>
    <w:p>
      <w:pPr>
        <w:spacing w:after="0" w:line="2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COVID-19 appears to damage the vasculature of the lungs and Caladrius believes that repair of that vasculature will prove necessary for patients to achieve a full recovery. Survivors of COVID-19 often remain debilitated even after leaving the hospital due to the damage caused to their lungs, and while many developmental therapies responding to the COVID-19 pandemic are appropriately targeting the SARS-CoV-2 virus itself or the manifestations of the acute phase of the illness, we are aware of no therapy that has demonstrated the ability to repair COVID-19 induced lung damage. With consistent clinical and pre-clinical evidence that CD34+ cells can repair multiple organs, including models of severe lung inflammation, we sought and received FDA authorization for its investigational new drug (“IND”) application for the study of CLBS119, a CD34+ cell therapy for repair of COVID-19 induced lung damage. The planned study, with enrollment expected to commence in the second half of 2020, will target patients with severe SARS-CoV-2 infection who, after ventilatory support due to respiratory failure, had otherwise recovered but remained debilitated due to persistent pulmonary damage.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CLBS12 for Treatment of Critical Limb Ischemia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open-label, registration-eligible study of CLBS12 in Japan for the treatment of critical limb ischemia ("CLI"), a disease with no currently available approved therapy and a higher combined incidence and mortality rate than all cancers but lung cancer, has shown strong results to date. The initial responses observed in the subjects who have reached an endpoint in this open label study are consistent with a positive therapeutic effect and safety profile as reported by previously published clinical trials in Japan. Although the study's enrollment, which is targeted for completion this year, has been slowed by the pandemic's impact in Japan, we are encouraged by the patient pre-screening pipeline that has been identified and hope to conclude trial enrollment rapidly once the coronavirus abates. While the final outcome of the trial will depend on all data from all subjects, data from the concluded Buerger's Disease cohort and the data to date in the no-option CLI cohort remain very encouraging.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CLBS16 for Treatment of Coronary Microvascular Dysfunction</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2017, with the assistance of a $1.9 million grant from the National Institutes of Health (Award Number R44HL135889), we initiated our program for CLBS16 for the treatment of coronary microvascular dysfunction ("CMD"), a disease that potentially afflicts millions of patients with no current targeted treatment options. That study, titled ESCaPE-CMD, was a Phase 2 proof-of-concept study that enrolled patients at the Mayo Clinic in Rochester, MN and Cedars-Sinai Medical Center in Los Angeles, CA. In June 2019, we announced the completion of enrollment in this study. Results of the first 17 of 20 patients enrolled in this trial who reached 6-month follow-up were presented as a rapid fire oral presentation on November 16, 2019 at the annual meeting of the American Heart Association in Philadelphia, PA by one of the principal investigators, Dr. Noel Bairey Merz, FACC, FAHA, FESC, the director of the Barbra Streisand Women's Heart Center at Cedars-Sinai in Los Angeles, CA. That data set showed a positive therapeutic effect with a statistically significant improvement in angina frequency, coronary flow reserve, Canadian Cardiovascular Society Angina Class and Seattle Questionnaire score, as well as an acceptable safety profile. The full data from that study was presented at the SCAI 2020 Scientific Sessions Virtual Conference on May 14, 2020 and we now expect to initiate the next CMD trial, a Phase 2b study, by the end of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CLBS14 for Treatment of No Option Refractory Disabling Angina (NORDA)</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acquired the rights to data and regulatory filings for a CD34+ cell therapy program for refractory angina that had been advanced to Phase 3 by a previous sponsor.</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Based on the clinical evidence from the completed studies that a single administration of CLBS14 reduces mortality, improves angina and increases exercise capacity in patients with otherwise untreatable angina, this product received Regenerative Medicine Advanced Therapy (“RMAT”) designation from the FDA. We, working closely with the FDA, have finalized the design of a confirmatory Phase 3 trial which, in combination with previously filed Phase 1, 2 and 3 data, will be considered for the registration of CLBS14. Notably, this study design includes a 6-month primary endpoint and, with the benefit of the RMAT designation, the biologics license application ("BLA"), once submitted, is expected to receive a 6-month review. We have substantially completed the preparatory work for initiation of this trial. We will not, however, commence enrollment of patients until sufficient capital is acquired and dedicated to this program such that we have confidence that we can fund the trial uninterrupted through completion.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broad intellectual property portfolio of cell therapy assets includes notable programs available for out-licensing in order to continue their clinical development. 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Considerations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2019, a novel strain of coronavirus (SARS-CoV-2), which causes COVID-19, was reported to have surfaced in China. In March 2020, the World Health Organization declared the outbreak of COVID-19 to be a pandemic, and the world's economies began to experience pronounced effects. While the disruption currently is expected to be temporary, there is uncertainty around the extent and duration of disruption, and any future related financial impact cannot be reasonably estimated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225" w:lineRule="exact"/>
        <w:rPr>
          <w:sz w:val="20"/>
          <w:szCs w:val="20"/>
          <w:color w:val="auto"/>
        </w:rPr>
      </w:pPr>
    </w:p>
    <w:p>
      <w:pPr>
        <w:ind w:firstLine="427"/>
        <w:spacing w:after="0" w:line="277" w:lineRule="auto"/>
        <w:rPr>
          <w:sz w:val="20"/>
          <w:szCs w:val="20"/>
          <w:color w:val="auto"/>
        </w:rPr>
      </w:pPr>
      <w:r>
        <w:rPr>
          <w:rFonts w:ascii="Arial" w:cs="Arial" w:eastAsia="Arial" w:hAnsi="Arial"/>
          <w:sz w:val="18"/>
          <w:szCs w:val="18"/>
          <w:color w:val="auto"/>
        </w:rPr>
        <w:t>Overall, net income was $6.6 million for the three months ended June 30, 2020, which included a $10.9 million income tax benefit from the sale of New Jersey net operating losses, compared to net loss of $5.1 million for the three months ended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three months ended June 30, 2020, operating expenses totaled $4.3 million compared to $5.3 million for the three months ended June 30, 2019, representing a decrease of 20%. Operating expenses comprised the following:</w:t>
      </w:r>
    </w:p>
    <w:p>
      <w:pPr>
        <w:spacing w:after="0" w:line="170" w:lineRule="exact"/>
        <w:rPr>
          <w:sz w:val="20"/>
          <w:szCs w:val="20"/>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Research and development expenses were approximately $1.8 million for the three months ended June 30, 2020, compared to $3.0 million for the three months ended June 30, 2019, representing a decrease of 39%. Research and development in both periods focused on the advancement of our ischemic repair platform and related to:</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expenses associated with investigational new drug application and planning for commencement in the second quarter of 2020 of a pilot study of CLBS119, a CD34+ cell therapy for repair of COVID-19 induced lung damage targeting patients with severe SARS-CoV-2 infection that required ventilatory support due to respiratory failure.;</w:t>
      </w:r>
    </w:p>
    <w:p>
      <w:pPr>
        <w:spacing w:after="0" w:line="210" w:lineRule="exact"/>
        <w:rPr>
          <w:rFonts w:ascii="Arial" w:cs="Arial" w:eastAsia="Arial" w:hAnsi="Arial"/>
          <w:sz w:val="18"/>
          <w:szCs w:val="18"/>
          <w:color w:val="auto"/>
        </w:rPr>
      </w:pPr>
    </w:p>
    <w:p>
      <w:pPr>
        <w:ind w:left="1300" w:hanging="320"/>
        <w:spacing w:after="0" w:line="277"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color w:val="auto"/>
        </w:rPr>
        <w:t>ongoing registration-eligible study expenses for CLBS12 in critical limb ischemia in Japan, whereby we continue to focus spending on our patient enrollment and anticipate completing enrollment by the end of 2020;</w:t>
      </w:r>
    </w:p>
    <w:p>
      <w:pPr>
        <w:spacing w:after="0" w:line="197" w:lineRule="exact"/>
        <w:rPr>
          <w:rFonts w:ascii="Arial" w:cs="Arial" w:eastAsia="Arial" w:hAnsi="Arial"/>
          <w:sz w:val="18"/>
          <w:szCs w:val="18"/>
          <w:color w:val="auto"/>
        </w:rPr>
      </w:pPr>
    </w:p>
    <w:p>
      <w:pPr>
        <w:jc w:val="both"/>
        <w:ind w:left="1300" w:hanging="320"/>
        <w:spacing w:after="0" w:line="263"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expenses associated with the proof-of-concept study for CLBS16 in coronary microvascular dysfunction, whereby study enrollment was completed in the second quarter of 2019 and full results reported in May 2020. We initiated efforts to advance CLBS16 into a Phase 2b study in the second quarter of 2020; and</w:t>
      </w:r>
    </w:p>
    <w:p>
      <w:pPr>
        <w:spacing w:after="0" w:line="210" w:lineRule="exact"/>
        <w:rPr>
          <w:rFonts w:ascii="Arial" w:cs="Arial" w:eastAsia="Arial" w:hAnsi="Arial"/>
          <w:sz w:val="18"/>
          <w:szCs w:val="18"/>
          <w:color w:val="auto"/>
        </w:rPr>
      </w:pPr>
    </w:p>
    <w:p>
      <w:pPr>
        <w:jc w:val="both"/>
        <w:ind w:left="1300" w:hanging="320"/>
        <w:spacing w:after="0" w:line="259"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expenses associated with the preparation of our confirmatory Phase 3 study of CLBS14 in NORDA in the second quarter of 2019. In late 2019, we projected that the Phase 3 study would cost approximately $70 million in external expenses over the next several years, and as a result, we elected to postpone the initiation of the study until we have confidence that we can access sufficient capital to allow us to complete the study uninterrupted.</w:t>
      </w:r>
    </w:p>
    <w:p>
      <w:pPr>
        <w:spacing w:after="0" w:line="213"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General and administrative expenses were approximately $2.5 million for the three months ended June 30, 2020, compared to $2.4 million and the three months ended June 30, 2019. Our general and administrative expenses focus on general corporate-related activities.</w:t>
      </w:r>
    </w:p>
    <w:p>
      <w:pPr>
        <w:spacing w:after="0" w:line="1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Historically, to minimize our use of cash, we have used a variety of equity and equity-linked instruments to compensate employees, consultants and other service providers. The use of these instruments has resulted in charges to the results of operations, which have been significant in the past.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other income is primarily comprised of investment income on cash, cash equivalents and marketable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April 2020, we received approval from the New Jersey Economic Development Authority ("NJEDA") to participate in the Technology Business Tax Certificate Transfer Program ("Program"), whereby we qualified to sell a percentage of our New Jersey net operating losses ("NJ NOLs"). We subsequently sold a portion of our NJ NOLs to a qualifying and approved buyer pursuant to the Program for net proceeds of $10.9 million.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Overall, net income was $2.6 million for the six months ended June 30, 2020, which included a $10.9 million income tax benefit from the sale of New Jersey net operating losses, compared to net loss of $9.5 million for the six months ended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six months ended June 30, 2020, operating expenses totaled $8.3 million compared to $9.9 million for the six months ended June 30, 2019, representing a decrease 16%. Operating expenses comprised the following:</w:t>
      </w:r>
    </w:p>
    <w:p>
      <w:pPr>
        <w:spacing w:after="0" w:line="170" w:lineRule="exact"/>
        <w:rPr>
          <w:sz w:val="20"/>
          <w:szCs w:val="20"/>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expenses were approximately $3.3 million for the six months ended June 30, 2020, compared to $5.0 million for the six months ended June 30, 2019, representing a decrease of 34%. Research and development in both periods focused on the advancement of our ischemic repair platform and related to:</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296" w:val="left"/>
        </w:tabs>
        <w:numPr>
          <w:ilvl w:val="1"/>
          <w:numId w:val="5"/>
        </w:numPr>
        <w:rPr>
          <w:rFonts w:ascii="Arial" w:cs="Arial" w:eastAsia="Arial" w:hAnsi="Arial"/>
          <w:sz w:val="18"/>
          <w:szCs w:val="18"/>
          <w:color w:val="auto"/>
        </w:rPr>
      </w:pPr>
      <w:r>
        <w:rPr>
          <w:rFonts w:ascii="Arial" w:cs="Arial" w:eastAsia="Arial" w:hAnsi="Arial"/>
          <w:sz w:val="18"/>
          <w:szCs w:val="18"/>
          <w:color w:val="auto"/>
        </w:rPr>
        <w:t>expenses associated with investigational new drug application and planning for commencement in the second quarter of 2020 of a pilot study of CLBS119, a CD34+ cell therapy for repair of COVID-19 induced lung damage targeting patients with severe SARS-CoV-2 infection that required ventilatory support due to respiratory failure.;</w:t>
      </w:r>
    </w:p>
    <w:p>
      <w:pPr>
        <w:spacing w:after="0" w:line="210" w:lineRule="exact"/>
        <w:rPr>
          <w:rFonts w:ascii="Arial" w:cs="Arial" w:eastAsia="Arial" w:hAnsi="Arial"/>
          <w:sz w:val="18"/>
          <w:szCs w:val="18"/>
          <w:color w:val="auto"/>
        </w:rPr>
      </w:pPr>
    </w:p>
    <w:p>
      <w:pPr>
        <w:ind w:left="1300" w:hanging="320"/>
        <w:spacing w:after="0" w:line="277" w:lineRule="auto"/>
        <w:tabs>
          <w:tab w:leader="none" w:pos="1296" w:val="left"/>
        </w:tabs>
        <w:numPr>
          <w:ilvl w:val="1"/>
          <w:numId w:val="5"/>
        </w:numPr>
        <w:rPr>
          <w:rFonts w:ascii="Arial" w:cs="Arial" w:eastAsia="Arial" w:hAnsi="Arial"/>
          <w:sz w:val="18"/>
          <w:szCs w:val="18"/>
          <w:color w:val="auto"/>
        </w:rPr>
      </w:pPr>
      <w:r>
        <w:rPr>
          <w:rFonts w:ascii="Arial" w:cs="Arial" w:eastAsia="Arial" w:hAnsi="Arial"/>
          <w:sz w:val="18"/>
          <w:szCs w:val="18"/>
          <w:color w:val="auto"/>
        </w:rPr>
        <w:t>ongoing registration-eligible study expenses for CLBS12 in critical limb ischemia in Japan, whereby we continue to focus spending on our patient enrollment and anticipate completing enrollment by the end of 2020;</w:t>
      </w:r>
    </w:p>
    <w:p>
      <w:pPr>
        <w:spacing w:after="0" w:line="197" w:lineRule="exact"/>
        <w:rPr>
          <w:rFonts w:ascii="Arial" w:cs="Arial" w:eastAsia="Arial" w:hAnsi="Arial"/>
          <w:sz w:val="18"/>
          <w:szCs w:val="18"/>
          <w:color w:val="auto"/>
        </w:rPr>
      </w:pPr>
    </w:p>
    <w:p>
      <w:pPr>
        <w:jc w:val="both"/>
        <w:ind w:left="1300" w:hanging="320"/>
        <w:spacing w:after="0" w:line="263" w:lineRule="auto"/>
        <w:tabs>
          <w:tab w:leader="none" w:pos="1296" w:val="left"/>
        </w:tabs>
        <w:numPr>
          <w:ilvl w:val="1"/>
          <w:numId w:val="5"/>
        </w:numPr>
        <w:rPr>
          <w:rFonts w:ascii="Arial" w:cs="Arial" w:eastAsia="Arial" w:hAnsi="Arial"/>
          <w:sz w:val="18"/>
          <w:szCs w:val="18"/>
          <w:color w:val="auto"/>
        </w:rPr>
      </w:pPr>
      <w:r>
        <w:rPr>
          <w:rFonts w:ascii="Arial" w:cs="Arial" w:eastAsia="Arial" w:hAnsi="Arial"/>
          <w:sz w:val="18"/>
          <w:szCs w:val="18"/>
          <w:color w:val="auto"/>
        </w:rPr>
        <w:t>expenses associated with the proof-of-concept study for CLBS16 in coronary microvascular dysfunction, whereby study enrollment was completed in the second quarter of 2019 and full results reported in May 2020. We initiated efforts to advance CLBS16 into a Phase 2b study in the second quarter of 2020; and</w:t>
      </w:r>
    </w:p>
    <w:p>
      <w:pPr>
        <w:spacing w:after="0" w:line="210" w:lineRule="exact"/>
        <w:rPr>
          <w:rFonts w:ascii="Arial" w:cs="Arial" w:eastAsia="Arial" w:hAnsi="Arial"/>
          <w:sz w:val="18"/>
          <w:szCs w:val="18"/>
          <w:color w:val="auto"/>
        </w:rPr>
      </w:pPr>
    </w:p>
    <w:p>
      <w:pPr>
        <w:jc w:val="both"/>
        <w:ind w:left="1300" w:hanging="320"/>
        <w:spacing w:after="0" w:line="259" w:lineRule="auto"/>
        <w:tabs>
          <w:tab w:leader="none" w:pos="1296" w:val="left"/>
        </w:tabs>
        <w:numPr>
          <w:ilvl w:val="1"/>
          <w:numId w:val="5"/>
        </w:numPr>
        <w:rPr>
          <w:rFonts w:ascii="Arial" w:cs="Arial" w:eastAsia="Arial" w:hAnsi="Arial"/>
          <w:sz w:val="18"/>
          <w:szCs w:val="18"/>
          <w:color w:val="auto"/>
        </w:rPr>
      </w:pPr>
      <w:r>
        <w:rPr>
          <w:rFonts w:ascii="Arial" w:cs="Arial" w:eastAsia="Arial" w:hAnsi="Arial"/>
          <w:sz w:val="18"/>
          <w:szCs w:val="18"/>
          <w:color w:val="auto"/>
        </w:rPr>
        <w:t>expenses associated with the preparation of our confirmatory Phase 3 study of CLBS14 in NORDA in the second quarter of 2019. In late 2019, we projected that the Phase 3 study would cost approximately $70 million in external expenses over the next several years, and as a result, we elected to postpone the initiation of the study until we have confidence that we can access sufficient capital to allow us to complete the study uninterrupted.</w:t>
      </w:r>
    </w:p>
    <w:p>
      <w:pPr>
        <w:spacing w:after="0" w:line="213"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General and administrative expenses were approximately $5.0 million for the six months ended June 30, 2020, compared to $4.9 million for the six months ended June 30, 2019. Our general and administrative expenses focus on general corporate-related activities.</w:t>
      </w:r>
    </w:p>
    <w:p>
      <w:pPr>
        <w:spacing w:after="0" w:line="173"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Historically, to minimize our use of cash, we have used a variety of equity and equity-linked instruments to compensate employees, consultants and other service providers. The use of these instruments has resulted in charges to the results of operations, which have been significant in the past.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other income is primarily comprised of investment income on cash, cash equivalents and marketable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256"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In April 2020, we received approval from the NJEDA to participate in the Program, whereby we qualified to sell a percentage of our NJ NOLs. We subsequently sold a portion of our NJ NOLs to a qualifying and approved buyer pursuant to the Program for net proceeds of $10.9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June 30, 2020, we had cash, cash equivalents and marketable securities of approximately $34.9 million, working capital of approximately $33.1 million, and stockholders’ equity of approximately $33.8 million.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six months ended June 30, 2020, we met our immediate cash requirements through existing cash balances. Additionally, we used equity and equity-linked instruments to pay for services and compensation.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or used in operating, investing and financing activities were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Six Months Ended June 30,</w:t>
            </w:r>
          </w:p>
        </w:tc>
        <w:tc>
          <w:tcPr>
            <w:tcW w:w="740" w:type="dxa"/>
            <w:vAlign w:val="bottom"/>
            <w:tcBorders>
              <w:bottom w:val="single" w:sz="8" w:color="auto"/>
            </w:tcBorders>
          </w:tcPr>
          <w:p>
            <w:pPr>
              <w:spacing w:after="0"/>
              <w:rPr>
                <w:sz w:val="16"/>
                <w:szCs w:val="16"/>
                <w:color w:val="auto"/>
              </w:rPr>
            </w:pPr>
          </w:p>
        </w:tc>
      </w:tr>
      <w:tr>
        <w:trPr>
          <w:trHeight w:val="250"/>
        </w:trPr>
        <w:tc>
          <w:tcPr>
            <w:tcW w:w="75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1"/>
                <w:szCs w:val="21"/>
                <w:color w:val="auto"/>
              </w:rPr>
            </w:pPr>
          </w:p>
        </w:tc>
      </w:tr>
      <w:tr>
        <w:trPr>
          <w:trHeight w:val="249"/>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12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(10,205)</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1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2,855</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10,752</w:t>
            </w:r>
          </w:p>
        </w:tc>
      </w:tr>
      <w:tr>
        <w:trPr>
          <w:trHeight w:val="27"/>
        </w:trPr>
        <w:tc>
          <w:tcPr>
            <w:tcW w:w="7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9,535</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908</w:t>
            </w:r>
          </w:p>
        </w:tc>
      </w:tr>
      <w:tr>
        <w:trPr>
          <w:trHeight w:val="27"/>
        </w:trPr>
        <w:tc>
          <w:tcPr>
            <w:tcW w:w="7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cash used in operating activities during the six months ended June 30, 2020 was $0.3 million, which is comprised of (i) our net income of $2.6 million, adjusted for non-cash expenses totaling $0.9 million (which includes adjustments for equity-based compensation, depreciation and amortization, and amortization/accretion of marketable securities), and (ii) changes in operating assets and liabilities using approximately $3.3 million.</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cash used in operating activities during the six months ended June 30, 2019 was $10.2 million, which is comprised of (i) our net loss of $9.5 million, adjusted for non-cash expenses totaling $1.0 million (which includes adjustments for equity-based compensation, depreciation and amortization, and amortization/accretion of marketable securities), and (ii) changes in operating assets and liabilities using approximately $1.7 million.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provided by investing activities during the six months ended June 30, 2020 totaled $2.9 million and was primarily due to net proceeds from the sale of marketable securities (net of purchases of marketable securities).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provided by investing activities during the six months ended June 30, 2019 totaled $10.8 million and was primarily due to net proceeds from sales of marketable securities (net of purchases of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provided by in financing activities during the six months ended June 30, 2020 primarily consisted of (i) net proceeds of $4.5 million through the issuance of common shares and warrants in our April 2020 registered direct offering, (ii) net proceeds of $3.8 million through the issuance of common shares and warrants in our May 2020 registered direct offering, and (iii) net proceeds of $1.3 million through the issuance of common shares under our common stock sales agreement with H.C. Wainwright.</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cash provided by financing activities during the six months ended June 30, 2019 consisted of proceeds of $1.0 million through the issuance of 250,000 shares of our common stock under the provisions of our common stock purchase agreement with Lincoln Park Capital, which was partially offset by tax withholding-related payments on net share settlement equity awards to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Requirements Outlook</w:t>
      </w:r>
    </w:p>
    <w:p>
      <w:pPr>
        <w:spacing w:after="0" w:line="256" w:lineRule="exact"/>
        <w:rPr>
          <w:sz w:val="20"/>
          <w:szCs w:val="20"/>
          <w:color w:val="auto"/>
        </w:rPr>
      </w:pPr>
    </w:p>
    <w:p>
      <w:pPr>
        <w:jc w:val="both"/>
        <w:ind w:firstLine="363"/>
        <w:spacing w:after="0" w:line="273" w:lineRule="auto"/>
        <w:rPr>
          <w:sz w:val="20"/>
          <w:szCs w:val="20"/>
          <w:color w:val="auto"/>
        </w:rPr>
      </w:pPr>
      <w:r>
        <w:rPr>
          <w:rFonts w:ascii="Arial" w:cs="Arial" w:eastAsia="Arial" w:hAnsi="Arial"/>
          <w:sz w:val="17"/>
          <w:szCs w:val="17"/>
          <w:color w:val="auto"/>
        </w:rPr>
        <w:t>To meet our short and long-term liquidity needs, we expect to use existing cash balances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biopharmaceutical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We will also continue to seek, as appropriate, grants for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scientific and clinical studies from various governmental agencies and foundations, and other sources of non-dilutive funding. We believe that our cash on hand will enable us to fund operating expenses for at least the next 12 months following the issuance of our financial statements considering the assumption that any initiation of a CLBS14 Phase 3 study is contingent on our acquisition of additional capital to fund such a study.</w:t>
      </w:r>
    </w:p>
    <w:p>
      <w:pPr>
        <w:spacing w:after="0" w:line="192" w:lineRule="exact"/>
        <w:rPr>
          <w:sz w:val="20"/>
          <w:szCs w:val="20"/>
          <w:color w:val="auto"/>
        </w:rPr>
      </w:pPr>
    </w:p>
    <w:p>
      <w:pPr>
        <w:jc w:val="both"/>
        <w:ind w:firstLine="492"/>
        <w:spacing w:after="0" w:line="255" w:lineRule="auto"/>
        <w:rPr>
          <w:sz w:val="20"/>
          <w:szCs w:val="20"/>
          <w:color w:val="auto"/>
        </w:rPr>
      </w:pPr>
      <w:r>
        <w:rPr>
          <w:rFonts w:ascii="Arial" w:cs="Arial" w:eastAsia="Arial" w:hAnsi="Arial"/>
          <w:sz w:val="18"/>
          <w:szCs w:val="18"/>
          <w:color w:val="auto"/>
        </w:rPr>
        <w:t>In July 2020, the Company entered into a securities purchase agreement (the “Private Placement”) with certain investors (the “Private Placement Purchasers”). Pursuant to the terms of the Private Placement, the Company agreed to sell to the Private Placement Purchasers an aggregate of 969,694 shares of its common stock at a purchase price equal to $2.0625 per share, along with warrants to purchase an aggregate of 484,847 shares of its common stock. In connection with the Private Placement, the Company received gross proceeds of $2.0 million. Each warrant is exercisable for one share of common stock and features an exercise price equal to $2.0625 per share. The warrants are exercisable immediately upon issuance and will expire five and one-half years from the issuance date.</w:t>
      </w:r>
    </w:p>
    <w:p>
      <w:pPr>
        <w:spacing w:after="0" w:line="219" w:lineRule="exact"/>
        <w:rPr>
          <w:sz w:val="20"/>
          <w:szCs w:val="20"/>
          <w:color w:val="auto"/>
        </w:rPr>
      </w:pPr>
    </w:p>
    <w:p>
      <w:pPr>
        <w:jc w:val="both"/>
        <w:ind w:firstLine="604"/>
        <w:spacing w:after="0" w:line="293" w:lineRule="auto"/>
        <w:rPr>
          <w:sz w:val="20"/>
          <w:szCs w:val="20"/>
          <w:color w:val="auto"/>
        </w:rPr>
      </w:pPr>
      <w:r>
        <w:rPr>
          <w:rFonts w:ascii="Arial" w:cs="Arial" w:eastAsia="Arial" w:hAnsi="Arial"/>
          <w:sz w:val="16"/>
          <w:szCs w:val="16"/>
          <w:color w:val="auto"/>
        </w:rPr>
        <w:t>In May 2020, the Company entered into a securities purchase agreement (the “May Purchase Agreement”) with certain investors (the “May Purchasers”). Pursuant to the terms of the May Purchase Agreement, the Company agreed to sell to the May Purchasers an aggregate of 2,084,850 shares of its common stock at a purchase price equal to $2.0625 per share. In a concurrent private placement, the Company issued to the Purchasers warrants to purchase an aggregate of 1,042,425 shares of its common stock. In connection with the registered direct offering and concurrent private placement, the Company received gross proceeds of $4.3 million. Each warrant is exercisable for one share of common stock and features an exercise price equal to $2.0625 per share. The warrants are exercisable immediately upon issuance and will expire five and one-half years from the issuance date.</w:t>
      </w:r>
    </w:p>
    <w:p>
      <w:pPr>
        <w:spacing w:after="0" w:line="191" w:lineRule="exact"/>
        <w:rPr>
          <w:sz w:val="20"/>
          <w:szCs w:val="20"/>
          <w:color w:val="auto"/>
        </w:rPr>
      </w:pPr>
    </w:p>
    <w:p>
      <w:pPr>
        <w:jc w:val="both"/>
        <w:ind w:firstLine="560"/>
        <w:spacing w:after="0" w:line="293" w:lineRule="auto"/>
        <w:rPr>
          <w:sz w:val="20"/>
          <w:szCs w:val="20"/>
          <w:color w:val="auto"/>
        </w:rPr>
      </w:pPr>
      <w:r>
        <w:rPr>
          <w:rFonts w:ascii="Arial" w:cs="Arial" w:eastAsia="Arial" w:hAnsi="Arial"/>
          <w:sz w:val="16"/>
          <w:szCs w:val="16"/>
          <w:color w:val="auto"/>
        </w:rPr>
        <w:t>In April 2020, the Company entered into a securities purchase agreement (the “April Purchase Agreement”) with certain investors (the “April Purchasers”). Pursuant to the terms of the April Purchase Agreement, the Company agreed to sell to the Purchasers an aggregate of 2,162,166 shares of its common stock at a purchase price equal to $2.3125 per share. In a concurrent private placement, the Company issued to the April Purchasers warrants to purchase an aggregate of 1,081,083 shares of its common stock. In connection with the registered direct offering and concurrent private placement, the Company received gross proceeds of $5,000,009. Each warrant is exercisable for one share of common stock and features an exercise price equal to $2.2500 per share. The warrants are exercisable immediately upon issuance and will expire five and one-half years from the issuance date.</w:t>
      </w:r>
    </w:p>
    <w:p>
      <w:pPr>
        <w:spacing w:after="0" w:line="191" w:lineRule="exact"/>
        <w:rPr>
          <w:sz w:val="20"/>
          <w:szCs w:val="20"/>
          <w:color w:val="auto"/>
        </w:rPr>
      </w:pPr>
    </w:p>
    <w:p>
      <w:pPr>
        <w:jc w:val="both"/>
        <w:ind w:firstLine="551"/>
        <w:spacing w:after="0" w:line="279" w:lineRule="auto"/>
        <w:rPr>
          <w:sz w:val="20"/>
          <w:szCs w:val="20"/>
          <w:color w:val="auto"/>
        </w:rPr>
      </w:pPr>
      <w:r>
        <w:rPr>
          <w:rFonts w:ascii="Arial" w:cs="Arial" w:eastAsia="Arial" w:hAnsi="Arial"/>
          <w:sz w:val="17"/>
          <w:szCs w:val="17"/>
          <w:color w:val="auto"/>
        </w:rPr>
        <w:t>In December 2019, we received preliminary approval from the New Jersey Economic Development Authority ("NJEDA") to participate in the Technology Business Tax Certificate Transfer Program (the "Program"). The Program permits qualified companies to sell a percentage of their New Jersey net operating losses ("NJ NOLs") to unrelated profitable corporations. On April 21, 2020, the Company received final approval from NJEDA, and it subsequently sold a portion of its NJ NOLs to a qualifying and approved buyer pursuant to the Program for net proceeds of $10.9 million.</w:t>
      </w:r>
    </w:p>
    <w:p>
      <w:pPr>
        <w:spacing w:after="0" w:line="198"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In March 2019, we and Lincoln Park Capital Fund, LLC (“Lincoln Park”) entered into a purchase agreement (the “Purchase Agreement”) and a registration rights agreement (the “Registration Rights Agreement”), pursuant to which we have the right to sell to Lincoln Park shares of our common stock having an aggregate value of up to $26 million, subject to certain limitations and conditions set forth in the Purchase Agreement (the “Offering”). As consideration for entering into the Purchase Agreement, we issued to Lincoln Park an additional 181,510 shares of common stock as commitment shares. Pursuant to the Purchase Agreement, Lincoln Park purchased 250,000 shares of common stock, at a price of $4.00 per share, for a total gross purchase price of $1.0 million (the “Initial Purchase”) upon commencement. Thereafter, as often as every business day from and after one business day following the date of the Initial Purchase and over the 36-month term of the Purchase Agreement, we have the right, from time to time, at our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$2,500,000, unless we and Lincoln Park mutually agree to increase the maximum amount of such single purchase (each, a “Regular Purchase”). If we direct Lincoln Park to purchase the maximum number of shares of common stock it then may sell in a Regular Purchase, then in addition to such Regular Purchase, and subject to certain conditions and limitations in the Purchase Agreement, we may direct Lincoln Park in an “accelerated purchase” to purchase an additional amount of common stock that may not exceed the lesser of (i) 300% the number of shares purchased pursuant to the corresponding Regular Purchase or (ii) 30% of the total number of shares of our common stock traded during a specified period on the applicable purchase date as set forth in the Purchase Agreement. Under certain circumstances and in accordance with the Purchase Agreement, we may direct Lincoln Park to purchase shares in multiple accelerated purchases on the same trading day. As of June 30, 2020, the Company had not made any sales of common stock to Lincoln Park under the Purchase Agreement other than the Initial Purchase.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35"/>
        <w:spacing w:after="0" w:line="286" w:lineRule="auto"/>
        <w:rPr>
          <w:sz w:val="20"/>
          <w:szCs w:val="20"/>
          <w:color w:val="auto"/>
        </w:rPr>
      </w:pPr>
      <w:r>
        <w:rPr>
          <w:rFonts w:ascii="Arial" w:cs="Arial" w:eastAsia="Arial" w:hAnsi="Arial"/>
          <w:sz w:val="16"/>
          <w:szCs w:val="16"/>
          <w:color w:val="auto"/>
        </w:rPr>
        <w:t>In February 2018, we entered into a common stock sales agreement (the "Sales Agreement") with H.C. Wainwright &amp; Co., LLC ("HCW"), as sales agent, in connection with an “at the market offering” under which we from time to time may offer and sell shares of our common stock, which was further amended in August 2018, having an aggregate offering price of up to $25 million. In March 2019, subsequent to the filing of our 2018 Form 10-K, the aggregate market value of our outstanding common stock held by non-affiliates was approximately $52.8 million. Pursuant to General Instruction I.B.6 of Form S-3, since the aggregate market value of our outstanding common stock held by non-affiliates was below $75.0 million at the time of our 2018 Form 10-K filing, the aggregate amount of securities that we were permitted to offer and sell at such time was reduced to $17.6 million (or a maximum of 4.8 million shares), which was equal to one-third of the aggregate market value of our common stock held by non-affiliates at such time. Subject to the terms and conditions of the Sales Agreement, HCW will use its commercially reasonable efforts consistent with its normal trading and sales practices to sell the shares from time to time, based upon our instructions, including any price, time or size limits specified by us. We have provided HCW with customary indemnification rights, and HCW will be entitled to a commission at a fixed commission rate equal to 3.0% of the gross proceeds per share sold. We have no obligation to sell any of the shares and may at any time suspend sales under the Sales Agreement or terminate the Sales Agreement. The Sales Agreement will terminate upon the sale of all of the shares under the Sales Agreement unless terminated earlier by either party as permitted under the Sales Agreement. As of June 30, 2020, we issued 907,168 shares of common stock under the Sales Agreement for net proceeds of $2.3 million. Subsequent to June 30, 2020, the Company issued an additional 2,779,299 shares of common stock under the Sales Agreement for net proceeds of $6.9 million.</w:t>
      </w:r>
    </w:p>
    <w:p>
      <w:pPr>
        <w:spacing w:after="0" w:line="198" w:lineRule="exact"/>
        <w:rPr>
          <w:sz w:val="20"/>
          <w:szCs w:val="20"/>
          <w:color w:val="auto"/>
        </w:rPr>
      </w:pPr>
    </w:p>
    <w:p>
      <w:pPr>
        <w:jc w:val="both"/>
        <w:ind w:firstLine="465"/>
        <w:spacing w:after="0" w:line="273" w:lineRule="auto"/>
        <w:rPr>
          <w:sz w:val="20"/>
          <w:szCs w:val="20"/>
          <w:color w:val="auto"/>
        </w:rPr>
      </w:pPr>
      <w:r>
        <w:rPr>
          <w:rFonts w:ascii="Arial" w:cs="Arial" w:eastAsia="Arial" w:hAnsi="Arial"/>
          <w:sz w:val="17"/>
          <w:szCs w:val="17"/>
          <w:color w:val="auto"/>
        </w:rPr>
        <w:t>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believe that our operations are seasonal in nature.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off-balance sheet arrangements.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There have been no material changes in our critical accounting policies and estimates during the three and six months ended June 30, 2020, compared to those reported in our 2019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Disclosure controls and procedures are the controls and other procedures we have designed to ensure that information required to be disclosed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the Chief Executive Officer and Chief Financial Officer, as appropriate, to allow timely decisions regarding required disclosure. In designing and evaluating the disclosure controls and procedures, management recognizes that any controls and procedures, no matter how well-designed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collusion of two or more people, or by management override of the control. Controls and procedures can only provide reasonable, not absolute, assurance that the above objectives have been met.</w:t>
      </w:r>
    </w:p>
    <w:p>
      <w:pPr>
        <w:spacing w:after="0" w:line="19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June 30, 2020, we carried out an evaluation, with the participation of our management, including our Chief Executive Officer and Chief Financial Officer, of the effectiveness of our disclosure controls and procedures pursuant to Rule 13a-15(e) and 15d-15(e) of the Exchange Act. Based on that evaluation, our Chief Executive Officer and Chief Financial Officer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Chief Executive Officer and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to the disclosures previously reported in our 2019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as set forth below, there have been no material changes to the risk factors previously reported in our 2019 Form 10-K. See the risk factors set forth in our 2019 Annual Report on Form 10-K under the caption "Item 1 A - Risk Factors."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Pandemics such as the coronavirus (COVID-19) could have an adverse impact on our developmental programs and our financial condition.</w:t>
      </w:r>
    </w:p>
    <w:p>
      <w:pPr>
        <w:spacing w:after="0" w:line="26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December 2019, a novel strain of coronavirus (COVID-19) was first identified in Wuhan, Hubei Province, China, which virus has since spread throughout the world and has become a formal pandemic. Any outbreak of contagious diseases, including the coronavirus, or other adverse public health developments, has had, and could continue to have, a material and adverse effect on our business operations. These have caused, and could continue to cause, disruptions or restrictions on our ability to travel, pursue partnerships and other business transactions, conduct clinical trials, make shipments of biologic materials, as well as be impacted by the closure, temporary or otherwise, of the facilities of suppliers and clinical trial sites. Disruption of suppliers, clinical trial sites or access to patients would likely impact, and in some cases has impacted, our clinical trial enrollment progress and rates as well as our ability to access capital through the financial markets. The extent to which the COVID-19, or any other contagious disease, may impact our results will depend on future developments, which developments are highly uncertain and cannot be predicted, including new information which may emerge concerning the severity and duration of COVID-19 and the actions to contain the coronavirus or treat its impact, among others.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Exhibit Index appearing immediately after the signature page to this Form 10-Q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left="120" w:firstLine="46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CALADRIUS BIOSCIENCES, INC.</w:t>
      </w:r>
    </w:p>
    <w:p>
      <w:pPr>
        <w:spacing w:after="0" w:line="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J. Mazzo, PhD</w:t>
      </w:r>
    </w:p>
    <w:p>
      <w:pPr>
        <w:ind w:left="2220"/>
        <w:spacing w:after="0" w:line="228" w:lineRule="auto"/>
        <w:tabs>
          <w:tab w:leader="none" w:pos="5700" w:val="left"/>
        </w:tabs>
        <w:rPr>
          <w:sz w:val="20"/>
          <w:szCs w:val="20"/>
          <w:color w:val="auto"/>
        </w:rPr>
      </w:pPr>
      <w:r>
        <w:rPr>
          <w:rFonts w:ascii="Arial" w:cs="Arial" w:eastAsia="Arial" w:hAnsi="Arial"/>
          <w:sz w:val="20"/>
          <w:szCs w:val="20"/>
          <w:color w:val="auto"/>
          <w:vertAlign w:val="subscript"/>
        </w:rPr>
        <w:t>August 13, 2020</w:t>
      </w:r>
      <w:r>
        <w:rPr>
          <w:sz w:val="20"/>
          <w:szCs w:val="20"/>
          <w:color w:val="auto"/>
        </w:rPr>
        <w:tab/>
      </w:r>
      <w:r>
        <w:rPr>
          <w:rFonts w:ascii="Arial" w:cs="Arial" w:eastAsia="Arial" w:hAnsi="Arial"/>
          <w:sz w:val="16"/>
          <w:szCs w:val="16"/>
          <w:color w:val="auto"/>
        </w:rPr>
        <w:t>Name: David J. Mazzo, PhD</w:t>
      </w:r>
    </w:p>
    <w:p>
      <w:pPr>
        <w:ind w:left="5720"/>
        <w:spacing w:after="0" w:line="203" w:lineRule="auto"/>
        <w:rPr>
          <w:sz w:val="20"/>
          <w:szCs w:val="20"/>
          <w:color w:val="auto"/>
        </w:rPr>
      </w:pPr>
      <w:r>
        <w:rPr>
          <w:rFonts w:ascii="Arial" w:cs="Arial" w:eastAsia="Arial" w:hAnsi="Arial"/>
          <w:sz w:val="18"/>
          <w:szCs w:val="18"/>
          <w:color w:val="auto"/>
        </w:rPr>
        <w:t>Title: President and Chief Executive Officer</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ind w:left="5720"/>
        <w:spacing w:after="0" w:line="229" w:lineRule="auto"/>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Talamo</w:t>
      </w:r>
    </w:p>
    <w:p>
      <w:pPr>
        <w:ind w:left="2220"/>
        <w:spacing w:after="0"/>
        <w:tabs>
          <w:tab w:leader="none" w:pos="5700" w:val="left"/>
        </w:tabs>
        <w:rPr>
          <w:sz w:val="20"/>
          <w:szCs w:val="20"/>
          <w:color w:val="auto"/>
        </w:rPr>
      </w:pPr>
      <w:r>
        <w:rPr>
          <w:rFonts w:ascii="Arial" w:cs="Arial" w:eastAsia="Arial" w:hAnsi="Arial"/>
          <w:sz w:val="20"/>
          <w:szCs w:val="20"/>
          <w:color w:val="auto"/>
          <w:vertAlign w:val="subscript"/>
        </w:rPr>
        <w:t>August 13, 2020</w:t>
      </w:r>
      <w:r>
        <w:rPr>
          <w:sz w:val="20"/>
          <w:szCs w:val="20"/>
          <w:color w:val="auto"/>
        </w:rPr>
        <w:tab/>
      </w:r>
      <w:r>
        <w:rPr>
          <w:rFonts w:ascii="Arial" w:cs="Arial" w:eastAsia="Arial" w:hAnsi="Arial"/>
          <w:sz w:val="15"/>
          <w:szCs w:val="15"/>
          <w:color w:val="auto"/>
        </w:rPr>
        <w:t>Name: Joseph Talamo</w:t>
      </w:r>
    </w:p>
    <w:p>
      <w:pPr>
        <w:ind w:left="5720"/>
        <w:spacing w:after="0" w:line="229" w:lineRule="auto"/>
        <w:rPr>
          <w:sz w:val="20"/>
          <w:szCs w:val="20"/>
          <w:color w:val="auto"/>
        </w:rPr>
      </w:pPr>
      <w:r>
        <w:rPr>
          <w:rFonts w:ascii="Arial" w:cs="Arial" w:eastAsia="Arial" w:hAnsi="Arial"/>
          <w:sz w:val="16"/>
          <w:szCs w:val="16"/>
          <w:color w:val="auto"/>
        </w:rPr>
        <w:t>Title: Senior Vice President and Chief Financial Officer (Principal Financial</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Index</w:t>
        </w:r>
      </w:hyperlink>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spacing w:after="0"/>
        <w:tabs>
          <w:tab w:leader="none" w:pos="1840" w:val="left"/>
        </w:tabs>
        <w:rPr>
          <w:rFonts w:ascii="Arial" w:cs="Arial" w:eastAsia="Arial" w:hAnsi="Arial"/>
          <w:sz w:val="16"/>
          <w:szCs w:val="16"/>
          <w:color w:val="0000FF"/>
        </w:rPr>
      </w:pPr>
      <w:hyperlink w:anchor="page32">
        <w:r>
          <w:rPr>
            <w:rFonts w:ascii="Arial" w:cs="Arial" w:eastAsia="Arial" w:hAnsi="Arial"/>
            <w:sz w:val="16"/>
            <w:szCs w:val="16"/>
            <w:u w:val="single" w:color="auto"/>
            <w:color w:val="0000FF"/>
          </w:rPr>
          <w:t>31.1</w:t>
        </w:r>
      </w:hyperlink>
      <w:r>
        <w:rPr>
          <w:rFonts w:ascii="Arial" w:cs="Arial" w:eastAsia="Arial" w:hAnsi="Arial"/>
          <w:sz w:val="16"/>
          <w:szCs w:val="16"/>
          <w:color w:val="0000FF"/>
        </w:rPr>
        <w:tab/>
        <w:t>*</w:t>
      </w:r>
    </w:p>
    <w:p>
      <w:pPr>
        <w:spacing w:after="0" w:line="73" w:lineRule="exact"/>
        <w:rPr>
          <w:sz w:val="20"/>
          <w:szCs w:val="20"/>
          <w:color w:val="auto"/>
        </w:rPr>
      </w:pPr>
    </w:p>
    <w:p>
      <w:pPr>
        <w:ind w:left="1240"/>
        <w:spacing w:after="0"/>
        <w:tabs>
          <w:tab w:leader="none" w:pos="1840" w:val="left"/>
        </w:tabs>
        <w:rPr>
          <w:rFonts w:ascii="Arial" w:cs="Arial" w:eastAsia="Arial" w:hAnsi="Arial"/>
          <w:sz w:val="16"/>
          <w:szCs w:val="16"/>
          <w:color w:val="0000FF"/>
        </w:rPr>
      </w:pPr>
      <w:hyperlink w:anchor="page33">
        <w:r>
          <w:rPr>
            <w:rFonts w:ascii="Arial" w:cs="Arial" w:eastAsia="Arial" w:hAnsi="Arial"/>
            <w:sz w:val="16"/>
            <w:szCs w:val="16"/>
            <w:u w:val="single" w:color="auto"/>
            <w:color w:val="0000FF"/>
          </w:rPr>
          <w:t>31.2</w:t>
        </w:r>
      </w:hyperlink>
      <w:r>
        <w:rPr>
          <w:rFonts w:ascii="Arial" w:cs="Arial" w:eastAsia="Arial" w:hAnsi="Arial"/>
          <w:sz w:val="16"/>
          <w:szCs w:val="16"/>
          <w:color w:val="0000FF"/>
        </w:rPr>
        <w:tab/>
        <w:t>*</w:t>
      </w:r>
    </w:p>
    <w:p>
      <w:pPr>
        <w:spacing w:after="0" w:line="73" w:lineRule="exact"/>
        <w:rPr>
          <w:sz w:val="20"/>
          <w:szCs w:val="20"/>
          <w:color w:val="auto"/>
        </w:rPr>
      </w:pPr>
    </w:p>
    <w:p>
      <w:pPr>
        <w:jc w:val="right"/>
        <w:spacing w:after="0"/>
        <w:tabs>
          <w:tab w:leader="none" w:pos="140" w:val="left"/>
        </w:tabs>
        <w:rPr>
          <w:rFonts w:ascii="Arial" w:cs="Arial" w:eastAsia="Arial" w:hAnsi="Arial"/>
          <w:sz w:val="16"/>
          <w:szCs w:val="16"/>
          <w:color w:val="0000FF"/>
        </w:rPr>
      </w:pPr>
      <w:hyperlink w:anchor="page34">
        <w:r>
          <w:rPr>
            <w:rFonts w:ascii="Arial" w:cs="Arial" w:eastAsia="Arial" w:hAnsi="Arial"/>
            <w:sz w:val="16"/>
            <w:szCs w:val="16"/>
            <w:u w:val="single" w:color="auto"/>
            <w:color w:val="0000FF"/>
          </w:rPr>
          <w:t>32.1</w:t>
        </w:r>
      </w:hyperlink>
      <w:r>
        <w:rPr>
          <w:rFonts w:ascii="Arial" w:cs="Arial" w:eastAsia="Arial" w:hAnsi="Arial"/>
          <w:sz w:val="16"/>
          <w:szCs w:val="16"/>
          <w:color w:val="0000FF"/>
        </w:rPr>
        <w:tab/>
      </w:r>
      <w:r>
        <w:rPr>
          <w:rFonts w:ascii="Arial" w:cs="Arial" w:eastAsia="Arial" w:hAnsi="Arial"/>
          <w:sz w:val="30"/>
          <w:szCs w:val="30"/>
          <w:color w:val="0000FF"/>
          <w:vertAlign w:val="superscript"/>
        </w:rPr>
        <w:t>**</w:t>
      </w:r>
    </w:p>
    <w:p>
      <w:pPr>
        <w:spacing w:after="0" w:line="114" w:lineRule="exact"/>
        <w:rPr>
          <w:sz w:val="20"/>
          <w:szCs w:val="20"/>
          <w:color w:val="auto"/>
        </w:rPr>
      </w:pPr>
    </w:p>
    <w:p>
      <w:pPr>
        <w:jc w:val="right"/>
        <w:spacing w:after="0"/>
        <w:tabs>
          <w:tab w:leader="none" w:pos="140" w:val="left"/>
        </w:tabs>
        <w:rPr>
          <w:rFonts w:ascii="Arial" w:cs="Arial" w:eastAsia="Arial" w:hAnsi="Arial"/>
          <w:sz w:val="16"/>
          <w:szCs w:val="16"/>
          <w:color w:val="0000FF"/>
        </w:rPr>
      </w:pPr>
      <w:hyperlink w:anchor="page35">
        <w:r>
          <w:rPr>
            <w:rFonts w:ascii="Arial" w:cs="Arial" w:eastAsia="Arial" w:hAnsi="Arial"/>
            <w:sz w:val="16"/>
            <w:szCs w:val="16"/>
            <w:u w:val="single" w:color="auto"/>
            <w:color w:val="0000FF"/>
          </w:rPr>
          <w:t>32.2</w:t>
        </w:r>
      </w:hyperlink>
      <w:r>
        <w:rPr>
          <w:rFonts w:ascii="Arial" w:cs="Arial" w:eastAsia="Arial" w:hAnsi="Arial"/>
          <w:sz w:val="16"/>
          <w:szCs w:val="16"/>
          <w:color w:val="0000FF"/>
        </w:rPr>
        <w:tab/>
      </w:r>
      <w:r>
        <w:rPr>
          <w:rFonts w:ascii="Arial" w:cs="Arial" w:eastAsia="Arial" w:hAnsi="Arial"/>
          <w:sz w:val="30"/>
          <w:szCs w:val="30"/>
          <w:color w:val="0000FF"/>
          <w:vertAlign w:val="superscript"/>
        </w:rPr>
        <w:t>**</w:t>
      </w:r>
    </w:p>
    <w:p>
      <w:pPr>
        <w:spacing w:after="0" w:line="114"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101.INS</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101.SCH</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101.CAL</w:t>
      </w:r>
    </w:p>
    <w:p>
      <w:pPr>
        <w:spacing w:after="0" w:line="7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101.DEF</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101.LAB</w:t>
      </w:r>
    </w:p>
    <w:p>
      <w:pPr>
        <w:spacing w:after="0" w:line="7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CALADRIUS BIOSCIENCES, INC.</w:t>
      </w:r>
    </w:p>
    <w:p>
      <w:pPr>
        <w:spacing w:after="0" w:line="2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FORM 10-Q</w:t>
      </w:r>
    </w:p>
    <w:p>
      <w:pPr>
        <w:spacing w:after="0" w:line="23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94615</wp:posOffset>
            </wp:positionV>
            <wp:extent cx="596646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6460" cy="163195"/>
                    </a:xfrm>
                    <a:prstGeom prst="rect">
                      <a:avLst/>
                    </a:prstGeom>
                    <a:noFill/>
                  </pic:spPr>
                </pic:pic>
              </a:graphicData>
            </a:graphic>
          </wp:anchor>
        </w:drawing>
      </w:r>
    </w:p>
    <w:p>
      <w:pPr>
        <w:spacing w:after="0" w:line="146" w:lineRule="exact"/>
        <w:rPr>
          <w:sz w:val="20"/>
          <w:szCs w:val="20"/>
          <w:color w:val="auto"/>
        </w:rPr>
      </w:pPr>
    </w:p>
    <w:p>
      <w:pPr>
        <w:ind w:right="1479"/>
        <w:spacing w:after="0" w:line="382" w:lineRule="auto"/>
        <w:rPr>
          <w:sz w:val="20"/>
          <w:szCs w:val="20"/>
          <w:color w:val="auto"/>
        </w:rPr>
      </w:pPr>
      <w:r>
        <w:rPr>
          <w:rFonts w:ascii="Arial" w:cs="Arial" w:eastAsia="Arial" w:hAnsi="Arial"/>
          <w:sz w:val="14"/>
          <w:szCs w:val="14"/>
          <w:color w:val="auto"/>
        </w:rPr>
        <w:t>Certification of Chief Executive Officer pursuant to Section 302 of the Sarbanes-Oxley Act of 2002 Certification of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-10160</wp:posOffset>
            </wp:positionV>
            <wp:extent cx="5966460" cy="291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6460" cy="291465"/>
                    </a:xfrm>
                    <a:prstGeom prst="rect">
                      <a:avLst/>
                    </a:prstGeom>
                    <a:noFill/>
                  </pic:spPr>
                </pic:pic>
              </a:graphicData>
            </a:graphic>
          </wp:anchor>
        </w:drawing>
      </w:r>
    </w:p>
    <w:p>
      <w:pPr>
        <w:ind w:right="259"/>
        <w:spacing w:after="0" w:line="293" w:lineRule="auto"/>
        <w:rPr>
          <w:sz w:val="20"/>
          <w:szCs w:val="20"/>
          <w:color w:val="auto"/>
        </w:rPr>
      </w:pP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0" w:lineRule="exact"/>
        <w:rPr>
          <w:sz w:val="20"/>
          <w:szCs w:val="20"/>
          <w:color w:val="auto"/>
        </w:rPr>
      </w:pPr>
    </w:p>
    <w:p>
      <w:pPr>
        <w:ind w:right="299"/>
        <w:spacing w:after="0" w:line="293" w:lineRule="auto"/>
        <w:rPr>
          <w:sz w:val="20"/>
          <w:szCs w:val="20"/>
          <w:color w:val="auto"/>
        </w:rPr>
      </w:pP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-3810</wp:posOffset>
            </wp:positionV>
            <wp:extent cx="596646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6460" cy="1631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XBRL Instance Document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34925</wp:posOffset>
            </wp:positionV>
            <wp:extent cx="596646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6460" cy="16319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34925</wp:posOffset>
            </wp:positionV>
            <wp:extent cx="596646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6460" cy="16319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128" w:lineRule="exact"/>
        <w:rPr>
          <w:sz w:val="20"/>
          <w:szCs w:val="20"/>
          <w:color w:val="auto"/>
        </w:rPr>
      </w:pPr>
    </w:p>
    <w:p>
      <w:pPr>
        <w:sectPr>
          <w:pgSz w:w="11900" w:h="16838" w:orient="portrait"/>
          <w:cols w:equalWidth="0" w:num="2">
            <w:col w:w="2020" w:space="180"/>
            <w:col w:w="7939"/>
          </w:cols>
          <w:pgMar w:left="320" w:top="121" w:right="1440" w:bottom="1440" w:gutter="0" w:footer="0" w:header="0"/>
          <w:type w:val="continuous"/>
        </w:sectPr>
      </w:pPr>
    </w:p>
    <w:p>
      <w:pPr>
        <w:spacing w:after="0"/>
        <w:rPr>
          <w:sz w:val="20"/>
          <w:szCs w:val="20"/>
          <w:color w:val="auto"/>
        </w:rPr>
      </w:pPr>
      <w:r>
        <w:rPr>
          <w:rFonts w:ascii="Arial" w:cs="Arial" w:eastAsia="Arial" w:hAnsi="Arial"/>
          <w:sz w:val="22"/>
          <w:szCs w:val="22"/>
          <w:color w:val="auto"/>
        </w:rPr>
        <w:t>_______________</w:t>
      </w:r>
    </w:p>
    <w:p>
      <w:pPr>
        <w:spacing w:after="0" w:line="146" w:lineRule="exact"/>
        <w:rPr>
          <w:sz w:val="20"/>
          <w:szCs w:val="20"/>
          <w:color w:val="auto"/>
        </w:rPr>
      </w:pPr>
    </w:p>
    <w:p>
      <w:pPr>
        <w:ind w:left="1320" w:hanging="376"/>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320" w:hanging="376"/>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139"/>
          </w:cols>
          <w:pgMar w:left="320" w:top="121" w:right="1440"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Mazzo, PhD, certify that:</w:t>
      </w:r>
    </w:p>
    <w:p>
      <w:pPr>
        <w:spacing w:after="0" w:line="225"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Caladrius Biosciences,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0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8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882"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863"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6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88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57"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J. Mazzo,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David J. Mazzo,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 (Principal Executive Officer)</w:t>
      </w:r>
    </w:p>
    <w:p>
      <w:pPr>
        <w:sectPr>
          <w:pgSz w:w="11900" w:h="16838" w:orient="portrait"/>
          <w:cols w:equalWidth="0" w:num="1">
            <w:col w:w="11240"/>
          </w:cols>
          <w:pgMar w:left="320" w:top="89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Talamo, certify that:</w:t>
      </w:r>
    </w:p>
    <w:p>
      <w:pPr>
        <w:spacing w:after="0" w:line="225"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Caladrius Biosciences, Inc.;</w:t>
      </w:r>
    </w:p>
    <w:p>
      <w:pPr>
        <w:spacing w:after="0" w:line="225" w:lineRule="exact"/>
        <w:rPr>
          <w:rFonts w:ascii="Arial" w:cs="Arial" w:eastAsia="Arial" w:hAnsi="Arial"/>
          <w:sz w:val="18"/>
          <w:szCs w:val="18"/>
          <w:color w:val="auto"/>
        </w:rPr>
      </w:pPr>
    </w:p>
    <w:p>
      <w:pPr>
        <w:ind w:right="20" w:firstLine="8"/>
        <w:spacing w:after="0" w:line="342" w:lineRule="auto"/>
        <w:tabs>
          <w:tab w:leader="none" w:pos="263"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6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9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0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8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882"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863"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61"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885"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57"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2020</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Joseph Talamo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Joseph Talamo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 and Chief Financial Officer (Principal Financial and Accounting Officer)</w:t>
      </w:r>
    </w:p>
    <w:p>
      <w:pPr>
        <w:sectPr>
          <w:pgSz w:w="11900" w:h="16838" w:orient="portrait"/>
          <w:cols w:equalWidth="0" w:num="1">
            <w:col w:w="11240"/>
          </w:cols>
          <w:pgMar w:left="320" w:top="89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Caladrius Biosciences, Inc. (the “Company”) for the quarter ended June 30, 2020 filed with the Securities and Exchange Commission on the date hereof (the “Report”), I, David J. Mazzo, Chief Executive Officer of the Company, certify, pursuant to 18 U.S.C. Section 1350, as adopted pursuant to Section 906 of the Sarbanes-Oxley Act of 2002, to my knowledge that:</w:t>
      </w:r>
    </w:p>
    <w:p>
      <w:pPr>
        <w:spacing w:after="0" w:line="200" w:lineRule="exact"/>
        <w:rPr>
          <w:sz w:val="20"/>
          <w:szCs w:val="20"/>
          <w:color w:val="auto"/>
        </w:rPr>
      </w:pPr>
    </w:p>
    <w:p>
      <w:pPr>
        <w:spacing w:after="0" w:line="20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Company as of the dates presented and the results of operations of the Company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13, 2020</w:t>
      </w:r>
    </w:p>
    <w:p>
      <w:pPr>
        <w:spacing w:after="0" w:line="374"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/s/ David J. Mazzo, PhD</w:t>
      </w:r>
    </w:p>
    <w:p>
      <w:pPr>
        <w:spacing w:after="0" w:line="6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David J. Mazzo, PhD</w:t>
      </w:r>
    </w:p>
    <w:p>
      <w:pPr>
        <w:spacing w:after="0" w:line="6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President and Chief Executive Officer (Principal Executive</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Officer)</w:t>
      </w:r>
    </w:p>
    <w:p>
      <w:pPr>
        <w:spacing w:after="0" w:line="31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sectPr>
          <w:pgSz w:w="11900" w:h="16838" w:orient="portrait"/>
          <w:cols w:equalWidth="0" w:num="1">
            <w:col w:w="11240"/>
          </w:cols>
          <w:pgMar w:left="320" w:top="89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on Form 10-Q of Caladrius Biosciences, Inc. (the “Company”) for the quarter ended June 30, 2020 filed with the Securities and Exchange Commission on the date hereof (the “Report”), I, Joseph Talamo, Senior Vice President and Chief Financial Officer of the Company, certify, pursuant to 18 U.S.C. Section 1350, as adopted pursuant to Section 906 of the Sarbanes-Oxley Act of 2002, to my knowledge that:</w:t>
      </w:r>
    </w:p>
    <w:p>
      <w:pPr>
        <w:spacing w:after="0" w:line="39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Company as of the dates presented and the results of operations of the Company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13,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/s/ Joseph Talamo</w:t>
      </w:r>
    </w:p>
    <w:p>
      <w:pPr>
        <w:spacing w:after="0" w:line="6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Joseph Talamo</w:t>
      </w:r>
    </w:p>
    <w:p>
      <w:pPr>
        <w:spacing w:after="0" w:line="6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Senior Vice President and Chief Financial Officer (Principal</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Financial and Accounting Officer)</w:t>
      </w:r>
    </w:p>
    <w:p>
      <w:pPr>
        <w:spacing w:after="0" w:line="31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2020-08-13T15:26:51Z</dcterms:created>
  <dcterms:modified xsi:type="dcterms:W3CDTF">2020-08-13T15:26:51Z</dcterms:modified>
</cp:coreProperties>
</file>