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3560" w:right="2660" w:hanging="3525"/>
        <w:spacing w:after="0" w:line="516" w:lineRule="auto"/>
        <w:tabs>
          <w:tab w:leader="none" w:pos="382"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25" w:lineRule="exact"/>
        <w:rPr>
          <w:sz w:val="24"/>
          <w:szCs w:val="24"/>
          <w:color w:val="auto"/>
        </w:rPr>
      </w:pPr>
    </w:p>
    <w:tbl>
      <w:tblPr>
        <w:tblLayout w:type="fixed"/>
        <w:tblInd w:w="860" w:type="dxa"/>
        <w:tblCellMar>
          <w:top w:w="0" w:type="dxa"/>
          <w:left w:w="0" w:type="dxa"/>
          <w:bottom w:w="0" w:type="dxa"/>
          <w:right w:w="0" w:type="dxa"/>
        </w:tblCellMar>
      </w:tblPr>
      <w:tr>
        <w:trPr>
          <w:trHeight w:val="230"/>
        </w:trPr>
        <w:tc>
          <w:tcPr>
            <w:tcW w:w="6880" w:type="dxa"/>
            <w:vAlign w:val="bottom"/>
          </w:tcPr>
          <w:p>
            <w:pPr>
              <w:jc w:val="center"/>
              <w:ind w:left="2730"/>
              <w:spacing w:after="0"/>
              <w:rPr>
                <w:sz w:val="20"/>
                <w:szCs w:val="20"/>
                <w:color w:val="auto"/>
              </w:rPr>
            </w:pPr>
            <w:r>
              <w:rPr>
                <w:rFonts w:ascii="Arial" w:cs="Arial" w:eastAsia="Arial" w:hAnsi="Arial"/>
                <w:sz w:val="18"/>
                <w:szCs w:val="18"/>
                <w:color w:val="auto"/>
                <w:w w:val="92"/>
              </w:rPr>
              <w:t>Commission File Number 001-33650</w:t>
            </w:r>
          </w:p>
        </w:tc>
        <w:tc>
          <w:tcPr>
            <w:tcW w:w="1500" w:type="dxa"/>
            <w:vAlign w:val="bottom"/>
          </w:tcPr>
          <w:p>
            <w:pPr>
              <w:spacing w:after="0"/>
              <w:rPr>
                <w:sz w:val="20"/>
                <w:szCs w:val="20"/>
                <w:color w:val="auto"/>
              </w:rPr>
            </w:pPr>
          </w:p>
        </w:tc>
      </w:tr>
      <w:tr>
        <w:trPr>
          <w:trHeight w:val="418"/>
        </w:trPr>
        <w:tc>
          <w:tcPr>
            <w:tcW w:w="6880" w:type="dxa"/>
            <w:vAlign w:val="bottom"/>
          </w:tcPr>
          <w:p>
            <w:pPr>
              <w:jc w:val="center"/>
              <w:ind w:left="2750"/>
              <w:spacing w:after="0"/>
              <w:rPr>
                <w:sz w:val="20"/>
                <w:szCs w:val="20"/>
                <w:color w:val="auto"/>
              </w:rPr>
            </w:pPr>
            <w:r>
              <w:rPr>
                <w:rFonts w:ascii="Arial" w:cs="Arial" w:eastAsia="Arial" w:hAnsi="Arial"/>
                <w:sz w:val="18"/>
                <w:szCs w:val="18"/>
                <w:color w:val="auto"/>
                <w:w w:val="96"/>
              </w:rPr>
              <w:t>CALADRIUS BIOSCIENCES, INC.</w:t>
            </w:r>
          </w:p>
        </w:tc>
        <w:tc>
          <w:tcPr>
            <w:tcW w:w="1500" w:type="dxa"/>
            <w:vAlign w:val="bottom"/>
          </w:tcPr>
          <w:p>
            <w:pPr>
              <w:spacing w:after="0"/>
              <w:rPr>
                <w:sz w:val="24"/>
                <w:szCs w:val="24"/>
                <w:color w:val="auto"/>
              </w:rPr>
            </w:pPr>
          </w:p>
        </w:tc>
      </w:tr>
      <w:tr>
        <w:trPr>
          <w:trHeight w:val="230"/>
        </w:trPr>
        <w:tc>
          <w:tcPr>
            <w:tcW w:w="6880" w:type="dxa"/>
            <w:vAlign w:val="bottom"/>
          </w:tcPr>
          <w:p>
            <w:pPr>
              <w:jc w:val="center"/>
              <w:ind w:left="27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78"/>
        </w:trPr>
        <w:tc>
          <w:tcPr>
            <w:tcW w:w="6880" w:type="dxa"/>
            <w:vAlign w:val="bottom"/>
          </w:tcPr>
          <w:p>
            <w:pPr>
              <w:jc w:val="center"/>
              <w:ind w:right="2770"/>
              <w:spacing w:after="0"/>
              <w:rPr>
                <w:sz w:val="20"/>
                <w:szCs w:val="20"/>
                <w:color w:val="auto"/>
              </w:rPr>
            </w:pPr>
            <w:r>
              <w:rPr>
                <w:rFonts w:ascii="Arial" w:cs="Arial" w:eastAsia="Arial" w:hAnsi="Arial"/>
                <w:sz w:val="18"/>
                <w:szCs w:val="18"/>
                <w:color w:val="auto"/>
                <w:w w:val="96"/>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22-2343568</w:t>
            </w:r>
          </w:p>
        </w:tc>
      </w:tr>
      <w:tr>
        <w:trPr>
          <w:trHeight w:val="270"/>
        </w:trPr>
        <w:tc>
          <w:tcPr>
            <w:tcW w:w="6880" w:type="dxa"/>
            <w:vAlign w:val="bottom"/>
          </w:tcPr>
          <w:p>
            <w:pPr>
              <w:jc w:val="center"/>
              <w:ind w:right="279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880" w:type="dxa"/>
            <w:vAlign w:val="bottom"/>
          </w:tcPr>
          <w:p>
            <w:pPr>
              <w:jc w:val="center"/>
              <w:ind w:right="279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880" w:type="dxa"/>
            <w:vAlign w:val="bottom"/>
          </w:tcPr>
          <w:p>
            <w:pPr>
              <w:jc w:val="center"/>
              <w:ind w:right="2790"/>
              <w:spacing w:after="0"/>
              <w:rPr>
                <w:sz w:val="20"/>
                <w:szCs w:val="20"/>
                <w:color w:val="auto"/>
              </w:rPr>
            </w:pPr>
            <w:r>
              <w:rPr>
                <w:rFonts w:ascii="Arial" w:cs="Arial" w:eastAsia="Arial" w:hAnsi="Arial"/>
                <w:sz w:val="18"/>
                <w:szCs w:val="18"/>
                <w:color w:val="auto"/>
                <w:w w:val="91"/>
              </w:rPr>
              <w:t>110 Allen Road, 2nd Floor, Basking Ridge, New Jersey</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07920</w:t>
            </w:r>
          </w:p>
        </w:tc>
      </w:tr>
      <w:tr>
        <w:trPr>
          <w:trHeight w:val="270"/>
        </w:trPr>
        <w:tc>
          <w:tcPr>
            <w:tcW w:w="6880" w:type="dxa"/>
            <w:vAlign w:val="bottom"/>
          </w:tcPr>
          <w:p>
            <w:pPr>
              <w:jc w:val="center"/>
              <w:ind w:right="277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908-842-0100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3"/>
              </w:rPr>
              <w:t>Title of Each Class</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 (s)</w:t>
            </w:r>
          </w:p>
        </w:tc>
        <w:tc>
          <w:tcPr>
            <w:tcW w:w="44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43"/>
        </w:trPr>
        <w:tc>
          <w:tcPr>
            <w:tcW w:w="4580" w:type="dxa"/>
            <w:vAlign w:val="bottom"/>
          </w:tcPr>
          <w:p>
            <w:pPr>
              <w:jc w:val="center"/>
              <w:ind w:left="139"/>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spacing w:after="0"/>
              <w:rPr>
                <w:sz w:val="20"/>
                <w:szCs w:val="20"/>
                <w:color w:val="auto"/>
              </w:rPr>
            </w:pPr>
            <w:r>
              <w:rPr>
                <w:rFonts w:ascii="Arial" w:cs="Arial" w:eastAsia="Arial" w:hAnsi="Arial"/>
                <w:sz w:val="18"/>
                <w:szCs w:val="18"/>
                <w:color w:val="auto"/>
                <w:w w:val="97"/>
              </w:rPr>
              <w:t>CLBS</w:t>
            </w:r>
          </w:p>
        </w:tc>
        <w:tc>
          <w:tcPr>
            <w:tcW w:w="4420" w:type="dxa"/>
            <w:vAlign w:val="bottom"/>
          </w:tcPr>
          <w:p>
            <w:pPr>
              <w:jc w:val="center"/>
              <w:ind w:right="179"/>
              <w:spacing w:after="0"/>
              <w:rPr>
                <w:sz w:val="20"/>
                <w:szCs w:val="20"/>
                <w:color w:val="auto"/>
              </w:rPr>
            </w:pPr>
            <w:r>
              <w:rPr>
                <w:rFonts w:ascii="Arial" w:cs="Arial" w:eastAsia="Arial" w:hAnsi="Arial"/>
                <w:sz w:val="18"/>
                <w:szCs w:val="18"/>
                <w:color w:val="auto"/>
                <w:w w:val="91"/>
              </w:rPr>
              <w:t>The Nasdaq Capital Market</w:t>
            </w:r>
          </w:p>
        </w:tc>
      </w:tr>
    </w:tbl>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Yes o No x</w:t>
      </w:r>
    </w:p>
    <w:p>
      <w:pPr>
        <w:spacing w:after="0" w:line="6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Securities Exchange Act of 1934. Yes o No x</w:t>
      </w:r>
    </w:p>
    <w:p>
      <w:pPr>
        <w:spacing w:after="0" w:line="86" w:lineRule="exact"/>
        <w:rPr>
          <w:sz w:val="24"/>
          <w:szCs w:val="24"/>
          <w:color w:val="auto"/>
        </w:rPr>
      </w:pPr>
    </w:p>
    <w:p>
      <w:pPr>
        <w:jc w:val="both"/>
        <w:ind w:left="120" w:firstLine="243"/>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w:t>
      </w:r>
    </w:p>
    <w:p>
      <w:pPr>
        <w:spacing w:after="0" w:line="1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Yes x No o</w:t>
      </w:r>
    </w:p>
    <w:p>
      <w:pPr>
        <w:spacing w:after="0" w:line="63" w:lineRule="exact"/>
        <w:rPr>
          <w:sz w:val="24"/>
          <w:szCs w:val="24"/>
          <w:color w:val="auto"/>
        </w:rPr>
      </w:pPr>
    </w:p>
    <w:p>
      <w:pPr>
        <w:jc w:val="both"/>
        <w:ind w:left="120"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0" w:gutter="0" w:footer="0" w:header="0"/>
        </w:sectPr>
      </w:pPr>
    </w:p>
    <w:p>
      <w:pPr>
        <w:spacing w:after="0" w:line="18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260"/>
            <w:col w:w="4940" w:space="720"/>
            <w:col w:w="1200" w:space="220"/>
            <w:col w:w="2420"/>
          </w:cols>
          <w:pgMar w:left="240" w:top="233" w:right="2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4">
            <w:col w:w="1560" w:space="140"/>
            <w:col w:w="5160" w:space="720"/>
            <w:col w:w="1960" w:space="220"/>
            <w:col w:w="1660"/>
          </w:cols>
          <w:pgMar w:left="240" w:top="233" w:right="239" w:bottom="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2">
            <w:col w:w="9540" w:space="260"/>
            <w:col w:w="1620"/>
          </w:cols>
          <w:pgMar w:left="240" w:top="233" w:right="239" w:bottom="0" w:gutter="0" w:footer="0" w:header="0"/>
          <w:type w:val="continuous"/>
        </w:sectPr>
      </w:pPr>
    </w:p>
    <w:p>
      <w:pPr>
        <w:ind w:left="40"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65" w:lineRule="exact"/>
        <w:rPr>
          <w:sz w:val="24"/>
          <w:szCs w:val="24"/>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as of June 30, 2019 (the last business day of the most recently completed second fiscal quarter) was approximately $20 million, computed by reference to the last sale price of $2.28 for the common stock on the Nasdaq Capital Market reported for such date. Shares held by executive officers, directors and persons owning directly or indirectly more than 10% of the outstanding common stock have been excluded from the preceding number because such persons may be deemed to be affiliates of the registrant. This determination of affiliate status is not necessarily a conclusive determination for other purposes.</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p>
      <w:pPr>
        <w:ind w:left="1120"/>
        <w:spacing w:after="0"/>
        <w:tabs>
          <w:tab w:leader="none" w:pos="7360" w:val="left"/>
        </w:tabs>
        <w:rPr>
          <w:sz w:val="20"/>
          <w:szCs w:val="20"/>
          <w:color w:val="auto"/>
        </w:rPr>
      </w:pPr>
      <w:r>
        <w:rPr>
          <w:rFonts w:ascii="Arial" w:cs="Arial" w:eastAsia="Arial" w:hAnsi="Arial"/>
          <w:sz w:val="18"/>
          <w:szCs w:val="18"/>
          <w:b w:val="1"/>
          <w:bCs w:val="1"/>
          <w:color w:val="auto"/>
        </w:rPr>
        <w:t>Class</w:t>
      </w:r>
      <w:r>
        <w:rPr>
          <w:sz w:val="20"/>
          <w:szCs w:val="20"/>
          <w:color w:val="auto"/>
        </w:rPr>
        <w:tab/>
      </w:r>
      <w:r>
        <w:rPr>
          <w:rFonts w:ascii="Arial" w:cs="Arial" w:eastAsia="Arial" w:hAnsi="Arial"/>
          <w:sz w:val="18"/>
          <w:szCs w:val="18"/>
          <w:b w:val="1"/>
          <w:bCs w:val="1"/>
          <w:color w:val="auto"/>
        </w:rPr>
        <w:t>Outstanding as of March 5th, 2020</w:t>
      </w:r>
    </w:p>
    <w:p>
      <w:pPr>
        <w:sectPr>
          <w:pgSz w:w="11900" w:h="16838" w:orient="portrait"/>
          <w:cols w:equalWidth="0" w:num="1">
            <w:col w:w="11420"/>
          </w:cols>
          <w:pgMar w:left="240" w:top="233" w:right="239" w:bottom="0" w:gutter="0" w:footer="0" w:header="0"/>
          <w:type w:val="continuous"/>
        </w:sectPr>
      </w:pPr>
    </w:p>
    <w:bookmarkStart w:id="1" w:name="page2"/>
    <w:bookmarkEnd w:id="1"/>
    <w:p>
      <w:pPr>
        <w:ind w:left="1120"/>
        <w:spacing w:after="0"/>
        <w:tabs>
          <w:tab w:leader="none" w:pos="7800" w:val="left"/>
        </w:tabs>
        <w:rPr>
          <w:sz w:val="20"/>
          <w:szCs w:val="20"/>
          <w:color w:val="auto"/>
        </w:rPr>
      </w:pPr>
      <w:r>
        <w:rPr>
          <w:rFonts w:ascii="Arial" w:cs="Arial" w:eastAsia="Arial" w:hAnsi="Arial"/>
          <w:sz w:val="18"/>
          <w:szCs w:val="18"/>
          <w:color w:val="auto"/>
        </w:rPr>
        <w:t>Common stock, $0.001 par value per share</w:t>
      </w:r>
      <w:r>
        <w:rPr>
          <w:sz w:val="20"/>
          <w:szCs w:val="20"/>
          <w:color w:val="auto"/>
        </w:rPr>
        <w:tab/>
      </w:r>
      <w:r>
        <w:rPr>
          <w:rFonts w:ascii="Arial" w:cs="Arial" w:eastAsia="Arial" w:hAnsi="Arial"/>
          <w:sz w:val="16"/>
          <w:szCs w:val="16"/>
          <w:color w:val="auto"/>
        </w:rPr>
        <w:t>10,638,771 shares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documents (or parts thereof) are incorporated by reference into the following parts of this Form 10-K: Certain information required in Part III of this Annual Report on Form 10-K is incorporated from the Registrant's Proxy Statement for the 2020 Annual Meeting of Stockholders.</w:t>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references in this Annual Report on Form 10-K to “we,” “us,” the “Company” and “CALADRIUS” mean CALADRIUS, Inc., including subsidiaries and predecessors, except where it is clear that the term refers only to CALADRIUS, Inc. This Annual Report on Form 10-K contains forward-looking statements, which involve risks and uncertainties. Our actual results could differ materially from those anticipated in these forward-looking statements as a result of certain factors, including those set forth under “Cautionary Note Regarding Forward-Looking Statements” and under “Risk Factors” and elsewhere in this Annual Report on Form 10-K.</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100" w:type="dxa"/>
            <w:vAlign w:val="bottom"/>
          </w:tcPr>
          <w:p>
            <w:pPr>
              <w:ind w:left="484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10100" w:type="dxa"/>
            <w:vAlign w:val="bottom"/>
          </w:tcPr>
          <w:p>
            <w:pPr>
              <w:ind w:left="40"/>
              <w:spacing w:after="0"/>
              <w:rPr>
                <w:sz w:val="20"/>
                <w:szCs w:val="20"/>
                <w:color w:val="auto"/>
              </w:rPr>
            </w:pPr>
            <w:r>
              <w:rPr>
                <w:rFonts w:ascii="Arial" w:cs="Arial" w:eastAsia="Arial" w:hAnsi="Arial"/>
                <w:sz w:val="18"/>
                <w:szCs w:val="18"/>
                <w:color w:val="auto"/>
              </w:rPr>
              <w:t>CAUTIONARY NOTE REGARDING FORWARD-LOOKING STATEMENTS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
        </w:trPr>
        <w:tc>
          <w:tcPr>
            <w:tcW w:w="10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100" w:type="dxa"/>
            <w:vAlign w:val="bottom"/>
            <w:tcBorders>
              <w:bottom w:val="single" w:sz="8" w:color="CCEEFF"/>
            </w:tcBorders>
            <w:shd w:val="clear" w:color="auto" w:fill="CCEEFF"/>
          </w:tcPr>
          <w:p>
            <w:pPr>
              <w:jc w:val="center"/>
              <w:ind w:right="30"/>
              <w:spacing w:after="0"/>
              <w:rPr>
                <w:rFonts w:ascii="Arial" w:cs="Arial" w:eastAsia="Arial" w:hAnsi="Arial"/>
                <w:sz w:val="18"/>
                <w:szCs w:val="18"/>
                <w:b w:val="1"/>
                <w:bCs w:val="1"/>
                <w:color w:val="auto"/>
                <w:w w:val="98"/>
              </w:rPr>
            </w:pPr>
            <w:hyperlink w:anchor="page38">
              <w:r>
                <w:rPr>
                  <w:rFonts w:ascii="Arial" w:cs="Arial" w:eastAsia="Arial" w:hAnsi="Arial"/>
                  <w:sz w:val="18"/>
                  <w:szCs w:val="18"/>
                  <w:b w:val="1"/>
                  <w:bCs w:val="1"/>
                  <w:color w:val="auto"/>
                  <w:w w:val="98"/>
                </w:rPr>
                <w:t>PART I</w:t>
              </w:r>
            </w:hyperlink>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1. BUSINESS</w:t>
            </w:r>
          </w:p>
        </w:tc>
        <w:tc>
          <w:tcPr>
            <w:tcW w:w="180" w:type="dxa"/>
            <w:vAlign w:val="bottom"/>
            <w:gridSpan w:val="3"/>
          </w:tcPr>
          <w:p>
            <w:pPr>
              <w:jc w:val="center"/>
              <w:ind w:right="2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660" w:type="dxa"/>
            <w:vAlign w:val="bottom"/>
          </w:tcPr>
          <w:p>
            <w:pPr>
              <w:spacing w:after="0"/>
              <w:rPr>
                <w:sz w:val="17"/>
                <w:szCs w:val="17"/>
                <w:color w:val="auto"/>
              </w:rPr>
            </w:pPr>
          </w:p>
        </w:tc>
      </w:tr>
      <w:tr>
        <w:trPr>
          <w:trHeight w:val="48"/>
        </w:trPr>
        <w:tc>
          <w:tcPr>
            <w:tcW w:w="10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tcBorders>
              <w:bottom w:val="single" w:sz="8" w:color="CCEEFF"/>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ITEM 1A. RISK FACTORS</w:t>
            </w: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18</w:t>
              </w:r>
            </w:hyperlink>
          </w:p>
        </w:tc>
        <w:tc>
          <w:tcPr>
            <w:tcW w:w="660" w:type="dxa"/>
            <w:vAlign w:val="bottom"/>
            <w:tcBorders>
              <w:bottom w:val="single" w:sz="8" w:color="CCEEFF"/>
            </w:tcBorders>
            <w:shd w:val="clear" w:color="auto" w:fill="CCEEFF"/>
          </w:tcPr>
          <w:p>
            <w:pPr>
              <w:spacing w:after="0"/>
              <w:rPr>
                <w:sz w:val="21"/>
                <w:szCs w:val="21"/>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1B. UNRESOLVED STAFF COMMENTS</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49</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tcBorders>
              <w:bottom w:val="single" w:sz="8" w:color="CCEEFF"/>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ITEM 2. PROPERTIES</w:t>
            </w: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49</w:t>
              </w:r>
            </w:hyperlink>
          </w:p>
        </w:tc>
        <w:tc>
          <w:tcPr>
            <w:tcW w:w="660" w:type="dxa"/>
            <w:vAlign w:val="bottom"/>
            <w:tcBorders>
              <w:bottom w:val="single" w:sz="8" w:color="CCEEFF"/>
            </w:tcBorders>
            <w:shd w:val="clear" w:color="auto" w:fill="CCEEFF"/>
          </w:tcPr>
          <w:p>
            <w:pPr>
              <w:spacing w:after="0"/>
              <w:rPr>
                <w:sz w:val="21"/>
                <w:szCs w:val="21"/>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3. LEGAL PROCEEDINGS</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49</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ITEM 4. MINE SAFETY DISCLOSURES</w:t>
            </w:r>
          </w:p>
        </w:tc>
        <w:tc>
          <w:tcPr>
            <w:tcW w:w="840" w:type="dxa"/>
            <w:vAlign w:val="bottom"/>
            <w:gridSpan w:val="4"/>
            <w:shd w:val="clear" w:color="auto" w:fill="CCEEFF"/>
          </w:tcPr>
          <w:p>
            <w:pPr>
              <w:jc w:val="center"/>
              <w:ind w:right="66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49</w:t>
              </w:r>
            </w:hyperlink>
          </w:p>
        </w:tc>
      </w:tr>
      <w:tr>
        <w:trPr>
          <w:trHeight w:val="243"/>
        </w:trPr>
        <w:tc>
          <w:tcPr>
            <w:tcW w:w="10100" w:type="dxa"/>
            <w:vAlign w:val="bottom"/>
            <w:tcBorders>
              <w:top w:val="single" w:sz="8" w:color="CCEEFF"/>
            </w:tcBorders>
          </w:tcPr>
          <w:p>
            <w:pPr>
              <w:jc w:val="center"/>
              <w:ind w:right="30"/>
              <w:spacing w:after="0"/>
              <w:rPr>
                <w:sz w:val="20"/>
                <w:szCs w:val="20"/>
                <w:color w:val="auto"/>
              </w:rPr>
            </w:pPr>
            <w:r>
              <w:rPr>
                <w:rFonts w:ascii="Arial" w:cs="Arial" w:eastAsia="Arial" w:hAnsi="Arial"/>
                <w:sz w:val="18"/>
                <w:szCs w:val="18"/>
                <w:b w:val="1"/>
                <w:bCs w:val="1"/>
                <w:color w:val="auto"/>
              </w:rPr>
              <w:t>PART II</w:t>
            </w: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r>
      <w:tr>
        <w:trPr>
          <w:trHeight w:val="27"/>
        </w:trPr>
        <w:tc>
          <w:tcPr>
            <w:tcW w:w="10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10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ITEM 5. MARKET FOR REGISTRANT'S COMMON EQUITY, RELATED STOCKHOLDER MATTERS AND</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10100" w:type="dxa"/>
            <w:vAlign w:val="bottom"/>
            <w:tcBorders>
              <w:bottom w:val="single" w:sz="8" w:color="CCEEFF"/>
            </w:tcBorders>
            <w:shd w:val="clear" w:color="auto" w:fill="CCEEFF"/>
          </w:tcPr>
          <w:p>
            <w:pPr>
              <w:ind w:left="580"/>
              <w:spacing w:after="0" w:line="190" w:lineRule="exact"/>
              <w:rPr>
                <w:sz w:val="20"/>
                <w:szCs w:val="20"/>
                <w:color w:val="auto"/>
              </w:rPr>
            </w:pPr>
            <w:r>
              <w:rPr>
                <w:rFonts w:ascii="Arial" w:cs="Arial" w:eastAsia="Arial" w:hAnsi="Arial"/>
                <w:sz w:val="18"/>
                <w:szCs w:val="18"/>
                <w:color w:val="auto"/>
              </w:rPr>
              <w:t>ISSUER PURCHASES OF EQUITY SECURITIES</w:t>
            </w:r>
          </w:p>
        </w:tc>
        <w:tc>
          <w:tcPr>
            <w:tcW w:w="180" w:type="dxa"/>
            <w:vAlign w:val="bottom"/>
            <w:tcBorders>
              <w:bottom w:val="single" w:sz="8" w:color="0000EE"/>
            </w:tcBorders>
            <w:gridSpan w:val="3"/>
            <w:shd w:val="clear" w:color="auto" w:fill="CCEEFF"/>
          </w:tcPr>
          <w:p>
            <w:pPr>
              <w:jc w:val="center"/>
              <w:spacing w:after="0" w:line="190"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51</w:t>
              </w:r>
            </w:hyperlink>
          </w:p>
        </w:tc>
        <w:tc>
          <w:tcPr>
            <w:tcW w:w="660" w:type="dxa"/>
            <w:vAlign w:val="bottom"/>
            <w:tcBorders>
              <w:bottom w:val="single" w:sz="8" w:color="CCEEFF"/>
            </w:tcBorders>
            <w:shd w:val="clear" w:color="auto" w:fill="CCEEFF"/>
          </w:tcPr>
          <w:p>
            <w:pPr>
              <w:spacing w:after="0"/>
              <w:rPr>
                <w:sz w:val="20"/>
                <w:szCs w:val="20"/>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6. SELECTED FINANCIAL DATA</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52</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29"/>
        </w:trPr>
        <w:tc>
          <w:tcPr>
            <w:tcW w:w="10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ITEM 7. MANAGEMENT'S DISCUSSION AND ANALYSIS OF FINANCIAL CONDITION AND RESULTS OF</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10100" w:type="dxa"/>
            <w:vAlign w:val="bottom"/>
            <w:tcBorders>
              <w:bottom w:val="single" w:sz="8" w:color="CCEEFF"/>
            </w:tcBorders>
            <w:shd w:val="clear" w:color="auto" w:fill="CCEEFF"/>
          </w:tcPr>
          <w:p>
            <w:pPr>
              <w:ind w:left="580"/>
              <w:spacing w:after="0" w:line="190" w:lineRule="exact"/>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0000EE"/>
            </w:tcBorders>
            <w:gridSpan w:val="3"/>
            <w:shd w:val="clear" w:color="auto" w:fill="CCEEFF"/>
          </w:tcPr>
          <w:p>
            <w:pPr>
              <w:jc w:val="center"/>
              <w:spacing w:after="0" w:line="190"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53</w:t>
              </w:r>
            </w:hyperlink>
          </w:p>
        </w:tc>
        <w:tc>
          <w:tcPr>
            <w:tcW w:w="660" w:type="dxa"/>
            <w:vAlign w:val="bottom"/>
            <w:tcBorders>
              <w:bottom w:val="single" w:sz="8" w:color="CCEEFF"/>
            </w:tcBorders>
            <w:shd w:val="clear" w:color="auto" w:fill="CCEEFF"/>
          </w:tcPr>
          <w:p>
            <w:pPr>
              <w:spacing w:after="0"/>
              <w:rPr>
                <w:sz w:val="20"/>
                <w:szCs w:val="20"/>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7A. QUANTITATIVE AND QUALITATIVE DISCLOSURES ABOUT MARKET RISK</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60</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ITEM 8. FINANCIAL STATEMENTS AND SUPPLEMENTARY DATA</w:t>
            </w:r>
          </w:p>
        </w:tc>
        <w:tc>
          <w:tcPr>
            <w:tcW w:w="840" w:type="dxa"/>
            <w:vAlign w:val="bottom"/>
            <w:gridSpan w:val="4"/>
            <w:shd w:val="clear" w:color="auto" w:fill="CCEEFF"/>
          </w:tcPr>
          <w:p>
            <w:pPr>
              <w:jc w:val="center"/>
              <w:ind w:right="66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61</w:t>
              </w:r>
            </w:hyperlink>
          </w:p>
        </w:tc>
      </w:tr>
      <w:tr>
        <w:trPr>
          <w:trHeight w:val="229"/>
        </w:trPr>
        <w:tc>
          <w:tcPr>
            <w:tcW w:w="10100" w:type="dxa"/>
            <w:vAlign w:val="bottom"/>
            <w:tcBorders>
              <w:top w:val="single" w:sz="8" w:color="CCEEFF"/>
            </w:tcBorders>
          </w:tcPr>
          <w:p>
            <w:pPr>
              <w:ind w:left="580"/>
              <w:spacing w:after="0"/>
              <w:rPr>
                <w:sz w:val="20"/>
                <w:szCs w:val="20"/>
                <w:color w:val="auto"/>
              </w:rPr>
            </w:pPr>
            <w:r>
              <w:rPr>
                <w:rFonts w:ascii="Arial" w:cs="Arial" w:eastAsia="Arial" w:hAnsi="Arial"/>
                <w:sz w:val="18"/>
                <w:szCs w:val="18"/>
                <w:color w:val="auto"/>
              </w:rPr>
              <w:t>ITEM 9. CHANGES IN AND DISAGREEMENTS WITH ACCOUNTANTS ON ACCOUNTING AND FINANCIAL</w:t>
            </w: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r>
      <w:tr>
        <w:trPr>
          <w:trHeight w:val="190"/>
        </w:trPr>
        <w:tc>
          <w:tcPr>
            <w:tcW w:w="10100" w:type="dxa"/>
            <w:vAlign w:val="bottom"/>
          </w:tcPr>
          <w:p>
            <w:pPr>
              <w:ind w:left="580"/>
              <w:spacing w:after="0" w:line="190" w:lineRule="exact"/>
              <w:rPr>
                <w:sz w:val="20"/>
                <w:szCs w:val="20"/>
                <w:color w:val="auto"/>
              </w:rPr>
            </w:pPr>
            <w:r>
              <w:rPr>
                <w:rFonts w:ascii="Arial" w:cs="Arial" w:eastAsia="Arial" w:hAnsi="Arial"/>
                <w:sz w:val="18"/>
                <w:szCs w:val="18"/>
                <w:color w:val="auto"/>
              </w:rPr>
              <w:t>DISCLOSURE</w:t>
            </w:r>
          </w:p>
        </w:tc>
        <w:tc>
          <w:tcPr>
            <w:tcW w:w="840" w:type="dxa"/>
            <w:vAlign w:val="bottom"/>
            <w:gridSpan w:val="4"/>
          </w:tcPr>
          <w:p>
            <w:pPr>
              <w:jc w:val="center"/>
              <w:ind w:right="660"/>
              <w:spacing w:after="0" w:line="190"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88</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tcBorders>
              <w:bottom w:val="single" w:sz="8" w:color="CCEEFF"/>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ITEM 9A. CONTROLS AND PROCEDURES</w:t>
            </w: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88</w:t>
              </w:r>
            </w:hyperlink>
          </w:p>
        </w:tc>
        <w:tc>
          <w:tcPr>
            <w:tcW w:w="660" w:type="dxa"/>
            <w:vAlign w:val="bottom"/>
            <w:tcBorders>
              <w:bottom w:val="single" w:sz="8" w:color="CCEEFF"/>
            </w:tcBorders>
            <w:shd w:val="clear" w:color="auto" w:fill="CCEEFF"/>
          </w:tcPr>
          <w:p>
            <w:pPr>
              <w:spacing w:after="0"/>
              <w:rPr>
                <w:sz w:val="21"/>
                <w:szCs w:val="21"/>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9B. OTHER INFORMATION</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89</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PART III</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10. DIRECTORS, EXECUTIVE OFFICERS AND CORPORATE GOVERNANCE</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90</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10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ITEM 11. EXECUTIVE COMPENSATION</w:t>
            </w:r>
          </w:p>
        </w:tc>
        <w:tc>
          <w:tcPr>
            <w:tcW w:w="840" w:type="dxa"/>
            <w:vAlign w:val="bottom"/>
            <w:gridSpan w:val="4"/>
            <w:shd w:val="clear" w:color="auto" w:fill="CCEEFF"/>
          </w:tcPr>
          <w:p>
            <w:pPr>
              <w:jc w:val="center"/>
              <w:ind w:right="660"/>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90</w:t>
              </w:r>
            </w:hyperlink>
          </w:p>
        </w:tc>
      </w:tr>
      <w:tr>
        <w:trPr>
          <w:trHeight w:val="229"/>
        </w:trPr>
        <w:tc>
          <w:tcPr>
            <w:tcW w:w="10100" w:type="dxa"/>
            <w:vAlign w:val="bottom"/>
            <w:tcBorders>
              <w:top w:val="single" w:sz="8" w:color="CCEEFF"/>
            </w:tcBorders>
          </w:tcPr>
          <w:p>
            <w:pPr>
              <w:ind w:left="580"/>
              <w:spacing w:after="0"/>
              <w:rPr>
                <w:sz w:val="20"/>
                <w:szCs w:val="20"/>
                <w:color w:val="auto"/>
              </w:rPr>
            </w:pPr>
            <w:r>
              <w:rPr>
                <w:rFonts w:ascii="Arial" w:cs="Arial" w:eastAsia="Arial" w:hAnsi="Arial"/>
                <w:sz w:val="18"/>
                <w:szCs w:val="18"/>
                <w:color w:val="auto"/>
              </w:rPr>
              <w:t>ITEM 12. SECURITY OWNERSHIP OF CERTAIN BENEFICIAL OWNERS AND MANAGEMENT AND RELATED</w:t>
            </w: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r>
      <w:tr>
        <w:trPr>
          <w:trHeight w:val="190"/>
        </w:trPr>
        <w:tc>
          <w:tcPr>
            <w:tcW w:w="10100" w:type="dxa"/>
            <w:vAlign w:val="bottom"/>
          </w:tcPr>
          <w:p>
            <w:pPr>
              <w:ind w:left="580"/>
              <w:spacing w:after="0" w:line="190" w:lineRule="exact"/>
              <w:rPr>
                <w:sz w:val="20"/>
                <w:szCs w:val="20"/>
                <w:color w:val="auto"/>
              </w:rPr>
            </w:pPr>
            <w:r>
              <w:rPr>
                <w:rFonts w:ascii="Arial" w:cs="Arial" w:eastAsia="Arial" w:hAnsi="Arial"/>
                <w:sz w:val="18"/>
                <w:szCs w:val="18"/>
                <w:color w:val="auto"/>
              </w:rPr>
              <w:t>STOCKHOLDER MATTERS</w:t>
            </w:r>
          </w:p>
        </w:tc>
        <w:tc>
          <w:tcPr>
            <w:tcW w:w="840" w:type="dxa"/>
            <w:vAlign w:val="bottom"/>
            <w:gridSpan w:val="4"/>
          </w:tcPr>
          <w:p>
            <w:pPr>
              <w:jc w:val="center"/>
              <w:ind w:right="660"/>
              <w:spacing w:after="0" w:line="190"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90</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tcBorders>
              <w:bottom w:val="single" w:sz="8" w:color="CCEEFF"/>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ITEM 13. CERTAIN RELATIONSHIPS AND RELATED TRANSACTIONS, AND DIRECTOR INDEPENDENCE</w:t>
            </w: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90</w:t>
              </w:r>
            </w:hyperlink>
          </w:p>
        </w:tc>
        <w:tc>
          <w:tcPr>
            <w:tcW w:w="660" w:type="dxa"/>
            <w:vAlign w:val="bottom"/>
            <w:tcBorders>
              <w:bottom w:val="single" w:sz="8" w:color="CCEEFF"/>
            </w:tcBorders>
            <w:shd w:val="clear" w:color="auto" w:fill="CCEEFF"/>
          </w:tcPr>
          <w:p>
            <w:pPr>
              <w:spacing w:after="0"/>
              <w:rPr>
                <w:sz w:val="21"/>
                <w:szCs w:val="21"/>
                <w:color w:val="auto"/>
              </w:rPr>
            </w:pPr>
          </w:p>
        </w:tc>
      </w:tr>
      <w:tr>
        <w:trPr>
          <w:trHeight w:val="203"/>
        </w:trPr>
        <w:tc>
          <w:tcPr>
            <w:tcW w:w="10100" w:type="dxa"/>
            <w:vAlign w:val="bottom"/>
          </w:tcPr>
          <w:p>
            <w:pPr>
              <w:ind w:left="580"/>
              <w:spacing w:after="0" w:line="202" w:lineRule="exact"/>
              <w:rPr>
                <w:sz w:val="20"/>
                <w:szCs w:val="20"/>
                <w:color w:val="auto"/>
              </w:rPr>
            </w:pPr>
            <w:r>
              <w:rPr>
                <w:rFonts w:ascii="Arial" w:cs="Arial" w:eastAsia="Arial" w:hAnsi="Arial"/>
                <w:sz w:val="18"/>
                <w:szCs w:val="18"/>
                <w:color w:val="auto"/>
              </w:rPr>
              <w:t>ITEM 14. PRINCIPAL ACCOUNTING FEES AND SERVICES</w:t>
            </w:r>
          </w:p>
        </w:tc>
        <w:tc>
          <w:tcPr>
            <w:tcW w:w="840" w:type="dxa"/>
            <w:vAlign w:val="bottom"/>
            <w:gridSpan w:val="4"/>
          </w:tcPr>
          <w:p>
            <w:pPr>
              <w:jc w:val="center"/>
              <w:ind w:right="66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90</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8"/>
              </w:rPr>
              <w:t>PART IV</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57"/>
        </w:trPr>
        <w:tc>
          <w:tcPr>
            <w:tcW w:w="10100" w:type="dxa"/>
            <w:vAlign w:val="bottom"/>
          </w:tcPr>
          <w:p>
            <w:pPr>
              <w:ind w:left="580"/>
              <w:spacing w:after="0"/>
              <w:rPr>
                <w:sz w:val="20"/>
                <w:szCs w:val="20"/>
                <w:color w:val="auto"/>
              </w:rPr>
            </w:pPr>
            <w:r>
              <w:rPr>
                <w:rFonts w:ascii="Arial" w:cs="Arial" w:eastAsia="Arial" w:hAnsi="Arial"/>
                <w:sz w:val="18"/>
                <w:szCs w:val="18"/>
                <w:color w:val="auto"/>
              </w:rPr>
              <w:t>ITEM 15. EXHIBITS, FINANCIAL STATEMENT SCHEDULES</w:t>
            </w:r>
          </w:p>
        </w:tc>
        <w:tc>
          <w:tcPr>
            <w:tcW w:w="840" w:type="dxa"/>
            <w:vAlign w:val="bottom"/>
            <w:gridSpan w:val="4"/>
          </w:tcPr>
          <w:p>
            <w:pPr>
              <w:jc w:val="center"/>
              <w:ind w:right="66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90</w:t>
              </w:r>
            </w:hyperlink>
          </w:p>
        </w:tc>
      </w:tr>
      <w:tr>
        <w:trPr>
          <w:trHeight w:val="48"/>
        </w:trPr>
        <w:tc>
          <w:tcPr>
            <w:tcW w:w="101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1010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ITEM 16. FORM 10-K SUMMARY</w:t>
            </w:r>
          </w:p>
        </w:tc>
        <w:tc>
          <w:tcPr>
            <w:tcW w:w="840" w:type="dxa"/>
            <w:vAlign w:val="bottom"/>
            <w:gridSpan w:val="4"/>
            <w:shd w:val="clear" w:color="auto" w:fill="CCEEFF"/>
          </w:tcPr>
          <w:p>
            <w:pPr>
              <w:jc w:val="center"/>
              <w:ind w:right="66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94</w:t>
              </w:r>
            </w:hyperlink>
          </w:p>
        </w:tc>
      </w:tr>
      <w:tr>
        <w:trPr>
          <w:trHeight w:val="432"/>
        </w:trPr>
        <w:tc>
          <w:tcPr>
            <w:tcW w:w="1010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annual report (this "Annual Report") contains “forward-looking” statements within the meaning of the Private Securities Litigation Reform Act of 1995, as well as historical information. When used in this Annual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296"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and maintain the management and human resources infrastructure necessary to support the growth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comply with health care laws and regulations or any other adverse effect or limitations caused by government regulation of our business;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on the claims of third-party patents;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 and</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w:t>
      </w:r>
    </w:p>
    <w:p>
      <w:pPr>
        <w:spacing w:after="0" w:line="2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in the Company's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under “Search for Company Filings,”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the Company undertakes no obligation to update any forward-looking statements, whether as a result of new information, future events or otherwise.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of cellular therapies designed to reverse, not manage, cardiovascular disease. We are developing first-in-class therapy products that are based on the notion that our bodies contain finely tuned mechanisms for self-repair. Our technology leverages and enables these mechanisms in the form of specific cells, using formulations unique to each indication.</w:t>
      </w:r>
    </w:p>
    <w:p>
      <w:pPr>
        <w:spacing w:after="0" w:line="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leadership team collectively has decades of biopharmaceutical development experience and world-recognized scientific achievement in the field of cardiovascular disease, among other fields. Our goal is to build a broad portfolio of novel and versatile products that address important unmet medical needs. Our current product candidates include three developmental treatments for ischemic diseases based on our CD34+ cell therapy platform: CLBS12, recipient of SAKIGAKE designation (a Japanese regulatory status that is similar in certain respects to "breakthrough therapy" designation granted by the U.S. Food and Drug Administration (the "FDA") to eligible investigational treatments) and eligible for early conditional approval in Japan for the treatment of critical limb ischemia ("CLI") based on the results of an ongoing clinical trial; CLBS16, a Phase 2 clinical trial in the U.S. for the treatment of coronary microvascular dysfunction ("CMD"); and CLBS14, a Regenerative Medicine Advanced Therapy ("RMAT") designated therapy for which we have finalized with the FDA a protocol for a Phase 3 confirmatory trial in subjects with no-option refractory disabling angina ("NORDA").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broad intellectual property portfolio of cell therapy assets includes notable programs available for out-licensing in order to continue their clinical development. Our current long-term strategy is to advance our therapies through development with the ultimate objective of obtaining market authorizations and entering commercialization, either alone or with partners, and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incorporated in 1980 as a Delaware corporation and our principal executive offices are located at 110 Allen Road, Second Floor, Basking Ridge, NJ 07920. Our telephone number is (908) 842-0100 and our corporate website address is </w:t>
      </w:r>
      <w:r>
        <w:rPr>
          <w:rFonts w:ascii="Arial" w:cs="Arial" w:eastAsia="Arial" w:hAnsi="Arial"/>
          <w:sz w:val="18"/>
          <w:szCs w:val="18"/>
          <w:i w:val="1"/>
          <w:iCs w:val="1"/>
          <w:color w:val="auto"/>
        </w:rPr>
        <w:t>www.caladrius.com</w:t>
      </w:r>
      <w:r>
        <w:rPr>
          <w:rFonts w:ascii="Arial" w:cs="Arial" w:eastAsia="Arial" w:hAnsi="Arial"/>
          <w:sz w:val="18"/>
          <w:szCs w:val="18"/>
          <w:color w:val="auto"/>
        </w:rPr>
        <w:t>. We include our website address in this Annual Report on Form 10-K only as an inactive textual reference and do not intend it to be an active link to our website. The information on our website is not incorporated by reference into this Annual Report on Form 10-K.</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all amendments to those reports, as well as other documents we file with the U.S. Securities and Exchange Commission ("SEC"), are available free of charge through the Investors section of our website as soon as reasonably practicable after such material is electronically filed with or furnished to the SEC. The public can obtain documents that we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9"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This Annual Report on Form 10-K includes the following trademark owned by us: Caladrius</w:t>
      </w:r>
      <w:r>
        <w:rPr>
          <w:rFonts w:ascii="Arial" w:cs="Arial" w:eastAsia="Arial" w:hAnsi="Arial"/>
          <w:sz w:val="25"/>
          <w:szCs w:val="25"/>
          <w:color w:val="auto"/>
          <w:vertAlign w:val="superscript"/>
        </w:rPr>
        <w:t>®</w:t>
      </w:r>
      <w:r>
        <w:rPr>
          <w:rFonts w:ascii="Arial" w:cs="Arial" w:eastAsia="Arial" w:hAnsi="Arial"/>
          <w:sz w:val="18"/>
          <w:szCs w:val="18"/>
          <w:color w:val="auto"/>
        </w:rPr>
        <w:t>. This trademark is the property of Caladrius and its affiliates. This Annual Report on Form 10-K also includes other trademarks, service marks and trade names owned by us or other companies. All trademarks, service marks and traded names included herein are the property of their respective owners.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FIELD OF CELL THERAPY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Regenerative medicine is defined as the process of replacing or regenerating human cells, tissues or organs to restore normal function. Among the categories of therapeutic technology platforms within this field are cell therapy, tissue engineering, tools, device diagnostics and aesthetic medicine. All living complex organisms start as a single cell that replicates and then individual groups of cells differentiate (mature into complex cell types), thereby yielding the diversity of organs and organ systems in an adult organism. Cell therapy is a process that uses cells to prevent, treat or cure disease, or to regenerate damaged or aged tissue. Since the 1970s, bone marrow and blood and umbilical cord-derived stem cells have been used to restore bone marrow, as well as blood and immune system cells damaged by the chemotherapy and radiation historically used to treat many cancers. Notably, this approach holds curative potential for patients with otherwise fatal conditions.</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two general classes of cell therapies: autologous and allogeneic. When cells are collected from a person (donor) and transplanted or used to develop a treatment solely for that same person (recipient or patient) with or without modification,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treatment paradigm is known as “autologous” cell therapy. For long-term repair of cardiovascular tissues, evidence indicates that the repair cells must remain in the target tissue for a period of time. Since autologous cells are not destroyed by the immune system, autologous cell therapy can be expected to result in long-term residence of the administered cells. When the donor and the recipient are not the same individual, the procedures are referred to as “allogeneic” cell therapy.</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Various cell therapies are in clinical development for an array of human diseases, including autoimmune, oncologic, cardiovascular, neurologic and orthopedic diseases, among other indications. While no assurances can be given regarding future medical developments, we believe that the field of cell therapy holds the promise to better the human experience and minimize or ameliorate the pain and suffering from many common and often life-threatening diseases. The FDA has been investing significant resources into policies and organizational changes to advance the cell and gene therapy fields in recent years through what the agency has labeled its “comprehensive regenerative medicine policy framework,” as first announced in late 2017 and incrementally developed since that time through various agency actions.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 THERAPY PRODUCT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CLI, CMD and NORDA.</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other cell types have been tested by researchers for the treatment of cardiovascular conditions, none have been shown in nature to perform a cardiovascular repair function.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CLBS12 for Treatment of Critical Limb Ischemia</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Following detailed discussion and agreement with the Japanese Pharmaceutical and Medical Device Agency ("PMDA"), we treated the first patient in a registration-eligible trial in Japan in March 2018. Based on discussions with the PMDA, we expect CLBS12 will be eligible for early conditional approval in Japan if there is a successful outcome of this trial, thereby effectively making the ongoing trial a potential registration trial in that strategic market. The initial responses observed in the subjects who have reached an endpoint in this open label study are consistent with a positive therapeutic effect and safety profile as reported by previously published clinical trials in Japan and the U.S. Enrollment is ongoing and we anticipate completion by mid-2020 with top line data targeted for late 2020 or early 2021. While the data accumulated to date continue to be encouraging, the final outcome of the trial will be dependent on all data from all subjects. Based on the accelerated review afforded CLBS12 by its SAKIGAKE designation and the current projected timeline to study completion, we expect that CLBS12 could potentially be an approved commercial product in Japan as early as late 2021 or early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October 2017, we announced the award of a $1.9 million grant from the National Institutes of Health to support a clinical study of CD34+ cells in patients with CMD under Award Number R44HL135889. The content of that announcement is solely our responsibility and does not necessarily represent the official views of the National Institutes of Health. This award led to the initiation of development of CLBS16 and enrollment of patients in our ESCaPE-CMD Phase 2 proof-of-concept study at the Mayo Clinic in Rochester, MN and Cedars-Sinai Medical Center in Los Angeles, CA. In June 2019, we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We are planning to advance the CLBS16 program to its next clinical development step, a Phase 2b study, with a target for first patient enrolled by mid-2020.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acquired the rights to data and regulatory filings for a CD34+ cell therapy program for refractory angina that had been advanced to Phase 3 by a previous sponsor.</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Based on the clinical evidence from the completed studies that a single administration of CLBS14 reduces mortality, improves angina, and increases exercise capacity in patients with otherwise untreatable angina, this product received RMAT designation from the FDA. Working closely with the FDA, we have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is expected to receive a 6-month review. We have completed substantially the preparatory work for initiation of this trial. We will not, however, commence enrollment of patients until sufficient capital dedicated to this program is acquired by us, which capital will give us confidence that we can fund the trial uninterrupted through completion.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OUT-LICENSING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CD34+ Cell Technology is a platform technology with potential application to a broad array of ischemic conditions and we will seek to out-license our technology in geographies or indications where we do not intend to pursue development ourselves.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Platform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developed and owned ischemic repair patent portfolio comprises the following:</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Nine U.S. patents, three EU patents (each filed in 5 individual countries) and 7 other patents in Japan, Canada, Russia and Hong Kong;</w:t>
      </w:r>
    </w:p>
    <w:p>
      <w:pPr>
        <w:spacing w:after="0" w:line="128"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Claims cover, </w:t>
      </w:r>
      <w:r>
        <w:rPr>
          <w:rFonts w:ascii="Arial" w:cs="Arial" w:eastAsia="Arial" w:hAnsi="Arial"/>
          <w:sz w:val="16"/>
          <w:szCs w:val="16"/>
          <w:i w:val="1"/>
          <w:iCs w:val="1"/>
          <w:color w:val="auto"/>
        </w:rPr>
        <w:t>inter alia</w:t>
      </w:r>
      <w:r>
        <w:rPr>
          <w:rFonts w:ascii="Arial" w:cs="Arial" w:eastAsia="Arial" w:hAnsi="Arial"/>
          <w:sz w:val="16"/>
          <w:szCs w:val="16"/>
          <w:color w:val="auto"/>
        </w:rPr>
        <w:t>, a pharmaceutical composition that contains a therapeutic concentration of non-expanded CD34+ stem cells that move in response to SDF-1 or VEGF, together with a stabilizing amount of serum, that can be delivered to repair an injury caused by vascular insufficiency;</w:t>
      </w:r>
    </w:p>
    <w:p>
      <w:pPr>
        <w:spacing w:after="0" w:line="1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and pending claims can be applied to a broad range of conditions caused by underlying ischemia, including: acute myocardial infarction; chronic myocardial ischemia post-AMI; chronic heart failure; critical limb ischemia; and ischemic brain injury;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pending patent applications outside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CLI</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Japan, there are approximately 300,000 patients with CLI, of whom approximately 51,000 are not candidates for revascularization, making them the addressable population for CLBS12. The addressable population is approximately 560,000 patients in the EU and 300,000 in the U.S.</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field of cardiovascular cell therapy development is competitive. There are a number of companies that are developing cell-based therapies for cardiovascular diseases. These companies are utilizing a number of different therapeutic approaches in their development efforts. There are both autologous and allogeneic based competitive therapies that derive cells principally from four sources: fat, peripheral blood, cord blood, and bone marrow. CLBS12 is an autologous therapy that derives its cells from peripheral blood via apheresis.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CMD</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United States, there are approximately 8,300,000 patients with CMD, while the addressable population is roughly 6,000,000 in the EU and 1,000,000 in Japan.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NORDA</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United States, we have identified fewer than 100,000 patients with no-option refractory disabling angina as candidates for CLBS14, making this an indication of orphan size.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health care industry is one of the most highly regulated industries in the United States and abroad. Various governmental regulatory authorities, as well as private accreditation organizations, oversee and monitor the activities of individuals and businesses engaged in the development, manufacture and delivery of health care products and services. The following is a general description of certain current laws and regulations that are relevant to our business: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Premarket Review and Approval of Pharmaceutical and Biological Products in the United States</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United States, pharmaceutical and biological products, including cellular therapies, are subject to extensive pre- and post- market regulation by the FDA. The Federal Food, Drug, and Cosmetic Act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including biological products, intended for therapeutic uses. Biological products are approved for marketing under provisions of the Public Health Service Act ("PHS Act"). However, biological products that also meet the definition of “drugs” under the FD&amp;C Act are also subject to regulation under FD&amp;C Act provisions and to applicable provisions from two sets of FDA implementing regulations, those for biological products and those for drugs. Another distinction between pharmaceuticals and cellular therapies is that the PHS Act requires the submission of a BLA, rather than a New Drug Application ("NDA"), for market authorization of a cellular therapy candidate like ours. Generally, the application process and requirements for product approval under BLA is similar to those for an NDA, and the review process for biological products is associated with similar approval risks and application costs as for chemical entity drug products.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comply with applicable U.S. requirements may subject a company to a variety of administrative or judicial sanctions, such as the FDA refusal to approve pending NDAs or BLAs, withdrawal of an approval,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DOJ, or other governmental entities. Under certain circumstances, individual members of company management may also be subject to civil or criminal penalties related to company violations of applicable legal requirements.</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applicant seeking approval to market and distribute a new pharmaceutical or biological product in the United States typically must undertake the following:</w:t>
      </w:r>
    </w:p>
    <w:p>
      <w:pPr>
        <w:spacing w:after="0" w:line="62"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which includes the detailed clinical protocol and which must take effect before human clinical trials can commence;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clinical trial protocol and the sponsor's safeguards for human subjects by one or more institutional review boards, or "IRBs," depending on the numbers of clinical sites and other features of the study design, before each clinical trial may be initiated;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"GCPs," to establish the safety and efficacy of the proposed drug or biological product for each proposed indication for which FDA approval is sought;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preparation and submission to the FDA of an NDA or BLA, as appropriate;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 as determined by the FDA at its discretion;</w:t>
      </w:r>
    </w:p>
    <w:p>
      <w:pPr>
        <w:spacing w:after="0" w:line="11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or components thereof, are produced to assess compliance with the regulations establishing current Good Manufacturing Practices, or “cGMPs,” and current Good Tissue Practices or “cGTPs” (if applicable), and to assure that the facilities, methods and controls used for the manufacture, processing and packing of the drug or biological product are adequate to preserve the product’s identity, strength, quality and purity; and</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applicable user fees and securing FDA approval of the NDA or BLA.</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Satisfaction of FDA pre-market approval requirements typically takes many years and the actual time required may vary substantially based upon the type, complexity and novelty of the product or disease. Moreover, submission of an IND may not result in FDA authorization to initiate a clinical trial if the FDA raises concerns or questions about the design of the clinical trial or the preclinical or manufacturing information supporting it, including concerns that human research subjects will be exposed to unreasonable health risks. A separate submission to an existing IND must also be made for each successive clinical trial conducted during product development. After a trial is initiated,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patients under the supervision of a qualified investigator. Clinical trials must be conducted in compliance with federal regulations and GCPs, which are meant to protect the rights and health of patients and to define the roles of clinical trial sponsors, administrators, and monitors. In addition, sponsors of most clinical trials involving FDA regulated products, including drugs and biologics, are required to register and disclose certain clinical trial information on a public registry and results database managed by the National Institutes of Health called ClinicalTrials.gov. Registration information that must be submitted includes information related to the product, patient population, phase of investigation, study sites and investigators, and other aspects of the clinical trial. Sponsors are also obligated to disclose the results of their clinical trials after completion. Competitors may use this publicly available information to gain knowledge regarding the progress of development programs. Failure to comply with applicable clinical trial registration or results reporting obligations can result in civil monetary penalties or the withholding of grant funds from a federally funded grantee.</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Clinical trials to support NDAs or BLAs for marketing approval are typically conducted in three sequential phases, but the phases may overlap or may be combined. Under certain circumstances, a fourth post-approval phase may be required.</w:t>
      </w:r>
    </w:p>
    <w:p>
      <w:pPr>
        <w:spacing w:after="0" w:line="62"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Trials in this phase are initially conducted in a limited population of healthy volunteers to test the product candidate for safety,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and excretion in healthy humans or, on occasion, in patients, such as cancer patients, when the drug or biologic is too toxic to be ethically given to healthy individuals.</w:t>
      </w:r>
    </w:p>
    <w:p>
      <w:pPr>
        <w:spacing w:after="0" w:line="73"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These clinical trials are generally conducted in a limited patient population to determine the presence and approximate magnitude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of the product for specific targeted indications and to identify appropriate therapeutic dose and dose frequency as well as any corresponding additional possible adverse effects and safety risks. Multiple Phase 2 clinical trials may be conducted by the sponsor to obtain information prior to beginning larger and more expensive Phase 3 clinical trials.</w:t>
      </w:r>
    </w:p>
    <w:p>
      <w:pPr>
        <w:spacing w:after="0" w:line="78"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 These are commonly referred to as pivotal or registration studies. When Phase 2 evaluations demonstrate that a dose range of the product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and has an acceptable safety profile, Phase 3 clinical trials are typically undertaken in a larger patient population to further evaluate dosage, to provide substantial evidence of clinical efficacy and to further test for safety in an expanded and diverse patient population at multiple and geographically-dispersed clinical trial sites. In most cases, the FDA requires two adequate and well-controlled Phase 3 clinical trials to demonstrate the efficacy of the drug or biologic as a requirement for marketing authorization.</w:t>
      </w:r>
    </w:p>
    <w:p>
      <w:pPr>
        <w:spacing w:after="0" w:line="64"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or BLA for a product candidate on the sponsor's agreement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clinical trials after NDA or BLA approval. In other cases, a sponsor may voluntarily carry out additional trials post approval to gain more information about the drug or biologic.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an NDA or BLA to the FDA</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seeking approval to market the drug product for one or more indications. FDA approval of the NDA or BLA is required before marketing of the product may begin in the United States. The cost of preparing and submitting an NDA or BLA is substantial. Under federal law, most NDA or BLA submissions are additionally subject to a substantial application user fee. The current fee for FY2020 is $2,942,965 (some small businesses may qualify for a waiver under certain circumstances) and an annual program fee, currently $325,424, must also be paid for each approved prescription drug or biological product. These fees are typically adjusted annually.</w:t>
      </w:r>
    </w:p>
    <w:p>
      <w:pPr>
        <w:spacing w:after="0" w:line="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FDA has 60 days from its receipt of an NDA or BLA to determine whether the application will be accepted for filing based on the Agency's threshold determination that the application is sufficiently complete to permit substantive review. Once the submission is accepted for filing, the FDA begins an in-depth review. If the application is not sufficiently complete, the FDA may issue a Refusal to File, or RTF, letter, although the FDA may permit an applicant to correct certain easily correctable deficiencies in the NDA/BLA before filing without taking an official RTF action. Under certain NDA and BLA review performance goals to which the FDA has agreed, most applications for standard review of drug or biological products are reviewed within ten to twelve months, and most applications for priority review drugs or biologics are reviewed within six to eight months. If a sponsor submits a major amendment to a filed NDA or BLA at any time during the review cycle, the FDA may extend these reviews by three months although only one such extension is permitted during a review cycle. Priority review can be applied to drugs or biologics that, in the FDA's determination, offer major advances in treatment or provide a treatment for a disease or condition for which no adequate therapy exists. For biologics, priority review is further limited to products intended to treat a serious or life-threatening disease relative to currently approved products. Priority review requests must be submitted in conjunction with the original NDA/BLA for which the sponsor is seeking the designation, and the FDA decision will be made in conjunction with its official action to file the application and begin the substantive review process.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Before approving an NDA or BLA, the FDA will typically inspect one or more clinical trial sites to ensure compliance with GCPs. Additionally, the FDA will inspect the facility or the facilities at which the drug is manufactured. These pre-approval inspections cover all facilities associated with an NDA or BLA submission, including drug component manufacturing (such as active pharmaceutical ingredients), finished drug product manufacturing, and control testing laboratories. The FDA will not approve the product unless it determines that the manufacturing processes and facilities are in compliance with applicable cGMP and cGTP requirements and are adequate to assure consistent production of the drug or biological product within required specifications and the NDA or BLA contains data that provide substantial evidence that the drug or biologic is safe and effective for the proposed indication.</w:t>
      </w:r>
    </w:p>
    <w:p>
      <w:pPr>
        <w:spacing w:after="0" w:line="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FDA may refer applications for novel drug or biological products, or drug or biological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 of an advisory committee, but the FDA will carefully consider them.</w:t>
      </w:r>
    </w:p>
    <w:p>
      <w:pPr>
        <w:spacing w:after="0" w:line="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the FDA fully evaluates the NDA or BLA and the relevant manufacturing facilities, the FDA will issue either an approval/licensure letter or a complete response letter (“CRL”). A CRL generally outlines the deficiencies in the submission and may require substantial additional testing or information in order for the FDA to reconsider the application. If and when those deficiencies have been addressed to the FDA's satisfaction in a resubmitted NDA or BLA, the FDA will issue an approval letter. The FDA has committed to reviewing such resubmissions within two or six months, depending on the type of information being provided to address the deficiencies in the CRL. Even with the submission of this additional information, however, the FDA ultimately may decide that the application does not satisfy the regulatory criteria for approval.</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FDA approves a drug or biological product for marketing in the U.S.,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such as a risk evaluation and mitigation strategy or “REMS,” which can materially affect the potential market and profitability of the product. The FDA also may prevent or limit further marketing of a product based on the results of post-market studies or surveillance programs. After approval, many types of changes to the approved product, such as adding new indications or patient populations, making certain types of manufacturing changes or seeking to make additional labeling claims, are subject to further testing requirements and FDA review and approval.</w:t>
      </w:r>
    </w:p>
    <w:p>
      <w:pPr>
        <w:spacing w:after="0" w:line="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One potential condition of approval is that the FDA may require an applicant to develop a REMS to ensure that the benefits of the drug outweigh its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requirements are tailored to the specific risk/benefit profile of a drug and can include requirements such as medication guides for patients, detailed communication plans for health care professionals, and elements to assure safe use, or “ETASU.” ETASU may include, but are not limited to, special training or certification for prescribing or dispensing, dispensing only under certain circumstances, special monitoring, restricted distribution, and the use of patient registries. The FDA may require a REMS as a condition of approval or may add such a requirement at any point post-approval if it becomes aware of a serious risk associated with use of the product. The requirement for a REMS and the specific components that are involved can materially affect the potential market and profitability of a product. If the FDA concludes an REMS plan is needed, the sponsor of the NDA or BLA must submit a proposed REMS. The FDA will not approve an NDA without an REMS, if required.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 (Fast Track, Breakthrough, RMAT) and Accelerated Approval Pathways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FDA is authorized to facilitate the development and expedite the review of certain drugs or biologics that are intended for the treatment of a serious or life-threatening disease or condition for which there is no effective treatment and which demonstrate the potential to address unmet medical needs for the condition. Under the Fast Track Program, the sponsor of an IND for a drug candidate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In addition to other benefits such as the ability to engage in more frequent interactions with the FDA, The FDA may initiate review of sections of a Fast Track drug’s NDA or BLA before the application is complete. This "rolling review' is available if the applicant provides, and the FDA approves, a schedule for the submission of the remaining information and the applicant pays applicable user fees. The FDA’s time period goal for reviewing an application, however, does not begin until the last section of the NDA/BLA is submitted. Additionally, the Fast Track designation may be withdrawn by the FDA if the FDA believes that the designation is no longer supported by data emerging in the clinical trial process.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Separately, under the FDA’s accelerated approval regulations, the FDA may approve a drug for a serious or life-threatening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illness that provides meaningful therapeutic benefit to patients beyond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approval of the drug such that accelerated approval also referred to as U.S. "conditional" approval. Products granted accelerated approval also are subject to additional requirements for the pre-dissemination review by the FDA of proposed promotional materials both during the NDA review process and for 120 days after marketing approval.</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above, the FDA may designate an investigational product as a Breakthrough Therapy or as a Regenerative Medicine Advanced Therapy ("RMAT"), depending on the type of investigational product and its ability to meet applicable eligibility criteria.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The RMAT designation requires similar eligibility criteria to be met, but it is available only to cell therapies, tissue therapies, and other products that meet the statutory definition of a “regenerative medicine therapy.” Specifically, a biological product is eligible for RMAT designation if: (a) the product candidate is a regenerative medicine therapy, which is defined in the FD&amp;C Act as a cell therapy, therapeutic tissue engineering product, human cell and tissue product, or any combination product using such therapies or products, except for those regulated solely under the PHS Act (that is, excluding those biological products that are not also regulated as “drugs” under the FD&amp;C Act); (b) the product candidate is intended to treat, modify, reverse, or cure a serious or life-threatening disease or condition; and (c) preliminary clinical evidence indicates that the product candidate has the potential to address unmet medical needs for such disease or condition. Both Breakthrough Therapy and RMAT designations are intended to help accelerate product development by allowing more frequent interactions with the FDA and receiving intensive FDA guidance on efficient drug development.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the Pediatric Research Equity Act ("PREA"), NDAs or BLAs or supplements to NDAs or BLAs must contain data that are adequate to assess the safety and effectiveness of the drug or biologic for the claimed indications in all relevant pediatric subpopulations and to support dosing and administration for each pediatric subpopulation for which the drug is safe and effective. Sponsors must also submit pediatric trial plans prior to the assessment data, and those plans must contain an outline of the proposed pediatric trial or trials the applicant plans to conduct, including trial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grant full or partial waivers or deferrals for submission of data. Unless otherwise required by regulation, the pediatric data requirements do not apply to products with orphan designation, although the FDA has recently taken steps to limit what it considers abuse of this statutory exemption in PREA by announcing that it does not intend to grant any additional orphan drug designations for rare pediatric subpopulations of what is otherwise a common disease.</w:t>
      </w:r>
    </w:p>
    <w:p>
      <w:pPr>
        <w:spacing w:after="0" w:line="5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Best Pharmaceuticals for Children Act ("BPCA") provides approved NDA and BLA holders a six-month extension of any exclusivity that attaches to the end of all existing marketing exclusivities and patents for the drug or biologic. Conditions for exclusivity include the FDA’s determination that information relating to the use of a new drug or biologic in the pediatric population may produce health benefits in that population, the FDA making a written request for pediatric studies, and the applicant agreeing to perform, and reporting on, the requested studies within the statutory timeframe.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Applications under the BPCA are treated as priority applications, with all of the benefits that designation confers.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Orphan Drug Act, the FDA may designate a candidate as an orphan drug if it is intended to treat a rare disease or condition (generally meaning that it affects fewer than 200,000 individuals in the U.S.) Orphan drug designation must be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requested by an applicant before submitting an NDA or BLA for the relevant drug candidate. If the FDA grants orphan drug designation, the FDA will publicly disclose the generic identity of the drug candidate and its potential orphan use. Orphan drug designation does not convey any advantage in, or shorten the duration of, the regulatory review and approval process.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the product generally will receive orphan drug exclusivity. Orphan drug exclusivity means that the FDA may not approve any other applications for the same product for the same indication for seven years, except in certain limited circumstances comprising methods by which a second sponsor can demonstrate clinical superiority of its drug in comparison to the first approved orphan drug. Regardless of the orphan drug designation, a competitor may receive FDA approval for a different product (i.e., a different therapeutic agent from the orphan drug) for the same indication for which the orphan product has exclusivity and may obtain approval for the same product (i.e., the same therapeutic agent as the orphan drug) but for a different indication. If a designated orphan drug ultimately receives marketing approval for an indication broader than what was described in its orphan drug designation request, it may not be entitled to exclusivity under the Orphan Drug Act. Among the other benefits of orphan drug designation, the sponsor receives a waiver of the NDA or BLA application user fee and is eligible for tax credits for certain research (although the amount of this potential tax credit was decreased from 50% to 25% of qualified clinical testing expenses with the 2017 overhaul of the U.S. Tax Code, effective in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left="80" w:firstLine="324"/>
        <w:spacing w:after="0" w:line="276" w:lineRule="auto"/>
        <w:rPr>
          <w:sz w:val="20"/>
          <w:szCs w:val="20"/>
          <w:color w:val="auto"/>
        </w:rPr>
      </w:pPr>
      <w:r>
        <w:rPr>
          <w:rFonts w:ascii="Arial" w:cs="Arial" w:eastAsia="Arial" w:hAnsi="Arial"/>
          <w:sz w:val="17"/>
          <w:szCs w:val="17"/>
          <w:color w:val="auto"/>
        </w:rPr>
        <w:t>Drugs and biological products manufactured, marketed or distributed pursuant to FDA approval decisions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FDA review and approval before they can be implemented. There also are continuing, annual program fee requirements for any marketed, approved prescription products, as well as new application fees for supplemental applications.</w:t>
      </w:r>
    </w:p>
    <w:p>
      <w:pPr>
        <w:spacing w:after="0" w:line="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drug manufacturers and other entities involved in the manufacture of approved drugs are required to register their facilities with the FDA and state agencies and are subject to periodic unannounced inspections by the FDA for compliance with cGMP/cGTP requirements. Prescription drug distribution facilities are also subject to state licensure, including inspections, by the relevant local regulatory authority. Changes to the manufacturing process, specifications or container closure system for an approved drug or biologic are strictly regulated and often require prior FDA approval before being implemented. FDA regulations also require investigation and correction of any deviations from cGMP or cGTP and impose reporting and documentation requirements upon the sponsor and others involved in the product’s manufacturing process.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Accordingly, manufacturers must continue to expend time, money and effort in the area of production and quality control to maintain cGMP/cGTP compliance and ensure ongoing compliance with other statutory requirements the FD&amp;C Act, such as the requirements for making manufacturing changes to an approved NDA or BLA.</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Even after a new drug or biologic approval is granted, the FDA may withdraw that approval if compliance with regulatory requirements and standards is not maintained or if problems occur after the product reaches the market. If a previously unknown problem, including adverse events of unanticipated severity or frequency, or with manufacturing processes, is discovered or the manufacturer fails to comply with regulatory requirements, the FDA may require revisions to the approved labeling to add new safety information; may impose additional post-market studies or clinical trials to assess new safety risks; or may impose distribution or other restrictions under a REMS program. Other potential consequences of regulatory non-compliance include, among other things:</w:t>
      </w:r>
    </w:p>
    <w:p>
      <w:pPr>
        <w:spacing w:after="0" w:line="8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refusal of the FDA to approve pending NDAs/BLAs or supplements to approved NDAs/BLAs, or suspension or revocation of product license approvals;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degrees, corporate integrity agreements, debarment, or exclusion from federal health care programs;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FDA strictly regulates marketing, labeling, advertising and promotion of prescription drug and biological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penalties. In addition, the distribution of prescription pharmaceutical products is subject to a variety of federal and state laws, the most recent of which is still in the process of being phased into the U.S. supply chain and regulatory framework.</w:t>
      </w:r>
    </w:p>
    <w:p>
      <w:pPr>
        <w:spacing w:after="0" w:line="64" w:lineRule="exact"/>
        <w:rPr>
          <w:sz w:val="20"/>
          <w:szCs w:val="20"/>
          <w:color w:val="auto"/>
        </w:rPr>
      </w:pPr>
    </w:p>
    <w:p>
      <w:pPr>
        <w:ind w:right="160" w:firstLine="324"/>
        <w:spacing w:after="0" w:line="217" w:lineRule="exact"/>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10</w:t>
      </w:r>
      <w:r>
        <w:rPr>
          <w:rFonts w:ascii="MS PGothic" w:cs="MS PGothic" w:eastAsia="MS PGothic" w:hAnsi="MS PGothic"/>
          <w:sz w:val="16"/>
          <w:szCs w:val="16"/>
          <w:color w:val="auto"/>
        </w:rPr>
        <w:t>‑</w:t>
      </w:r>
      <w:r>
        <w:rPr>
          <w:rFonts w:ascii="Arial" w:cs="Arial" w:eastAsia="Arial" w:hAnsi="Arial"/>
          <w:sz w:val="16"/>
          <w:szCs w:val="16"/>
          <w:color w:val="auto"/>
        </w:rPr>
        <w:t>year period that is expected to culminate in November 2023.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Care Regulations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Other federal and state laws and regulations that could directly or indirectly affect our ability to operate the business and/or financial performance include:</w:t>
      </w:r>
    </w:p>
    <w:p>
      <w:pPr>
        <w:spacing w:after="0" w:line="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and local licensure, applicable to the processing and storage of human cells and tissues;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regulations administered by the United States Department of Health and Human Services, including the Office for Human Research Protections and the Office of Inspector General;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laws and regulations governing human subject research;</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and state coverage and reimbursement laws and regulations, including laws and regulations administered by the Centers for Medicare &amp; Medicaid Services and state Medicaid agencies;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Medicare and Medicaid Anti-Kickback Law and similar state laws and regulations;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as amended by the Health Information Technology for Economic and Clinical Health Act and similar state laws and regulations;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physician self-referral prohibition commonly known as the Stark Law, and state equivalents of the Stark Law;</w:t>
      </w:r>
    </w:p>
    <w:p>
      <w:pPr>
        <w:spacing w:after="0" w:line="117" w:lineRule="exact"/>
        <w:rPr>
          <w:rFonts w:ascii="Arial" w:cs="Arial" w:eastAsia="Arial" w:hAnsi="Arial"/>
          <w:sz w:val="18"/>
          <w:szCs w:val="18"/>
          <w:color w:val="auto"/>
        </w:rPr>
      </w:pPr>
    </w:p>
    <w:p>
      <w:pPr>
        <w:ind w:left="660" w:right="34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transparency requirements under the Physician Payments Sunshine Act that require manufacturers of FDA-approved drugs, devices, biologics and medical supplies covered by Medicare or Medicaid to report, on an annual basis, to the Department of Health and Human Services information related to payments and other transfers of value physicians, teaching hospitals, and certain advanced non-physician health care practitioners and physician ownership and investment interests;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Occupational Safety and Health Administration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and local laws and regulations dealing with the handling and disposal of medical waste; and</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Intermediate Sanctions rules of the IRS providing for potential financial sanctions with respect to “Excess Benefit Transactions” with tax-exempt organizations.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Japan's Pharmaceutical and Medical Device Authority Regulation of Regenerative Medicine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2014, there was no specific regulatory oversight of regenerative medicine products in Japan. However, in November 2013, the Japanese authorities revised the Pharmaceutical Affairs Law and renamed it the Pharmaceuticals, Medical Devices, and Other Therapeutic Products Act (the "PMD Act"). The new legislation became effective on November 25, 2014 and provides for a timely introduction of innovative regenerative medicine products. The new legislation formalizes a legal basis for development of regenerative medicine therapies. The new legislation defines regenerative medicine products as processed human cells that are intended to be used for either (1) the reconstructive repair, or formation of structures or functions of the human body; (2) the treatment or prevention of human diseases; or (3) gene therapy.</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legislation allows the PMDA/Ministry of Health, Labour and Welfare ("MHLW") to award conditional approval to a regenerative medicine therapy if there is evidence of adequate safety and results which predict likely efficacy. The evidence for efficacy may be based on surrogate endpoints and may come from an exploratory study. This conditional approval is time-limited, and there must be an agreement with PMDA/MHLW as to follow-up collection of information which confirms efficacy and safety, similar to a post-marketing commitment in the United States.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PMD Act, products under consideration may also be given a SAKIGAKE designation (similar to an FDA "Breakthrough" or "RMAT" designation in certain respects) and/or may be granted a priority review status. Additionally, there is a commitment that the PMDA will facilitate research and development by giving scientific and regulatory advice to sponsors from the early stage of development.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new legislation, the sponsor prepares a marketing authorization application which is submitted for review to the PMDA. The PMDA reviews the application and prepares a review report and recommendation which is submitted to the MHLW. The MHLW reviews the recommendation and makes a decision regarding approval of the product. This procedure is followed for both a conditional approval and subsequently for a full approval after the post-marketing commitments have been fulfilled.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had 27 full-time employees. Our senior management and professional employees have had prior experience in pharmaceutical or biotechnology companies. None of our employees are covered by collective bargaining agreements. We believe that our relations with our employees are good.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financial condition, operating results and cash flows can be affected by a number of factors, including, but not limited to, those set forth below, any one of which could cause our actual results to vary materially from recent results or from our anticipated future results. The risks described below are not the only ones we face, but those we currently consider to be material. There may be other risks which we now consider immaterial, or which are unknown or unpredictable, with respect to our business, our competition, the regulatory environment or otherwise that could have a material adverse effect on our business, financial condition 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losses and negative cash flow from operations in the past and expect to continue to incur losses and negative cash flow for the foreseeable future.</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a limited operating history, limited capital, and limited sources of revenue. Since our inception in 1980 through December 31, 2019, we have incurred aggregate net losses of approximately $417.4 million. Our net losses from continuing operations attributable to common stockholders for the years ended December 31, 2019 and December 31, 2018 were approximately $19.4 million and $16.2 million, respectively. As of December 31, 2019, our cash and cash equivalents and marketable securities were $25.2 million. Our current business has not generated revenues in the past and for the foreseeable future we do not expect it to generate revenue to be sufficient to cover costs attributable to that business or to our operations as a whole, including our development activities associated with our product candidates. Ultimately, we may never generate sufficient revenue from our business to reach profitability, generate positive cash flow or sustain, on an ongoing basis, our current or projected levels of product development and other operations.</w:t>
      </w:r>
    </w:p>
    <w:p>
      <w:pPr>
        <w:spacing w:after="0" w:line="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anticipate that we will need substantial additional financing to continue our operations; if we are unable to raise additional capital, we may be forced to delay, reduce or eliminate one or more of our product development programs, and our business will be harmed.</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current operating plan will require significant levels of additional capital to fund the continued development of our cell therapy product candidates and our clinical development activities.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clinical activities are expected to continue to grow as our programs are advanced and they will require significant investment over a period of several years before they could potentially be approved by the FDA and commercialized by us, if ever. Even if data from our current clinical trials for our product candidates were deemed positive, we may be required to conduct additional clinical trials of the product candidates, including larger and more expensive pivotal Phase 3 trials, to pursue commercialization of the candidates. To do so, we will need to raise additional capital, enter into collaboration agreements with third parties or undertake any combination thereof. If we are unsuccessful in our efforts to raise capital or find collaborative partners, we will likely need to otherwise delay or abandon the trials.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and timing of our future capital requirements also will likely depend on many other factors,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scope, progress, results, costs, timing and outcomes of our cell therapy research and development programs and product candidates;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enter into any collaboration agreements with third parties for our product candidates and the timing and terms of any such agreements;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the consummation of one or more strategic transactions;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a process which could be particularly lengthy, or complex given the FDA's limited experience with marketing approval for cell therapy products;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maintaining, expanding and protecting our intellectual property portfolio, including potential litigation costs and liabilities relating thereto;</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expansion of our development operations and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or our access to, state or federal government awards.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 both fund our clinical trials and support our future operations, we would likely seek to raise capital through a variety of different public and/or private financings vehicles. This could include, but not be limited to, utilization of our at-the-market ("ATM") sales agreement with H.C. Wainwright &amp; Co., equity sales pursuant to our purchase agreement with Lincoln Park Capital Fund, L.L.C., potential issuances of other debt or equity securities in public or private financings and/or sale or licensing of assets. If we raise capital through the sale of equity, or securities convertible into equity, it will result in dilution to our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then-existing stockholders. Servicing the interest and principal repayment obligations under debt we incur, or whether any such debt is called, would divert funds that might otherwise be available to support research and development, clinical or commercialization activities. In addition, debt financing involves covenants that restrict our ability to operate our business. In certain cases, we also may seek funding through collaborative arrangements that would likely require us to relinquish certain rights to our technology or product candidates and diminish our share in the future revenues associated with the partnered product.</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Ultimately, we may be unable to raise capital or enter into collaborative relationships on terms that are acceptable to us, if at all. Our inability to obtain necessary capital or financing to fund our future operating needs could adversely affect our business, results of operations and financial condition.</w:t>
      </w:r>
    </w:p>
    <w:p>
      <w:pPr>
        <w:spacing w:after="0" w:line="1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have never generated any revenue from product sales and our ability to generate revenue from product sales and become profitable depends significantly on our success in a number of factors.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 products approved for commercial sale, have not generated any revenue from product sales, and do not anticipate generating any revenue from product sales until sometime after we have received regulatory approval for the commercial sale of a product candidate, which may never occur. Our ability to generate revenue from product sales and achieve profitability depends significantly on our success in many factors, including:</w:t>
      </w:r>
    </w:p>
    <w:p>
      <w:pPr>
        <w:spacing w:after="0" w:line="5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contracting with contract manufacturers that have the ability and capacity to manufacture our development products and make them at an acceptable cost;</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ongoing regulatory compliance post-approval and with respect to sales and marketing of future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depend, in part, upon the size of the markets in the territories for which we obtain regulatory approval, the accepted price for the product, the ability to receive reimbursement at any price, and whether we own the commercial rights for that territory. If the number of our addressable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p>
    <w:p>
      <w:pPr>
        <w:spacing w:after="0" w:line="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our status as a smaller reporting company changes, Section 404(b) of the Sarbanes-Oxley Act of 2002 may require an independent registered public accounting firm to report on the effectiveness of our internal control over financial reporting. Any delays or difficulty in satisfying these requirements could adversely affect our future results of operations and our stock price.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Section 404(b) of the Sarbanes-Oxley Act of 2002 requires an independent registered public accounting firm to test the internal control over financial reporting of public companies, and to report on the effectiveness of such controls, for each fiscal year ending after June 15, 2010. Under the Dodd Frank Wall Street Reform and Consumer Protection Act of 2010, we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exempt from Section 404(b) as long as we remain a smaller reporting company or a non-accelerated filer. If our status as a smaller reporting company changes, we may be required to comply with this auditor attestation requirement.</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may in the future discover areas of our internal controls that need improvement, particularly with respect to businesses that we may acquire. If so, we cannot be certain that any remedial measure we take will ensure that we have adequate internal controls over our financial processes and reporting in the future. Any failure to implement required new or improved controls, or difficulties encountered in their implementation could harm our operating results or cause us to fail to meet our reporting obligations. If we are unable to conclude that we have effective internal controls over financial reporting, or if it becomes necessary for our independent registered public accounting firm to provide us with an unqualified report regarding the effectiveness of our internal control over financial reporting and it is unable to do so, investors could lose confidence in the reliability of our financial statements. This could result in a decrease in the value of our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CELL THERAPY PRODUCT DEVELOPMENT EFFORTS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future success may be dependent on the timely and successful continued development and commercialization of CLBS12, our experimental product candidate for CLI that is in clinical development in Japan, CLBS16 for CMD and CLBS14 for NORDA, and if we encounter delays or further difficulties in the development of these product candidates, our business prospects would be significantly harmed.</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dependent upon the successful development, approval and commercialization of our product candidates. Before we are able to seek regulatory approval of our product candidates, we must conduct and complete extensive clinical trials to demonstrate their safety and efficacy in humans. We have never taken a product through the regulatory approval process or successfully to U.S. or international commercialization.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early 2018, we treated the first patient in a clinical trial in Japan for CLBS12 for use in CLI taking advantage of the paradigm of potential conditional approval for regenerative medicine products established by new regulations in Japan for products that show sufficient safety evidence and some evidence of efficacy. We also recently reported preliminary top-line data from the 6-month follow-up of patients in a clinical trial using CD34+ cells to treat CMD (CLBS16). Additionally, we currently have an open IND for CLBS14, a program that is now poised to commence a single Phase 3 confirmatory trial for registration in the U.S. in patients with NORDA. Actual initiation of that trial is contingent upon the acquisition of sufficient funding to give us confidence that we could complete the trial uninterrupted.</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Clinical testing is expensive, difficult to design and implement, and can take many years to complete. Importantly, a failure of one or more of these or any other clinical trials can occur at any stage of testing. We may experience numerous unforeseen events during, or as a result of clinical trials that could delay or prevent our ability to complete our clinical trials, receive regulatory approval or commercialize our cell therapy product candidates, including the following:</w:t>
      </w:r>
    </w:p>
    <w:p>
      <w:pPr>
        <w:spacing w:after="0" w:line="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suspensions, delays or changes in the design, initiation, enrollment, implementation or completion of required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changes in our financial position or significant and unexpected increases in the cost of our clinical development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or uncertainties in, or additions to, the regulatory approval process that require us to alter our current development strategy;</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results that are negative, inconclusive or even less than desired as to safety and/or efficacy, which could result in the need for additional clinical trials or the termination of the product's development;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our ability to manufacture the product in quantities or in a form that is suitable for any required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constraints that prevent us from making, using, or commercializing any of our cell therapy product candidates;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these product candidates may be insufficient or inadequate;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of clinical trials;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contract manufacturing organizations ("CMOs"), and clinical trial sites, the terms of which can be subject to extensive negotiation and may vary significantly among different CROs, CMOs and clinical trial sites;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file INDs with the FDA for our development candidates or comparable clinical trial applications with other regulatory authorities outside of the U.S.;</w:t>
      </w:r>
    </w:p>
    <w:p>
      <w:pPr>
        <w:spacing w:after="0" w:line="62"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the FDA or similar restrictions by other regulatory agencies for a number of reasons, including after review of an IND or amendment, or equivalent application or amendment; as a result of a new safety finding that presents unreasonable risk to clinical trial participants; a negative finding from an inspection of our clinical trial operations or clinical trial sites; developments on trials conducted by competitors or approved products post-market for related technology that raises FDA concerns about risk to patients of the technology broadly; or if the FDA finds that the investigational protocol or plan is clearly deficient to meet its stated objectives;</w:t>
      </w:r>
    </w:p>
    <w:p>
      <w:pPr>
        <w:spacing w:after="0" w:line="6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our CROs, CMOs other third parties, or us to adhere to clinical trial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in accordance with the FDA or international GCP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reach agreement with the FDA on a satisfactory development path of our development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having patients qualify for or complete participation in a trial or return for post-treatment follow-up;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dropping out of a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 or abandoning existing trials;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transfer of manufacturing processes from our academic collaborators to larger-scale facilities operated by either a contract manufacturing organization, or CMO, or by us, and delays or failure by our CMOs or us to make any necessary changes to such manufacturing process;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that are conducted in countries where the standard of care is potentially different from the United States.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our ability to generate revenue. In addition, if we make manufacturing or formulation changes to our product candidates, we may be required to, or we may elect to, conduct bridging studies to demonstrate the equivalence of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Pandemics such as the corona virus could have an adverse impact on our developmental programs and our financial condition.</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a novel strain of coronavirus was first identified in Wuhan, Hubei Province, China. Any outbreak of contagious diseases, or other adverse public health developments, could have a material and adverse effect on our business operations. These could include disruptions or restrictions on our ability to travel, pursue partnerships and other business transactions, conduct clinical trials, make shipments of biologic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The extent to which the coronavirus may impact our results will depend on future developments, which are highly uncertain and cannot be predicted, including new information which may emerge concerning the severity of the coronavirus.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we are able to successfully complete our clinical development programs for our product candidates and receive regulatory approval to market one or more of the products, if the commercial opportunities are smaller than we anticipate, our future revenues may be adversely affected, and our business may suffer.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size of the commercial opportunities in any of our target indications is smaller than we anticipate, or if the FDA grants our candidates approval to treat only specific subpopulations or otherwise approves the products for more narrow indications for use than we are seeking, we may not be able to achieve profitability and growth.</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Even if we are able to successfully complete our clinical development program for our product candidates, and ultimately receive regulatory approval to market one or more of the products, we may, among other things:</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the indications we sought;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encounter problems with respect to the manufacturing of commercial supplies;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and/or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in enrolling patients in our clinical trials, which could delay or prevent the receipt of necessary regulatory approvals.</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not be able to initiate or complete as planned any clinical trials if we are unable to identify and enroll a sufficient number of eligible patients to participate in the clinical trials required by the FDA or other regulatory authorities. We also may be unable to engage a sufficient number of clinical trial sites to conduct our trials. Moreover, our ability to conduct trials outside of the United States may be constrained by our inability to transport trial materials to foreign destinations within the expiry period of such materials unless and until we commence operation outside of the United States or find another source of supply.</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face challenges in enrolling patients to participate in our clinical trials due to the novelty of our cell-based therapies, the size of the patient populations and the eligibility criteria for enrollment in the trial. Moreover, changes to enrollment criteria may be prohibited by regulating agencies, may have no impact on enrollment rates and may change or harm the outcome of the study. In addition, some patients may have concerns or negative perceptions regarding cell therapy that may affect their decision to enroll in the trials. Furthermore, patients suffering from diseases within target indications may enroll in competing clinical trials, which could negatively affect our ability to complete enrollment of our trials. Enrollment challenges in clinical trials often result in increased development costs for a product candidate, significant delays and potentially the abandonment of the clinical trial.</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Outside of the unique aspects of conducting a clinical trial for a cell therapy candidate, patient enrollment in general is affected by many factors, including:</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size of the target patient population;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severity of the disease or disorder under investigation;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eligibility criteria for the clinical trial in question;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clinical trials being conducted at the same time involving patients who have the disease or disorder under investigation;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and availability of other therapies to treat the disease or disorder that is being investigated in the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or unwillingness to participate in a placebo controlled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inability to enroll a sufficient number of patients in any of our planned clinical trials would result in significant delays or may require us to abandon one or more clinical trials altogether.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other delays in completing our clinical trials and we may not complete them at all.</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completed the clinical trials necessary to obtain FDA approval to market CLBS12, CLBS14 or CLBS16 or any of our other product candidates in development. Our management lacks significant experience in completing Phase 3 pivotal clinical trials and bringing a drug or biological product through commercialization. Clinical trials for products in development may be delayed or terminated as a result of many factors, including the following:</w:t>
      </w:r>
    </w:p>
    <w:p>
      <w:pPr>
        <w:spacing w:after="0" w:line="79" w:lineRule="exact"/>
        <w:rPr>
          <w:sz w:val="20"/>
          <w:szCs w:val="20"/>
          <w:color w:val="auto"/>
        </w:rPr>
      </w:pPr>
    </w:p>
    <w:p>
      <w:pPr>
        <w:ind w:left="5620" w:right="2760" w:hanging="5288"/>
        <w:spacing w:after="0" w:line="653"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 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by regulators, IRBs, or independent ethics committees to authorize us or our investigators at individual sites to commence a clinical trial;</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applicable cGMP/cGTP requirements for the clinical supplies of the cell therapy candidate;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 clinical supply for our trials;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treatment candidates demonstrating a lack of efficacy during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delay or failure to complete clinical trials and obtain FDA approval for our product candidates could have a material adverse effect on our cost to develop and commercialize, and our ability to generate revenue from, a particular product candidate.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 stage clinical trials for a variety of product candidates simultaneously.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submission of a BLA for any one of the above reasons or a combination of several.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development of our cell therapy product candidates are subject to uncertainty because autologous cell therapy is inherently variable.</w:t>
      </w:r>
    </w:p>
    <w:p>
      <w:pPr>
        <w:spacing w:after="0" w:line="1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When manufacturing an autologous cell therapy, the number and the composition of the cell population varies from patient to patient. Such variability in the number and composition of these cells could adversely affect our ability to manufacture autologous cell therapies in a cost-effective or profitable manner and meet acceptable product release specifications for use in a clinical trial or, if approved, for commercial sale. As a consequence, the development and regulatory approval process for autologous cell therapy products could be delayed or may never be completed. Our product development costs will also increase if manufacturing processes and controls require unexpected investments, which could harm our business and results of operations.</w:t>
      </w:r>
    </w:p>
    <w:p>
      <w:pPr>
        <w:spacing w:after="0" w:line="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disruption to our access to the reagents we are using in the clinical development of our cell therapy product candidates could adversely affect our ability to perform clinical trials and seek future regulatory submissions.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Reagents, devices, materials and systems that we are using in our clinical trials, that we intend to use in our planned clinical trials and that we may need or use in commercial production, are provided by unaffiliated third parties. Any lack of continued availability of these reagents, devices, materials and systems for any reason would have a material adverse effect on our ability to complete these studies and could adversely impact our ability to achieve commercial manufacture of our planned therapeutic products. Although other available sources for these reagents, devices, materials and systems may exist in the marketplace, we have not evaluated their cost, effectiveness, or intellectual property foundation and therefore cannot guarantee the suitability or availability of such other potential sources.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initiation of pivotal Phase 3 clinical trials for cell therapy product candidates requires the validation and establishment of manufacturing controls that may delay product development timelines.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conduct pivotal Phase 3 clinical trials, we are required to have certain validated and established manufacturing controls with respect to the safety, purity and potency of our product when administered to patients. If we determine that the results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of any Phase 2 clinical trial we may conduct supports Phase 3 development, we expect to initiate and complete one or more pivotal Phase 3 clinical trials for such programs and would need to address any outstanding chemistry, manufacturing and control CMC issues raised by the FDA prior to initiating such trials. We may not be successful in our efforts to address any CMC issues raised by the FDA. If we cannot initiate, or if we are delayed in initiating, a pivotal Phase 3 clinical program as a result of our failure to satisfy the FDA's CMC concerns or otherwise, the timing of regulatory submission for commercialization of our product candidates would be delayed, or we may be unable to seek regulatory approval to commercialize our products at all.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candidates that appear promising in research and development may be delayed or may fail to reach later stages of clinical development.</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successful development of pharmaceutical product candidates is highly uncertain. Product candidates that appear promising in research and development and early clinical trials may be delayed or fail to reach later stages of development. Decisions regarding the further development of product candidates must be made with limited and incomplete data, which makes it difficult to ensure or even accurately predict whether the allocation of limited resources and the expenditure of additional capital on specific product candidates will result in desired outcomes. Preclinical and clinical data can be interpreted in different ways, and negative or inconclusive results or adverse events during a clinical trial could delay, limit or prevent the development of a product candidate.</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Exploratory trends and results observed in earlier stage clinical trials, particularly trends and results observed for small subsets that were not pre-specified, may not be replicated in later stage clinical trials. Product candidates in Phase 3 clinical trials may fail to demonstrate sufficient efficacy despite having progressed through initial clinical trials, even if certain exploratory subset analyses of primary or secondary endpoints in those early trials showed trends toward efficacy or, in some analyses, nominal statistical significance. The results of clinical trials in one set of patients or line of treatment may not be predictive of those obtained in another.</w:t>
      </w:r>
    </w:p>
    <w:p>
      <w:pPr>
        <w:spacing w:after="0" w:line="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serious or unacceptable side effects are identified during the development of any of our product candidate, we may need to abandon or limit our development of that product candidate.</w:t>
      </w:r>
    </w:p>
    <w:p>
      <w:pPr>
        <w:spacing w:after="0" w:line="6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All of our product candidates are in clinical development and their risk of failure is high. It is impossible to predict when or if any of our product candidates will prove effective or safe in humans or will receive marketing approval. If our product candidates are associated with undesirable side effects or have other unexpected, unacceptable characteristics, we may need to abandon their development or limit development to certain uses or subpopulations in which the undesirable side effects or other characteristics are less prevalent, less severe or more acceptable from a risk-benefit perspective. Many investigational products that initially showed promise in clinical or earlier stage testing have later been found to cause side effects or other safety issues that prevented further development. Even if we receive regulatory approval for a candidate with a known safety risk, such an approved product may not achieve market acceptance by physicians, patients, third-party payors or others in the medical community, which would materially and adversely affect our business.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and other similar regulatory designations may not lead to a faster development, regulatory review or approval process.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were granted SAKIGAKE designation in Japan and Advanced Therapeutic Medicinal Product ("ATMP") designation in Europe for CLBS12 for the treatment of CLI, and RMAT designation for CLBS14 for the treatment of no-option refractory disabling angina. However, SAKIGAKE, ATMP and RMAT designations do not ensure that we will experience a faster development, regulatory review or approval process compared to conventional FDA or Japan PMDA procedures. Additionally, a regulatory authority may withdraw a designation if it believes that the designation is no longer supported by data from the clinical development program. Moreover, award of a particular designation does not imply a higher probability of success of a product in the approval process.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cell therapy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these factors and may include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Data from earlier studies conducted by the third-party research institutions should not be relied upon as evidence that later or larger-scale clinical trials will succeed. Some future trials may have different patient populations than current studies and will test our product candidates in different indications, among other differences. In addition, our proposed manufacturing processes for our product candidates include what we believe will be process improvements that are not part of the production processes that were previously used in the earlier conducted clinical trials being conducted by the research institutions. Accordingly, our results with our product candidates may not be consistent with the results of the clinical trials.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do we,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w:t>
      </w:r>
    </w:p>
    <w:p>
      <w:pPr>
        <w:spacing w:after="0" w:line="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currently rely on contract manufacturers to provide the cell processing services necessary for clinical production for our various CD34+ cell therapy product candidates. The Foundation for Biomedical Research and Innovation, a Japanese corporation with its principal place of business in Kobe, Japan ("FBRI") will provide all cell processing services for the CLBS12 CLI trial in Japan. Hitachi Chemical Advanced Therapeutics Systems ("HCATS") and FBRI also provide services and produce materials for clinical trials on behalf of unaffiliated third parties. To date, neither has produced any products at commercial scale quantities. We expect that HCATS and FBRI would need to expand significantly their manufacturing capabilities to meet potential commercial demand for CLBS12, CLBS14 and CLBS16 and any other of our product candidates, if approved, as well as any of our other product candidates that might attain regulatory approval. Such expansion would require additional regulatory approvals. Even if they increase their manufacturing capabilities, it is possible that they may still lack sufficient capacity to meet demand. Ultimately, if we are unable to supply our products to meet commercial demand, whether because of processing constraints or other disruptions, delays or difficulties that we experience, sales of the products and their long-term commercial prospects could be significantly damaged.</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presently have redundant suppliers for any of our product candidates. If the facilities where our product candidates are being manufactured and/or the associated equipment were significantly damaged or destroyed, or if there were other disruptions, delays or difficulties affecting manufacturing capacity, our planned and future clinical trials and commercial production for these product candidates would likely be significantly disrupted and delayed. It would be both time consuming and expensive to replace this capacity with third parties, particularly since any new facility would need to comply with regulatory requirements.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Ultimately, if we are unable to supply our cell therapy product candidates to meet commercial demand, were commercial approval to be obtained, whether because of processing constraints or other disruptions, delays or difficulties that we experience, our production costs could increase dramatically, and sales of the product and its long-term commercial prospects could be significantly damaged.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potential and profitability of our products are unknown and subject to significant risk and uncertainty.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Even if we successfully develop and obtain regulatory approval for our cell therapy product candidates, the market may not understand or accept the products, which could adversely affect both the timing and level of future sales. Ultimately, the degree of market acceptance of our product candidates (or any of our future product candidates) will depend on a number of factors, including:</w:t>
      </w:r>
    </w:p>
    <w:p>
      <w:pPr>
        <w:spacing w:after="0" w:line="73" w:lineRule="exact"/>
        <w:rPr>
          <w:sz w:val="20"/>
          <w:szCs w:val="20"/>
          <w:color w:val="auto"/>
        </w:rPr>
      </w:pPr>
    </w:p>
    <w:p>
      <w:pPr>
        <w:ind w:left="5620" w:right="3760" w:hanging="5288"/>
        <w:spacing w:after="0" w:line="653"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or competitive products; 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physician acceptance of our cell therapy approach to our target disease indications, include the ease or difficulty of administering the future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how the product is distributed or used;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 including whether we receive support from any patient advocacy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product supply in light of complex manufacturing and distribution processes;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distinguish our products (which involve adult cells) from any ethical and political controversies associated with stem cell products derived from human embryonic or fetal tissue;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the product, the reimbursement policies of government and third-party payors and our ability to obtain sufficient third-party coverage or reimbursement.</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Even if we are successful in achieving sales of our product candidates, it is not clear to what extent, if any, the products will be profitable. The costs of goods associated with production of cell therapy products are significant. While we are working to improve the speed and efficiency and lower the cost of our manufacturing processes, there can be no assurance that we will be successful in these efforts. In addition, some changes in manufacturing processes or procedures generally require FDA or foreign regulatory authority review and approval prior to implementation. Thus, we may need to conduct additional nonclinical studies and clinical trials to support approval of any such changes. Furthermore, this review process could be costly and time-consuming and could delay or prevent the commercialization of product candidates.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form or seek collaborations or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are essential to product commercialization or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the shares of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collaborations involving our product candidates, such as our collaborations with third-party research institutions, are subject to numerous risks, which may include the following:</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3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if we enter into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in the development and marketing of cell therapies and may be unsuccessful in our efforts to establish a profitable business.</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limited experience in the areas of cell therapy product development and marketing, and in the related regulatory issues and processes. Although we have recruited a team that has experience with designing and conducting clinical trials, as a company we have limited experience in conducting clinical trials and no experience in conducting clinical trials through to regulatory approval of any product candidate. In part because of this lack of experience, we cannot be certain that ongoing or planned clinical trials will begin or be completed on time, if at all.</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cell therapy business is based on novel technologies that are inherently expensive, risky and may not be understood by or accepted in the marketplace, which could adversely affect our future value.</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clinical development, commercialization and marketing of cell and tissue-based therapies are at an early stage, substantially research-oriented and financially speculative. To date, very few companies have been successful in their efforts to develop and commercialize a cell therapy product. In general, cell-based or tissue-based products may be susceptible to various risks, including undesirable and unintended side effects, unintended immune system responses, inadequate therapeutic efficacy, or other characteristics that may prevent or limit their approval or commercial use. Regulatory approval of novel product candidates such as CLBS12, CLBS14 and CLBS16, which are each manufactured using novel and proprietary manufacturing processes, can be more complex and expensive and take longer than other, more well-known or extensively studied pharmaceutical or biopharmaceutical products, due to the FDA’s lack of experience with them. To our knowledge, the FDA has only approved five autologous cell therapy products to date.</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lack of experience may lengthen the regulatory review process, require us to conduct additional studies or clinical trials, which would increase our development costs, lead to changes in regulatory positions and interpretations, delay or prevent approval and commercialization of these product candidates or lead to significant post-approval limitations or restrictions. Furthermore, the number of people who may use cell or tissue-based therapies is difficult to forecast with accuracy. Our future success is dependent on the establishment of a large global market for cell- and tissue-based therapies and our ability to capture a share of this market with our product candidates.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competitors develop and market products that are more effective, safer, or less expensive than our product candidates or offer other advantages, our commercial prospects will be limited.</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cell therapy development programs now face, and will continue to face, intense competition from pharmaceutical, biopharmaceutical and biotechnology companies, as well as numerous academic and research institutions and governmental agencies engaged in drug discovery activities or funding, both in the United States and abroad. Some of these competitors are pursuing the development of drugs and other therapies that target the same diseases and conditions that we are targeting with our product candidates.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general matter, we also face competition from many other companies that are researching and developing cell therapies. Many of these companies have financial and other resources substantially greater than ours. In addition, many of these competitors have significantly greater experience in testing pharmaceutical and other therapeutic products, obtaining FDA and other regulatory approvals, and marketing and selling FDA-approved products in highly regulated commercial health care markets. If we ultimately obtain regulatory approval for any of our product candidates, we also will be competing with respect to manufacturing efficiency and marketing capabilities, areas in which we have limited or no commercial-scale experience. Mergers and acquisitions in the pharmaceutical and biotechnology industries may result in resources being even more concentrated by our competitors. Competition may increase further as a result of advances made in the commercial applicability of our technologies and greater availability of capital for investment in these fields.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cell therapy product candidates for which we intend to seek approval as biologic products may face competition sooner than anticipated.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Biologics Price Competition and Innovation Act of 2009, or BPCIA, created an abbreviated pathway for licensure of so-called biosimilar and interchangeable biological products, both of which have specific defined meanings under the law.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reference product is approved for marketing in the U.S. a stand-alone BLA. The law is complex and is still being interpreted and implemented by the FDA. While it is uncertain when such processes intended to implement BPCIA may be fully adopted by the FDA, any such processes could have a material adverse effect on the future commercial prospects for our biological products.</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is a risk that the FDA will not consider any of our therapeutic candidates to be reference products for competing products, potentially creating the opportunity for generic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as well as unique state laws and government/private policies.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significant product liability claims and litigation, including potential exposure from the use of our product candidates in human subjects, and our insurance may be inadequate to cover claims that may arise.</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business exposes us to potential product liability risks inherent in the testing, processing and marketing of cell therapy products. Such liability claims may be expensive to defend and result in large judgments against us. We face an inherent risk of product liability exposure related to the testing of our current and any future product candidates in human clinical trials and will face an even greater risk with respect to any commercial sales of our products should they be approved. None of our product candidates have been widely used over an extended period of time, and therefore relevant safety data are limited. Cell therapy companies also derive the raw materials for manufacturing of product candidates from human cell sources, and therefore the manufacturing process and handling requirements, including ensuring compliance with cGTPs, are extensive, which increases the risk of quality failures and subsequent product liability claims. We presently have product liability insurance limited to $10 million per incident and $10 million in annual aggregate.</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need to increase our insurance coverage when we begin commercializing product candidates, if ever. At that time, we may not be able to obtain or maintain product liability insurance on acceptable terms with adequate coverage or at all, or if claims against us substantially exceed our coverage, then our financial position could be significantly impaired.</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Whether or not we are ultimately successful in any product liability litigation that may arise, such litigation could consume substantial amounts of our financial and managerial resources, decrease demand for our products and injure our reputation.</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seek to maintain errors and omissions, directors and officers, workers' compensation and other insurance at levels we believe to be appropriate to our business activities. If, however, we were subject to a claim in excess of this coverage or to a claim not covered by our insurance and the claim succeeded, we would be required to pay the claim from our own limited resources, which could have a material adverse effect on our financial condition, results of operations and business. Additionally, liability or alleged liability could harm our business by diverting the attention and resources of our management and damaging our reputation.</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retain key officers or employees or hire new key officers or employees needed to implement our business strategy and develop our products and businesses.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Given the specialized nature of cell therapy and that it is a relatively new field, there is an inherent scarcity of experienced personnel in the field. We are substantially dependent on the skills and efforts of current senior management for their management and operations, as well as for the implementation of our business strategy. In addition, our future success depends upon our ability to attract and retain additional qualified personnel (including medical, scientific, technical, commercial, business and administrative personnel) necessary to support our anticipated growth, develop our business, perform our contractual obligations to third parties and maintain appropriate licensure. There can be no assurance that we will be successful in attracting or retaining personnel required by us to continue to grow our operations. The loss of a key employee, the failure of a key employee to perform in his or her current position or our inability to attract and/or retain skilled employees, as needed, could result in our inability to continue to grow our business or to implement our business strategy, or may have a material adverse effect on our business, financial condition and operating results.</w:t>
      </w:r>
    </w:p>
    <w:p>
      <w:pPr>
        <w:spacing w:after="0" w:line="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clinical research organizations or other contractors or consultants, may fail or suffer security breaches, which could result in a material disruption of development programs for our product candidates.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information technology systems to keep financial records, maintain laboratory and corporate records, communicate with staff and external parties and operate other critical functions. Any significant insufficiency degradation or failure of these computer systems could cause us to inaccurately calculate or lose our data. Despite the implementation of security measures, these internal computer systems and those used by our clinical investigators, clinical research organizations, and other contractors and consultants are vulnerable to damage from computer viruses, unauthorized access, natural disasters, terrorism, war, and telecommunication and electrical failures. The techniques that could be used by criminal elements or foreign governments to attack these computer systems are sophisticated, change frequently and may originate from less regulated and remote areas of the world. While we have not experienced any such system failure, theft of information, accident or security breach to date, if such an event were to occur and cause interruptions in its operations, it could result in a material disruption of our clinical development activities. For example, the loss of clinical trial data from historical or future clinical trials could result in delays in regulatory approval efforts and significantly increase costs to recover or reproduce the data. To the extent that any disruption, theft of information, or security breach were to result in a loss of or damage to data or applications, or inappropriate disclosure of confidential or proprietary information, we could incur liability and the clinical development, and the future development of our product candidates could be delayed.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Social media is increasingly being used to communicate information about our products and the diseases that our therapies are designed to treat. Social media practices in our industry continue to evolve and regulations related to such use are not always clear. This evolution creates uncertainty and risk of noncompliance with regulations applicable to our business. For example, patients and others may use social media channels to comment on the effectiveness of a product or to report an alleged adverse event. When such disclosures occur, we may fail to monitor and comply with applicable adverse event reporting obligations or we may not be able to defend against political and market pressures generated by social media due to restrictions on what we may say about our products. There is also a risk of inappropriate disclosure of sensitive information or negative or inaccurate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OUR DEVELOPMENT PRODUCT CANDIDATES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internal capacity to manufacture our development product candidates and have no assurance that we will continue to have access to manufacturers in our industry that can effectively make our development products or make them at an affordable, salable or otherwise commercially reasonable price or quantity.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 manufacturers have a finite manufacturing capacity, which could inhibit the long-term growth prospects of our business.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have no manufacturing contracts to produce materials for our clinical trials in the United States. It is possible that the demand for our products could exceed existing manufacturing capacity. We expect that, as our own cell therapy development programs progress and demand for cell therapy services in the industry expand, it may become necessary or desirable for us to expand our manufacturing vendors for cell therapy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 The manufacture of live cellular-based products is complex and imposes significant regulatory burdens that may change over time. We may encounter difficulties in the production of our product candidates due to our limited manufacturing experience.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improve manufacturing efficiency at our contract manufacturers in order to establish cost of goods levels that will permit approved products to succeed commercially.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CMOs cannot provide assurances that they will be able to develop process enhancements that are acceptable to regulators or other comparable regulatory authorities, on a timely basis, on commercially reasonable terms, or at all, or that any expected improvement in profitability will be realized. If they are unsuccessful in their efforts to develop necessary improvements, we may be unable to develop commercially viable products, which would impair our ability to continue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access to safe, reliable and effective transportation options could adversely affect our ability to meet our needs.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effectively and efficiently deliver our cell therapy product, we also need to establish and maintain cost-effective relationships with reliable and experienced transportation carriers. Most existing transportation carriers are not optimally designed for the transportation of cell therapy products. For example, these carriers generally lack a true point-to-point chain of control, may have non-controlled X-ray and inspection, do not guarantee package orientation, handling or storage conditions and, in many cases, lack a standard, documented and tracked operating procedures. While reliable ground carriers with experience in the transport of blood products exist in major U.S. metropolitan areas, air carriers meeting such needs are limited. If carriers we currently use should cease medical shipping operations or otherwise become unable to properly meet our transportation needs or comply with applicable customs and import regulations, the lack of access to safe, reliable and effective transportation options could adversely affect our ability to meet our needs.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development and commercialization of our product candidates are subject to extensive regulation by the FDA and other regulatory agencies in the United States and abroad, and the failure to receive regulatory approvals for our cell therapy product candidates would likely have a material and adverse effect on our business and prospects.</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and promotion, distribution, marketing, import and export of pharmaceutical and biological products, such as CLBS12, CLBS14 and CLBS16. The process of obtaining required regulatory approvals and the subsequent compliance with appropriate statutes and regulations requires the expenditure of substantial time and money, and there is no guarantee that we will successfully complete the steps needed to obtain regulatory approval of CLBS12, CLBS14 or CLBS16 or any future product candidates. There also are extensive and ongoing post-marketing compliance obligations to which we would be subject following FDA approval of any of our product candidates. In addition, these federal regulations may change, and our product candidates may be subject to new laws or regulations due to the rapid advancement of the regenerative medicine field and legislators'/regulators' interest in it.</w:t>
      </w:r>
    </w:p>
    <w:p>
      <w:pPr>
        <w:spacing w:after="0" w:line="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date, we have not received regulatory approval to market any of our product candidates in any jurisdiction. If we seek approval of any of our cell therapy product candidates, we will be required to submit to FDA and Japanese and potentially other regulatory authorities extensive preclinical and clinical data supporting the safety and efficacy of such products, as well as information about the manufacturing process and to undergo inspection of manufacturing facilities, among other things. The process of obtaining FDA and other regulatory approvals is expensive, typically takes many years and is subject to numerous risks and uncertainties, particularly with complex and/or novel product candidates such as our cell-based product candidates. Changes in regulatory approval policies during the clinical research and development period, changes in or the enactment of additional statutes or regulations, or changes in regulatory review for each submitted product application, may cause delays in the approval or rejection of an application or may make it easier for our competitors to gain regulatory approval to enter the marketplace. Ultimately, the FDA and other regulatory agencies have substantial discretion in the approval/licensure process and may refuse to accept any application or may decide that our product candidate data are insufficient for approval without the submission of additional preclinical, clinical or other time-consuming studies. In addition, varying agency interpretations of the data obtained from preclinical and clinical testing could delay, limit or prevent regulatory approval of a product candidate. Any regulatory approval we ultimately obtain may be limited or subject to restrictions or post-approval commitments that render the approved product not commercially viable.</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following factors, among others, could cause regulatory approval for our product candidates to be delayed, limited or denied:</w:t>
      </w:r>
    </w:p>
    <w:p>
      <w:pPr>
        <w:spacing w:after="0" w:line="117"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candidates require significant clinical testing to demonstrate safety and effectiveness before applications for marketing approval can be submitted to the FDA and other regulatory authorities;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obtained from animal testing and other nonclinical testing and clinical trials can be interpreted in different ways, and regulatory authorities may not agree with our respective interpretations or may require us to conduct additional testing;</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or the occurrence of serious or unexpected adverse events during a clinical trial could cause us to delay or terminate development efforts for a product candidate; and/or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and other regulatory authorities may require expansion of the size and scope of the clinical trials.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difficulties or failures that we encounter in securing regulatory approval for our product candidates would likely have a substantial adverse impact on our ability to generate product sales and could make any search for a collaborative partner more difficult.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unsuccessful in our efforts to comply with applicable federal, state and international laws and regulations, which could result in loss of licensure, certification or accreditation or other government enforcement actions or impact our ability to secure regulatory approval of our product candidates.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seek to conduct our business in compliance with applicable laws and regulations, these laws and regulations are exceedingly complex and often subject to varying interpretations. The cell therapy industry is the topic of significant government interest, and thus the laws and regulations applicable to our business are subject to frequent change and/or reinterpretation. As such, there can be no assurance that we will be able, or will have the resources, to maintain compliance with all applicable biopharmaceutical and health care laws and regulations. Failure to comply with such biopharmaceutical and health care laws and regulations could result in significant enforcement actions, civil or criminal penalties, which along with the costs associated with such compliance or with enforcement of such biopharmaceutical and health care laws and regulations, may have a material adverse effect on our operations or may require restructuring of our operations or impair our ability to operate profitably.</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Facilities engaged in the recovery, processing, storage, labeling, packaging or distribution of any human cells, tissues or cellular- and tissue-based products, or the screening or testing of a donor, are required to register with the applicable regulatory agencies. Any third party retained by us to process our samples must be similarly registered with regulators and comply with applicable regulations as well as applicable cGTP regulations and any failure to comply with these requirements could adversely affect our business.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cGTPs, cGMP regulations govern the manufacture, processing, packaging and holding of cell therapy products that are regulated as drugs. Any third-party manufacturers that prepare our products must comply with cGMP requirements including quality control, quality assurance and the maintenance of records and documentation for certain products. They may be unable to comply with these cGMP requirements and with other national regulators and state and local regulatory requirements. These requirements may change over time and we or third-party manufacturers may be unable to comply with the revised requirements.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conduct clinical trials in accordance with regulations and accepted standards, we may be delayed in receiving, or may never receive, regulatory approvals of our product candidates from the FDA and other regulatory authorities.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obtain marketing approvals for our product candidates in the United States and abroad, we must, among other requirements, complete adequate and well-controlled clinical trials sufficient to demonstrate to the FDA and other regulatory bodies that the product candidate is safe and effective for each indication for which approval is sought. If the FDA finds that patients enrolled in the trial are or would be exposed to an unreasonable and significant risk of illness or injury, due to, among other things, occurrence of one or more serious adverse events in an ongoing clinical trial, the FDA can place one or more of our clinical trials on partial or full clinical hold. If safety concerns develop, we may, or the FDA, a foreign regulatory authority, or an IRB may require us to, stop the affected trials before completion.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completion of our clinical trials also may be delayed or terminated for a number of other reasons, including if:</w:t>
      </w:r>
    </w:p>
    <w:p>
      <w:pPr>
        <w:spacing w:after="0" w:line="117" w:lineRule="exact"/>
        <w:rPr>
          <w:sz w:val="20"/>
          <w:szCs w:val="20"/>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clinical investigators do not perform the clinical trials on the anticipated schedule or consistent with the clinical trial protocol, GCPs required by the FDA and other regulatory requirements, or other third parties do not perform data collection and analysis in a timely or accurate manner;</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inspections of clinical trial sites by the FDA or by IRBs of research institutions participating in the clinical trials, reveal regulatory violations that require the sponsor of the trial to undertake corrective action, suspend or terminate one or more sites, or prohibit use of some or all of the data in support of marketing applications; or</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one or more IRBs suspends or terminates the trial at an investigational site or precludes enrollment of additional subjects.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development costs will increase if there are material delays in our clinical trials, or if we are required to modify, suspend, terminate or repeat a clinical trial. If we are unable to conduct our clinical trials properly, we may never receive regulatory approval to market our product candidates.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numerous and varying privacy and security laws, and our failure to comply could result in penalties and reputational damage.</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U.S., we may be subject to state security breach notification laws, state health information privacy laws and federal and state consumer protections laws which impose requirements for the collection, use, disclosure and transmission of personal information. Each of these laws are subject to varying interpretations by courts and government agencies, creating complex compliance issues for us. If we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 to comply with applicable laws and regulations we could be subject to penalties or sanctions, including criminal penalties if we knowingly obtain individually identifiable health information from a covered entity in a manner that is not authorized or permitted by HIPAA or for aiding and abetting the violation of HIPAA.</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Numerous other countries have, or are developing, laws governing the collection, use and transmission of personal information as well. EU member states and other jurisdictions have adopted data protection laws and regulations, which impose significant compliance obligations. In May 2016, the European Union formally adopted the General Data Protection Regulation (GDPR), which applies to all EU member states from May 25, 2018 and replaced the EU Data Protection Directive The regulation introduces stringent new data protection requirements in the European Union and substantial fines for breaches of the data protection rules. It has increased our responsibility and liability in relation to personal data that we process and we may be required to put in place additional mechanisms ensuring compliance with the new EU data protection rules. The GDPR is a complex law and the regulatory guidance is still evolving, including with respect to how the GDPR should be applied in the context of clinical studies.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be subject to extensive regulation following any product approvals, and if we fail to comply with these regulations, we may suffer a significant setback in our business.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Even if we are successful in obtaining regulatory approval of our product candidates, we will continue to be subject to the requirements of and review by, the FDA and comparable regulatory authorities in the areas of manufacturing processes, quality assurance, post-approval clinical data, adverse event reporting, labeling, advertising and promotional activities, among other things. In addition, any marketing approval we receive may be limited in terms of the approved product indication or require costly post-marketing testing and surveillance. Discovery after approval of previously unknown problems with a product, manufacturer or manufacturing process, or a failure to comply with regulatory requirements, may result in actions such as:</w:t>
      </w:r>
    </w:p>
    <w:p>
      <w:pPr>
        <w:spacing w:after="0" w:line="50"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or untitled letters or other actions requiring changes in product manufacturing processes or restrictions on product marketing or distribution;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or seizures or the temporary or permanent withdrawal of a product from the market;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 the imposition of civil penalties or criminal prosecution.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occurrence of any of these actions would likely cause a material adverse effect on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if we or others identify undesirable side effects, or other previously unknown problems, caused by our product candidates after obtaining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or foreign regulatory approval or other products with the same or related active ingredients, a number of potential consequences could result, including:</w:t>
      </w:r>
    </w:p>
    <w:p>
      <w:pPr>
        <w:spacing w:after="0" w:line="12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 recall of the product or we may voluntarily recall a product;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warnings or contradictions in the product labeling, narrowing of the indication in the product label or issuance of field alerts to physicians and pharmacies;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institute a REMS;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limitation as to how we promote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modify the product in some other way;</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applicable foreign regulatory authority may require additional clinical trials or costly post-marketing testing and surveillance to monitor the safety or efficacy of the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brand and reputation may suffer.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 care companies have been the subject of federal and state investigations, and we could become subject to investigations in the future.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Both federal and state government agencies have heightened civil and criminal enforcement efforts. There are numerous ongoing investigations of health care companies, including drug, biologic and medical device companies, as well as their executives and managers. In addition, amendments to the Federal False Claims Act, including under health care reform, have made it easier for private parties to bring “</w:t>
      </w:r>
      <w:r>
        <w:rPr>
          <w:rFonts w:ascii="Arial" w:cs="Arial" w:eastAsia="Arial" w:hAnsi="Arial"/>
          <w:sz w:val="17"/>
          <w:szCs w:val="17"/>
          <w:i w:val="1"/>
          <w:iCs w:val="1"/>
          <w:color w:val="auto"/>
        </w:rPr>
        <w:t>qui tam</w:t>
      </w:r>
      <w:r>
        <w:rPr>
          <w:rFonts w:ascii="Arial" w:cs="Arial" w:eastAsia="Arial" w:hAnsi="Arial"/>
          <w:sz w:val="17"/>
          <w:szCs w:val="17"/>
          <w:color w:val="auto"/>
        </w:rPr>
        <w:t>” (whistleblower) lawsuits against companies under which the whistleblower may be entitled to receive a percentage of any money paid to the government. The Federal False Claims Act provides, in part, that an action can be brought against any person or entity that has knowingly presented, or caused to be presented, a false or fraudulent request for payment from the federal government, or who has made a false statement or used a false record to get a claim approved. The government has taken the position that claims presented in violation of the federal anti-kickback law, Stark Law or other health care-related laws, including laws enforced by the FDA, may be considered a violation of the Federal False Claims Act. Penalties include substantial fines for each false claim, plus three times the amount of damages that the federal government sustained because of the act of that person or entity and/or exclusion from the Medicare program. In addition, a majority of states have adopted similar state whistleblower and false claims provisions.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not aware of any government investigations involving any of our facilities or management. While we believe that we are in material compliance with applicable governmental health care laws and regulations, any future investigations of our business or executives could cause us to incur substantial costs, and result in significant liabilities or penalties, as well as damage to our reputation.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It is uncertain to what extent government, private health insurers and third-party payors will approve coverage or provide reimbursement for the therapies and products to which our research and development relate. Availability for such reimbursement may be further limited by an increasing uninsured population and reductions in Medicare and Medicaid funding in the United States.</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the extent that health care providers cannot obtain coverage or reimbursement for our therapies and products, they may elect not to provide such therapies and products to their patients and, thus, may not need our services. Further, as cost containment pressures are increasing in the health care industry, government and private payors may adopt strategies designed to limit the amount of reimbursement paid to health care providers.</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Similarly, the trend toward managed health care and bundled pricing for health care services in the United States, could significantly influence the purchase of health care services and products, resulting in lower prices and reduced demand for our therapeutic products under development.</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receive a portion of our revenues from services rendered to patients enrolled in federal health care programs, such as Medicare, and we may also directly or indirectly receive revenues from federal health care programs. Federal health care programs are subject to changes in coverage and reimbursement rules and procedures, including retroactive rate adjustments. These contingencies could materially decrease the range of services covered by such programs or the reimbursement rates paid directly or indirectly for our products and services. To the extent that any health care reform favors the reimbursement of other therapies over our therapeutic products under development, such reform could affect our ability to sell our services, which may have a material adverse effect on our revenues.</w:t>
      </w:r>
    </w:p>
    <w:p>
      <w:pPr>
        <w:spacing w:after="0" w:line="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limitation on reimbursement available from private and government payors may reduce the demand for, or the price of, our services, which could have a material adverse effect on our revenues. Additional legislation or regulation relating to the health care industry or third-party coverage and reimbursement may be enacted in the future which could adversely affect the revenues generated from the sale of our products and services.</w:t>
      </w:r>
    </w:p>
    <w:p>
      <w:pPr>
        <w:spacing w:after="0" w:line="5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Furthermore, there has been a trend in recent years towards reductions in overall funding for Medicare and Medicaid. There has also been an increase in the number of people who do not have any form of health care coverage in recent years and who are not eligible for or enrolled in Medicare, Medicaid or other governmental programs. The extent to which the reforms brought about under health care reform may be successful in reducing the number of such uninsured is unclear, and the reduced funding of governmental programs and increase in uninsured populations could have a negative impact on the demand for our services to the extent they relate to products and services which are reimbursed by government and private payors.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Unintended consequences of health care reform legislation in the U.S. may adversely affect our business.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health care industry is undergoing fundamental changes resulting from political, economic and regulatory influences. In the U.S., comprehensive programs are under consideration that seek to, among other things, increase access to health care for the uninsured and control the escalation of health care expenditures within the economy. In March 2010, the Patient Protection and Affordable Care Act (“PPACA”), as amended by the Health Care and Education Reconciliation Act, or the Affordable Care Act, was passed, which substantially changes the way health care is financed by both governmental and private insurers, and significantly impacts the U.S. pharmaceutical industry. While we do not believe this legislation will have a direct impact on our business, the legislation requires the adoption of implementing regulations, which may have unintended consequences or indirectly impact our business. For instance, the scope and implications of the amendments pursuant to the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Fraud Enforcement and Recovery Act of 2009 (“FERA”), have yet to be fully determined or adjudicated and as a result it is difficult to predict how future enforcement initiatives may impact our business. Also, in some instances our clients may be health insurers that will be subject to limitations on their administrative expenses and federal review of “unreasonable” rate increases that could impact the prices they pay for our services. If the legislation causes such unintended consequences or indirect impact, it could have a material adverse effect on our business, financial condition and results of operations.</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PPACA was enacted. On August 2, 2011, the Budget Control Act of 2011 was signed into law, which, among other things, creates the Joint Select Committee on Deficit Reduction to recommend proposals in spending reductions to Congress. The Joint Select Committee did not achieve a targeted deficit reduction of at least $1.2 trillion for the years 2013 through 2021, triggering the legislation’s automatic reduction to several government programs. This included aggregate reductions to Medicare payments to providers of up to 2% per fiscal year, which went into effect on April 1, 2013. On January 2, 2013, the American Taxpayer Relief Act of 2012 was signed into law, which, among other things, further reduced Medicare payments to several providers, including hospitals, and increased the statute of limitations period for the government to recover overpayments to providers from three to five years. Strong, partisan disagreement in Congress has prevented implementation of various PPACA provisions, and the Trump Administration has made repeal of the PPACA a priority. One of the first executive orders of the Trump administration granted federal agencies broad powers to unwind regulations under the PPACA. On January 11, 2017, the Senate voted to approve a “budget blueprint” allowing Republicans to repeal parts of the law while avoiding Democrat filibuster. The “Obamacare Repeal Resolution” passed 51-48. Certain legislators are continuing their efforts to repeal the PPACA, although there is little clarity on how such a repeal would be implemented and what a PPACA replacement might look like. For the immediate future, there is significant uncertainty regarding the health care, health care coverage and health care insurance markets.</w:t>
      </w:r>
    </w:p>
    <w:p>
      <w:pPr>
        <w:spacing w:after="0" w:line="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U.S. government has in the past considered, is currently considering and may in the future consider health care policies and proposals intended to curb rising health care costs, including those that could significantly affect both private and public reimbursement for health care services. State and local governments, as well as a number of foreign governments, are also considering or have adopted similar types of policies. Future significant changes in the health care systems in the United States or elsewhere, and current uncertainty about whether and how changes may be implemented, could have a negative impact on the demand for our products. We are unable to predict whether other health care policies, including policies stemming from legislation or regulations affecting our business, may be proposed or enacted in the future; what effect such policies would have on our business; or the effect ongoing uncertainty about these matters will have on the purchasing decisions of our customers.</w:t>
      </w:r>
    </w:p>
    <w:p>
      <w:pPr>
        <w:spacing w:after="0" w:line="97" w:lineRule="exact"/>
        <w:rPr>
          <w:sz w:val="20"/>
          <w:szCs w:val="20"/>
          <w:color w:val="auto"/>
        </w:rPr>
      </w:pPr>
    </w:p>
    <w:p>
      <w:pPr>
        <w:jc w:val="both"/>
        <w:ind w:firstLine="324"/>
        <w:spacing w:after="0" w:line="358" w:lineRule="auto"/>
        <w:rPr>
          <w:sz w:val="20"/>
          <w:szCs w:val="20"/>
          <w:color w:val="auto"/>
        </w:rPr>
      </w:pPr>
      <w:r>
        <w:rPr>
          <w:rFonts w:ascii="Arial" w:cs="Arial" w:eastAsia="Arial" w:hAnsi="Arial"/>
          <w:sz w:val="16"/>
          <w:szCs w:val="16"/>
          <w:color w:val="auto"/>
        </w:rPr>
        <w:t>We expect that additional state and federal health care reform measures will be adopted in the future, any of which could limit the amounts that federal and state governments will pay for health care products and services, which could result in reduced demand for our products or additional pricing pressures</w:t>
      </w:r>
      <w:r>
        <w:rPr>
          <w:rFonts w:ascii="Arial" w:cs="Arial" w:eastAsia="Arial" w:hAnsi="Arial"/>
          <w:sz w:val="19"/>
          <w:szCs w:val="19"/>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some countries, particularly the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where we may seek to market our product candidates in the future, we may be required to conduct a clinical trial or other studies that compare the cost-effectiveness of our product candidate to other available therapies in order to obtain or maintain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Competitor companies or hospitals may be able to take advantage of EU rules permitting sales of unlicensed medicines for individual patients to sell competing products without a marketing authorization.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 care professional and for use by an individual patient under his direct personal responsibility. This may in certain countries also apply to products manufactured in a country outside the EU and imported to treat specific patients or small groups of patients. In addition, designated advanced therapy medicinal products do not need a marketing authorization if they are prepared on a non-routine basis and are used within the same EU member state in a hospital in accordance with a medical prescription for an individual patient.</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117"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3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coverage and reimbursement requirements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laws, such as the U.K. Anti-Bribery Act;</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left="660" w:firstLine="324"/>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patent protection for our products and product candidates, which could have a material adverse effect on our business.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commercial success will depend, in part, on obtaining and maintaining patent protection for new technologies, product candidates, products and processes and successfully defending such patents against third-party challenges. To that end, we file patent applications, and have been issued patents, that are intended to cover certain methods and uses of human cells as well as compositions and methods relating to hematopoietic stem cells. These patent applications may never result in the issuance of patents.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patent positions of biotechnology companies can be highly uncertain and involve complex legal, scientific and factual questions and recent court decisions have introduced significant uncertainty regarding the strength of patents in the industry. Moreover, the legal systems of some foreign countries do not favor the aggressive enforcement of patents and may not protect our intellectual property rights to the same extent as the laws of the United States. Any of the issued patents we own or license may be challenged by third parties and held to be invalid, unenforceable or with a narrower or different scope of coverage than what we currently believe, effectively reducing or eliminating protection we believed we had against competitors with similar products or technologies. If we ultimately engage in and lose any such patent disputes, we could be subject to competition and/or significant liabilities, we could be required to enter into third-party licenses or we could be required to cease using the disputed technology or product. In addition, even if such licenses are available, the terms of any license requested by a third party could be unacceptable or unaffordable to us.</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 development and approval timelines in the biotechnology industry are very lengthy. As such, it is possible that any patents that may cover an approved product may have expired at the time of commercialization or only have a short remaining period of exclusivity, thereby reducing the commercial advantages of the patent. In such case, we would then rely solely on other forms of exclusivity, such as regulatory exclusivity provided by the FDC Act, which may provide less protection to our competitive position.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Litigation relating to intellectual property is expensive, time-consuming and uncertain, and we may be unsuccessful in our efforts to protect against infringement by third parties or defend ourselves against claims of infringement.</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protect our intellectual property, we may initiate litigation or other proceedings. In general, intellectual property litigation is costly, time-consuming, diverts the attention of management and technical personnel and could result in substantial uncertainty regarding our future viability, even if we ultimately prevail. Some of our competitors may be able to sustain the costs of such litigation or other proceedings more effectively than can we because of their substantially greater financial resources. The loss or narrowing of our intellectual property protection, the inability to secure or enforce our intellectual property rights or a finding that we have infringed the intellectual property rights of a third party could limit our ability to develop or market our products and services in the future or adversely affect our revenues. Furthermore, any public announcements related to such litigation or regulatory proceedings could adversely affect the price of our common stock.</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Third parties may allege that the research, development and commercialization activities we conduct infringe patents or other proprietary rights owned by such parties. While we do not believe any of our current activities infringe the rights of others, we have not conducted an exhaustive search or analysis of third-party patent rights to determine whether our pre-clinical or clinical research and development or activities may infringe or be alleged to infringe any third-party patent rights. If we are found to have infringed the patents of a third party, we may be required to pay substantial damages; we also may be required to seek from such party a license, which may not be available on acceptable terms, if at all, to continue our activities. A judicial finding or infringement or the failure to obtain necessary licenses could prevent us from commercializing our products, which would have a material adverse effect on our business, operating results and financial condition.</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licenses, patents or other intellectual property we could lose important protections that are material to continuing our operations and our future prospects.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obtain and maintain patent protection and licensing rights under certain of our license agreement, we must, among other things, ensure the timely payment of all applicable filing and maintenance fees. Any failure to do so could result in the loss of some or all of our rights to proprietary technology or the inability to secure or enforce intellectual property protection.</w:t>
      </w:r>
    </w:p>
    <w:p>
      <w:pPr>
        <w:spacing w:after="0" w:line="7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Additionally, our license agreements require us to meet certain diligence obligations in the development of the licensed products. Our failure to meet these diligence obligations could result in the loss of some or all of our rights, which could materially and adversely affect our business and future prospects.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trade secrets, our competitive position could be impaired.</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significant amount of our technology, especially regarding manufacturing processes, is unpatented and is maintained as trade secrets and /or know-how. We expend significant energy, resources and know-how in an effort to protect these trade secrets and know-how, including through the use of confidentiality agreements. Even so, improper use or disclosure of our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confidential information could occur, and in such case, adequate remedies may not exist. The disclosure of trade secrets and know-how could impair our competitive position.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countries, patent holders may be required to grant compulsory licenses, which would likely have a significant and detrimental effect on any future revenues in such country.</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countries, including some countries in Europe, have compulsory licensing laws under which a patent owner may be compelled to grant licenses to third parties. In addition, most countries limit the enforceability of patents against government agencies or government contractors. In these countries, the patent owner may be limited to monetary relief and may be unable to enjoin infringement, which could materially diminish the value of the patent. Compulsory licensing of life-saving products is also becoming increasingly common in developing countries, either through direct legislation or international initiatives. Such compulsory licenses could be extended to our product candidates, which may limit our potential revenue opportunities, including with respect to any future revenues that may result from our product candidates.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patent law may have a material adverse effect on our intellectual property rights.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Leahy-Smith America Invents Act (AIA), which was signed into law on September 16, 2011, significantly changed United States patent law. It may take some time to establish what the law means, since it is just being interpreted by the lower courts, and any lower court decisions have not been reviewed by either the Federal Circuit Court of Appeals or the Supreme Court, a process that will take years. The first major change is that AIA switches the U.S. patent system from a “first to invent” system to a “first to file” system. Now that the first to file system is in effect, there is a risk that another company may independently develop identical or similar patents at approximately the same time and be awarded the patents instead of us. Further, in the second major change, AIA abolished interference proceedings, and establishes derivation proceedings to replace interference proceedings in all cases in which the time period for instituting an interference proceeding has not lapsed where an inventor named in an earlier application derived the claimed invention from a named inventor. Now that the derivation proceedings are in effect, there is a risk that the inventorship of any pending patent application can be challenged for reasons of derivation. The third major change is that AIA established post-grant opposition proceedings that will apply only to patent applications filed after “first to file” became effective. Post-grant opposition will enable a person who is not the patent owner to initiate proceedings in the patent office within 9 months after the grant of a patent that can result in cancellation of a patent as invalid. There is a risk, therefore, that any of our patents once granted after the effective date of these provisions of the AIA (March 16, 2013) may be subject to post-grant opposition, which will increase uncertainty on the validity of any newly granted patent or may ultimately result in cancellation of the patent.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commercial success depends in part on our avoiding infringement of the patents, trademarks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 Patent and Trade Office (the "USPTO") and corresponding foreign patent offices and trademark violations. Numerous U.S. and foreign issued patents and pending patent applications, which are owned by third parties, exist in the fields in which we are developing products and services. As the biotechnology and pharmaceutical industries expand and more patents are issued, the risk increases that our products and services may be subject to claims of infringement of the patent rights of third parties.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devices, materials, formulations, methods of manufacture, or methods for treatment related to the use or manufacture of our products and services. We have conducted freedom to operate analyses with respect to only certain of our products and services, and therefore we do not know whether there are any third-party patents that would impair our ability to commercialize these products and services. We also cannot guarantee that any of our analyses are complete and thorough, nor can we be sure that we have identified each and every patent and pending application in the United States and abroad that is relevant or necessary to the commercialization of our products and services. Because patent applications can take many years to issue, there may be currently pending patent applications that may later result in issued patents that our products or services may infringe upon.</w:t>
      </w:r>
    </w:p>
    <w:p>
      <w:pPr>
        <w:spacing w:after="0" w:line="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third parties may obtain patents in the future and claim that use of our technologies infringes upon these patents. If any third-party patents were held by a court of competent jurisdiction to cover aspects of our products or services, the holders of any such patents may be able to block our ability to commercialize such products or services unless we obtained a license under the applicable patents, or until such patents expire or are finally determined to be invalid or unenforceable. Such a license may not be available on commercially reasonable terms or at all.</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products or services. Defense of these claims, regardless of their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highly volatile.</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market price of our common stock has been, and in the future may continue to be, highly volatile. For example, from January 1, 2019 through March 5, 2020 our common stock traded as low as $2.00 per share and as high as $5.44 per share.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for our common stock is highly dependent on, among other things, stock market conditions in general, our clinical development efforts and the growth of our business in general, the amount of our available cash and investments and our level of cash utilization. Future events could increase the volatility seen in our common stock and ultimately cause a significant decline in the price of our common stock and ultimately impact our ability to raise additional capital in the future. These events could include the following, among others:</w:t>
      </w:r>
    </w:p>
    <w:p>
      <w:pPr>
        <w:spacing w:after="0" w:line="7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 levels of trading volume for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capital-raising or other transactions that are, or may in the future be, dilutive to existing stockholders or that involve the issuance of debt securities;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our clinical trials, negative clinical trial results or adverse regulatory decisions relating to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fluctuations in our revenues or operating results or financial results that otherwise fall below the market's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disappointing developments concerning our cell therapy product candidates;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positive developments concerning our cell therapy product candidates that lead to the need for additional capital to complete the development process;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legal challenges, disputes and/or other adverse developments impacting our patents or other proprietary rights that protect our products.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broader external events, such as news concerning economic or market conditions in the general economy or within our industry, the activities of our competitors, changes (or the threat of changes) in U.S. or foreign government regulations impacting the life sciences industry or the movement of capital into or out of our industry, are likely to affect the price of our common stock. There can be no assurance that the market price of our common stock will not continue to fluctuate or decline significantly in the future.</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 addition to potential dilution associated with future fundraising transactions, we currently have significant numbers of securities outstanding that are exercisable for our common stock, which could result in significant additional dilution and downward pressure on our stock price.</w:t>
      </w:r>
    </w:p>
    <w:p>
      <w:pPr>
        <w:spacing w:after="0" w:line="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December 31, 2019, there were 10,528,689 shares of our common stock outstanding. In addition, there were outstanding stock options, restricted stock units and warrants representing the potential issuance of an additional 1,192,539 shares of our common stock. The issuance of these shares in the future would result in significant dilution to our current stockholders and could adversely affect the price of our common stock and the terms on which we could raise additional capital. In addition, the issuance and subsequent trading of shares could cause the supply of our common stock available for purchase in the market to exceed the purchase demand for our common stock. Such supply in excess of demand could cause the market price of our common stock to decline.</w:t>
      </w:r>
    </w:p>
    <w:p>
      <w:pPr>
        <w:spacing w:after="0" w:line="5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Sales of our common stock pursuant to our at-the-market sales agreement with H.C. Wainwright &amp; Co. may cause substantial dilution to our existing stockholders and the sale of such shares of common stock could cause the price of our common stock to decline.</w:t>
      </w:r>
    </w:p>
    <w:p>
      <w:pPr>
        <w:spacing w:after="0" w:line="3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entered into a Common Stock Sales Agreement with H.C. Wainwright &amp; Co. in February 2018, which was subsequently amended on August 2, 2018, pursuant to which we may sell up to $25 million of shares of our common stock over the term of that agreement, subject to certain terms and conditions.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permitted to offer and sell at such time was reduced to $17.6 million (or a maximum of 4.8 million shares), which was equal to one-third of the aggregate market value of our common stock held by non-affiliates at such time.</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Sales by us pursuant to the sales agreement may result in substantial dilution to the interests of other holders of our common stock. The sale of a substantial number of shares of our common stock, or anticipation of such sales, could make it more difficult for us to sell equity or equity-related securities in the future at a time and at a price that we might otherwise wish to effect sales. However, we have the right to control the timing and amount of any sales of our shares under the sales agreement and may be terminated by us at any time at our discretion without any cost to us.</w:t>
      </w:r>
    </w:p>
    <w:p>
      <w:pPr>
        <w:spacing w:after="0" w:line="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of directors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 without stockholder approval.</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in accordance with Section 404 of the Sarbanes-Oxley Act could have a material adverse effect on our business and stock price.</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course of testing our disclosure controls and procedures and internal control over financial reporting, we may identify and disclose material weaknesses or significant deficiencies in internal control over financial reporting that will have to be remedied. Implementing any appropriate changes to our internal control may require specific compliance training of our directors, officers and employees, entail substantial costs to modify our existing accounting systems, and take a significant period of time to complete. Such changes may not, however, be effective in maintaining the adequacy of our internal control over financial reporting, and any failure to maintain that adequacy or inability to produce accurate financial statements on a timely basis could result in our financial statements being unreliable, increase our operating costs and materially impair our ability to operate our business.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Failure to achieve and maintain effective internal control over financial reporting could result in a loss of investor confidence in our financial reports and could have a material adverse effect on our stock price. Additionally, failure to maintain effective internal control over our financial reporting could result in government investigation or sanctions by regulatory authorities.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comply with the continued listing requirements of the Nasdaq Capital Market, such that our common stock may be delisted and the price of our common stock and our ability to access the capital markets could be negatively impacted.</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common stock is listed for trading on the Nasdaq Capital Market.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corporate headquarters are in Basking Ridge, New Jersey. The space is approximately 11,600 rentable square feet. The base monthly rent is approximately $24,000 and the lease term ends May 31, 2022. In addition, there are two five-year renewal options. In July 2019, we executed a three-year lease extension for the approximately 3,400 rentable square feet in our Rye Brook, New York office, which extension expires in March 2023. The base monthly rent for our Rye Brook office is approximately $8,900. We believe the total leased space is sufficient for the near future.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certain legal proceedings in the ordinary course of business. We do not believe that any current legal proceedings are likely to have a material effect on our business, financial condition or results of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Nasdaq Capital Market under the symbol “CLBS.”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5, 2020, there were approximately 693 stockholders of record of our common stock.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Dividend Policy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paid cash dividends on our common stock. The holders of our common stock are each entitled to receive dividends when and if declared by the board of directors out of funds legally available therefor, subject to the terms of any outstanding series of preferred stock. We intend to retain any future earnings to fund the development and growth of our business, and therefore we do not anticipate paying any cash dividends on our common stock in the foreseeable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as of December 31, 2019 regarding shares of our common stock that may be issued under our existing equity compensation plans, including our 2018 Equity Incentive Compensation Plan (the "2018 Plan"), our 2015 Equity Compensation Plan (the "2015 Plan"), our 2009 Stock Option and Incentive Plan (the “2009 Plan”), our 2003 Stock Option and Incentive Plan (the “2003 Plan”), and our amended 2017 Employee Stock Purchase Plan (the "Amended 2017 ESPP").</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482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Equity Compensation Plan Information</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to be issued upon</w:t>
            </w:r>
          </w:p>
        </w:tc>
        <w:tc>
          <w:tcPr>
            <w:tcW w:w="1500" w:type="dxa"/>
            <w:vAlign w:val="bottom"/>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compensation plan</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exercise</w:t>
            </w: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exercise price of</w:t>
            </w: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(excluding securities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of outstanding options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options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referenced in column</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40" w:type="dxa"/>
            <w:vAlign w:val="bottom"/>
          </w:tcPr>
          <w:p>
            <w:pPr>
              <w:spacing w:after="0"/>
              <w:rPr>
                <w:sz w:val="20"/>
                <w:szCs w:val="20"/>
                <w:color w:val="auto"/>
              </w:rPr>
            </w:pPr>
            <w:r>
              <w:rPr>
                <w:rFonts w:ascii="Arial" w:cs="Arial" w:eastAsia="Arial" w:hAnsi="Arial"/>
                <w:sz w:val="16"/>
                <w:szCs w:val="16"/>
                <w:color w:val="auto"/>
              </w:rPr>
              <w:t>Equity compensation plans approved by security holders (2)</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1,044,417</w:t>
            </w:r>
          </w:p>
        </w:tc>
        <w:tc>
          <w:tcPr>
            <w:tcW w:w="1500" w:type="dxa"/>
            <w:vAlign w:val="bottom"/>
          </w:tcPr>
          <w:p>
            <w:pPr>
              <w:jc w:val="right"/>
              <w:ind w:right="445"/>
              <w:spacing w:after="0"/>
              <w:rPr>
                <w:sz w:val="20"/>
                <w:szCs w:val="20"/>
                <w:color w:val="auto"/>
              </w:rPr>
            </w:pPr>
            <w:r>
              <w:rPr>
                <w:rFonts w:ascii="Arial" w:cs="Arial" w:eastAsia="Arial" w:hAnsi="Arial"/>
                <w:sz w:val="16"/>
                <w:szCs w:val="16"/>
                <w:color w:val="auto"/>
              </w:rPr>
              <w:t>$18.31</w:t>
            </w:r>
          </w:p>
        </w:tc>
        <w:tc>
          <w:tcPr>
            <w:tcW w:w="1680" w:type="dxa"/>
            <w:vAlign w:val="bottom"/>
          </w:tcPr>
          <w:p>
            <w:pPr>
              <w:jc w:val="right"/>
              <w:ind w:right="426"/>
              <w:spacing w:after="0"/>
              <w:rPr>
                <w:sz w:val="20"/>
                <w:szCs w:val="20"/>
                <w:color w:val="auto"/>
              </w:rPr>
            </w:pPr>
            <w:r>
              <w:rPr>
                <w:rFonts w:ascii="Arial" w:cs="Arial" w:eastAsia="Arial" w:hAnsi="Arial"/>
                <w:sz w:val="16"/>
                <w:szCs w:val="16"/>
                <w:color w:val="auto"/>
              </w:rPr>
              <w:t>1,080,812</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Pr>
          <w:p>
            <w:pPr>
              <w:jc w:val="right"/>
              <w:ind w:right="706"/>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6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stock options only; does not include purchase rights accruing under the Amended 2017 ESPP Plan because the purchase price (and therefore the number of shares to be purchased) will not be determined until the end of the purchase period.</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the 2018 Plan, the 2015 Plan, the 2009 Plan, the 2003 Plan, and the Amended 2017 ESPP.</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2018 Plan and the Amended 2017 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and under “Risk Factors”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of cellular therapies designed to reverse cardiovascular disease. We are developing first-in-class therapy products that are based on the notion that our body contains finely tuned mechanisms for self-repair. Our technology leverages and enables these mechanisms in the form of specific, naturally-occurring minimally manipulated cells, using formulations unique to each indication.</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leadership team collectively has decades of biopharmaceutical development experience and world-recognized scientific achievement in the field of cardiovascular disease, among other fields. Our goal is to build a broad portfolio of novel and versatile products that address important unmet medical needs. Our current product candidates include three developmental treatments for ischemic diseases based on our CD34+ cell therapy platform: CLBS12, recipient of SAKIGAKE designation and eligible for early conditional approval in Japan for the treatment of critical limb ischemia ("CLI") based on the results of an ongoing clinical trial; CLBS16, in a Phase 2 clinical trial in the U.S. for the treatment of coronary microvascular dysfunction ("CMD"); and CLBS14, a Regenerative Medicine Advanced Therapy ("RMAT") designated therapy for which we have finalized with the U.S. Food and Drug Administration (the "FDA") a protocol for a Phase 3 confirmatory trial in subjects with no-option refractory disabling angina ("NORDA").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Overall, net losses were $19.4 million and $16.2 million for the years ended December 31,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2019, operating expenses totaled $20.1 million compared to $17.0 million for the year ended December 31, 2018, representing an increase of $3.1 million or 18%. Operating expenses comprise the following:</w:t>
      </w:r>
    </w:p>
    <w:p>
      <w:pPr>
        <w:spacing w:after="0" w:line="62" w:lineRule="exact"/>
        <w:rPr>
          <w:sz w:val="20"/>
          <w:szCs w:val="20"/>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expenses were approximately $10.8 million for the year ended December 31, 2019 compared to $7.6 million for the year ended December 31, 2018, representing an increase of approximately $3.2 million, or 42%. Research and development in both periods focused on the advancement of our ischemic repair platform and related to:</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ongoing registration-eligible study expenses for CLBS12 in critical limb ischemia in Japan, whereby we continue to focus spending on our patient enrollment, and anticipate completing enrollment in the first half of 2020;</w:t>
      </w:r>
    </w:p>
    <w:p>
      <w:pPr>
        <w:spacing w:after="0" w:line="62"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ongoing Phase proof-of-concept study expenses for CLBS16 in coronary microvascular dysfunction, whereby study enrollment was completed in the second quarter of 2019, preliminary top-line results were reported in November 2019 and full results expected in the first half of 2020; and</w:t>
      </w:r>
    </w:p>
    <w:p>
      <w:pPr>
        <w:spacing w:after="0" w:line="7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expenses associated with preparation our confirmatory Phase 3 study of CLBS14 in NORDA. In late 2019, we projected that the Phase 3 study would cost approximately $70 million in external expenses over the next several years to complete, and as a result, we elected to postpone the initiation of the study until we have confidence that we can access sufficient capital to allow us to complete the study uninterrupted.</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$9.3 million for the year ended December 31, 2019, compared to $9.4 million for the year ended December 31, 2018, representing a decrease of approximately $0.1 million, or 1%. Our general and administrative expenses focus on general corporate-related activities.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as compensation to employees, consultants, directors and other service providers. The use of these instruments has resulted in charges to the results of operations, which has been significant in the past.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(expense) is primarily comprised of investment income on cash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Liquidity and Capital Resources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we had cash, cash equivalents, and marketable securities of approximately $25.2 million, working capital of approximately $20.0 million, and stockholders’ equity of approximately $20.8 million. During the year ended December 31, 2019, we met our immediate cash requirements through existing cash balances.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or used in operating, investing and financing activities were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21,432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824</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operating activities during the year ended December 31, 2019 totaled approximately $18.9 million, which is the sum of (i) our net loss of $19.4 million, and adjusted for non-cash income and expenses totaling $1.6 million (which includes adjustments for equity-based compensation, depreciation and amortization, and amortization/accretion of marketable securities), and (ii) changes in operating assets and liabilities of approximately $1.1 million.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operating activities during the year ended December 31, 2018 totaled approximately $20.0 million, which is the sum of (i) our net loss of $16.2 million, and adjusted for non-cash income and expenses totaling $1.5 million (which includes adjustments for equity-based compensation, depreciation and amortization, gain on disposal of assets, deferred income taxes, and amortization/accretion of marketable securities), and (ii) changes in operating assets and liabilities of approximately $5.3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during the year ended December 31, 2019 totaled approximately $21.4 million and was entirely due to net proceeds from the sale of marketable securities investments (net of purchases of marketable securities).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used in investing activities during the year ended December 31, 2018 totaled approximately $4.7 million and was primarily due to net purchases of marketable securities (net of sales of marketable securities), and partially offset by $2.5 million in proceeds from the sale of our Counterflow Centrifuge System device.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provided by financing activities during the year ended December 31, 2019 consisted of proceeds of $1.0 million through the issuance of shares of our common stock under the provisions of our common stock purchase agreement with Lincoln Park Capital, and proceeds of $0.3 million through the issuance of shares of our common stock under the provisions of our Common Stock Sales Agreement with H.C. Wainwright, which was partially offset by tax withholding-related payments on net share settlement equity awards to employees.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provided by financing activities during the year ended December 31, 2018 consisted of proceeds of approximately $1.0 million through the issuance of shares of our common stock under the provisions of our Common Stock Sales Agreement with H.C. Wainwright and $0.4 million of option exercise proceeds, which was partially offset by payment obligations under equipment finance leases and tax withholding-related payments on net share settlement equity awards to employees.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Requirements Outlook</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For example, in December 2019, we received preliminary approval from the New Jersey Economic Development Authority to participate in the Technology Business Tax Certificate Transfer (NOL) Program. That program permits qualified companies to sell a percentage of their New Jersey net operating losses to unrelated profitable corporations. While we expect to receive final approval for our New Jersey net operating losses sale in the first quarter of 2020, there can be no assurance that such approval will be received at that time, if ever. We believe that our cash on hand will enable us to fund operating expenses for at least the next 12 months following the issuance of our financial statements considering the assumption that any initiation of a CLBS14 Phase 3 study is contingent on our acquisition of additional capital to fund such a study.</w:t>
      </w:r>
    </w:p>
    <w:p>
      <w:pPr>
        <w:spacing w:after="0" w:line="5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March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 As of December 31, 2019, the Company had not made any sales of common stock to Lincoln Park under the Purchase Agreement other than the Initial Purchase.</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As of December 31, 2019, we issued 260,349 shares of common stock under the Sales Agreement for net proceeds of $1.3 million.</w:t>
      </w:r>
    </w:p>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judgments that affect the amounts reported in the financial statements. On an ongoing basis, we evaluate our estimates and assumptions. We base our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accounting policy is considered to be critical if it is important to our financial condition and results of operations and if it requires management’s most difficult, subjective and complex judgments in its application. For a summary of all of our significant accounting policies, see Note 2 to our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expense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we estimate the probability of achievement of the performance criteria and recognize compensation expense related to those awards expected to vest. We determine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our restricted stock and restricted stock units is based on the closing market price of our common stock on the date of grant.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and notes thereto required to be filed under this Item are presented commencing on page 50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gridSpan w:val="10"/>
            <w:shd w:val="clear" w:color="auto" w:fill="CCEEFF"/>
          </w:tcPr>
          <w:p>
            <w:pPr>
              <w:ind w:left="40"/>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1960" w:type="dxa"/>
            <w:vAlign w:val="bottom"/>
            <w:gridSpan w:val="2"/>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43"/>
        </w:trPr>
        <w:tc>
          <w:tcPr>
            <w:tcW w:w="9040" w:type="dxa"/>
            <w:vAlign w:val="bottom"/>
            <w:gridSpan w:val="10"/>
          </w:tcPr>
          <w:p>
            <w:pPr>
              <w:ind w:left="40"/>
              <w:spacing w:after="0"/>
              <w:rPr>
                <w:sz w:val="20"/>
                <w:szCs w:val="20"/>
                <w:color w:val="auto"/>
              </w:rPr>
            </w:pPr>
            <w:r>
              <w:rPr>
                <w:rFonts w:ascii="Arial" w:cs="Arial" w:eastAsia="Arial" w:hAnsi="Arial"/>
                <w:sz w:val="18"/>
                <w:szCs w:val="18"/>
                <w:color w:val="auto"/>
              </w:rPr>
              <w:t>Financial Statements:</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000" w:type="dxa"/>
            <w:vAlign w:val="bottom"/>
            <w:gridSpan w:val="9"/>
            <w:shd w:val="clear" w:color="auto" w:fill="CCEEFF"/>
          </w:tcPr>
          <w:p>
            <w:pPr>
              <w:ind w:left="46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at December 31, 2019 and 2018</w:t>
              </w:r>
            </w:hyperlink>
          </w:p>
        </w:tc>
        <w:tc>
          <w:tcPr>
            <w:tcW w:w="19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000" w:type="dxa"/>
            <w:vAlign w:val="bottom"/>
            <w:gridSpan w:val="9"/>
          </w:tcPr>
          <w:p>
            <w:pPr>
              <w:ind w:left="46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 Years Ended December 31, 2019 and 2018</w:t>
              </w:r>
            </w:hyperlink>
          </w:p>
        </w:tc>
        <w:tc>
          <w:tcPr>
            <w:tcW w:w="1960" w:type="dxa"/>
            <w:vAlign w:val="bottom"/>
            <w:gridSpan w:val="2"/>
          </w:tcPr>
          <w:p>
            <w:pPr>
              <w:jc w:val="right"/>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000" w:type="dxa"/>
            <w:vAlign w:val="bottom"/>
            <w:gridSpan w:val="9"/>
            <w:shd w:val="clear" w:color="auto" w:fill="CCEEFF"/>
          </w:tcPr>
          <w:p>
            <w:pPr>
              <w:ind w:left="46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Loss - Years Ended December 31, 2019 and 2018</w:t>
              </w:r>
            </w:hyperlink>
          </w:p>
        </w:tc>
        <w:tc>
          <w:tcPr>
            <w:tcW w:w="19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000" w:type="dxa"/>
            <w:vAlign w:val="bottom"/>
            <w:gridSpan w:val="9"/>
          </w:tcPr>
          <w:p>
            <w:pPr>
              <w:ind w:left="46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Equity - Years Ended December 31, 2019 and 2018</w:t>
              </w:r>
            </w:hyperlink>
          </w:p>
        </w:tc>
        <w:tc>
          <w:tcPr>
            <w:tcW w:w="1960" w:type="dxa"/>
            <w:vAlign w:val="bottom"/>
            <w:gridSpan w:val="2"/>
          </w:tcPr>
          <w:p>
            <w:pPr>
              <w:jc w:val="right"/>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000" w:type="dxa"/>
            <w:vAlign w:val="bottom"/>
            <w:gridSpan w:val="9"/>
            <w:shd w:val="clear" w:color="auto" w:fill="CCEEFF"/>
          </w:tcPr>
          <w:p>
            <w:pPr>
              <w:ind w:left="46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 Years Ended December 31, 2019 and 2018</w:t>
              </w:r>
            </w:hyperlink>
          </w:p>
        </w:tc>
        <w:tc>
          <w:tcPr>
            <w:tcW w:w="19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000" w:type="dxa"/>
            <w:vAlign w:val="bottom"/>
            <w:gridSpan w:val="9"/>
          </w:tcPr>
          <w:p>
            <w:pPr>
              <w:ind w:left="46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1960" w:type="dxa"/>
            <w:vAlign w:val="bottom"/>
            <w:gridSpan w:val="2"/>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70</w:t>
              </w:r>
            </w:hyperlink>
          </w:p>
        </w:tc>
        <w:tc>
          <w:tcPr>
            <w:tcW w:w="420" w:type="dxa"/>
            <w:vAlign w:val="bottom"/>
          </w:tcPr>
          <w:p>
            <w:pPr>
              <w:spacing w:after="0"/>
              <w:rPr>
                <w:sz w:val="17"/>
                <w:szCs w:val="17"/>
                <w:color w:val="auto"/>
              </w:rPr>
            </w:pPr>
          </w:p>
        </w:tc>
      </w:tr>
      <w:tr>
        <w:trPr>
          <w:trHeight w:val="696"/>
        </w:trPr>
        <w:tc>
          <w:tcPr>
            <w:tcW w:w="500" w:type="dxa"/>
            <w:vAlign w:val="bottom"/>
            <w:gridSpan w:val="2"/>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2580" w:type="dxa"/>
            <w:vAlign w:val="bottom"/>
            <w:gridSpan w:val="3"/>
          </w:tcPr>
          <w:p>
            <w:pPr>
              <w:jc w:val="right"/>
              <w:ind w:right="4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Caladrius Biosciences,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Caladrius Biosciences, Inc., (a Delaware corporation) and subsidiaries (the “Company”) as of December 31, 2019 and 2018, the related consolidated statements of operations, comprehensive loss,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612265" cy="248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22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10,299</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32,754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7"/>
        </w:trPr>
        <w:tc>
          <w:tcPr>
            <w:tcW w:w="85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44,106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44,580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NON-CONTROLLING INTERESTS AND EQUITY</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r>
        <w:trPr>
          <w:trHeight w:val="217"/>
        </w:trPr>
        <w:tc>
          <w:tcPr>
            <w:tcW w:w="85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5,976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5,619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7"/>
        </w:trPr>
        <w:tc>
          <w:tcPr>
            <w:tcW w:w="85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Preferred stock; authorized, 20,000,000 shares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3"/>
              </w:rPr>
              <w:t>Series B convertible redeemable preferred stock liquidation value, 0.001 share of common stock, $.01 par value; 825,000</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w w:val="94"/>
              </w:rPr>
              <w:t>shares designated; issued and outstanding, 10,000 shares at December 31, 2019 and December 31, 2018,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580" w:type="dxa"/>
            <w:vAlign w:val="bottom"/>
          </w:tcPr>
          <w:p>
            <w:pPr>
              <w:ind w:left="280"/>
              <w:spacing w:after="0"/>
              <w:rPr>
                <w:sz w:val="20"/>
                <w:szCs w:val="20"/>
                <w:color w:val="auto"/>
              </w:rPr>
            </w:pPr>
            <w:r>
              <w:rPr>
                <w:rFonts w:ascii="Arial" w:cs="Arial" w:eastAsia="Arial" w:hAnsi="Arial"/>
                <w:sz w:val="16"/>
                <w:szCs w:val="16"/>
                <w:color w:val="auto"/>
                <w:w w:val="92"/>
              </w:rPr>
              <w:t>Common stock, $.001 par value, authorized 500,000,000 shares; issued and outstanding, 10,528,689 and 9,865,735 shares, at</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520"/>
              <w:spacing w:after="0"/>
              <w:rPr>
                <w:sz w:val="20"/>
                <w:szCs w:val="20"/>
                <w:color w:val="auto"/>
              </w:rPr>
            </w:pPr>
            <w:r>
              <w:rPr>
                <w:rFonts w:ascii="Arial" w:cs="Arial" w:eastAsia="Arial" w:hAnsi="Arial"/>
                <w:sz w:val="16"/>
                <w:szCs w:val="16"/>
                <w:color w:val="auto"/>
              </w:rPr>
              <w:t>December 31, 2019 and December 31, 2018, respectively</w:t>
            </w:r>
          </w:p>
        </w:tc>
        <w:tc>
          <w:tcPr>
            <w:tcW w:w="1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436,433</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Treasury stock, at cost; 11,080 shares at December 31, 2019 and December 31, 2018 respectively</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(397,977)</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Caladrius Biosciences, Inc.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37,726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Noncontrolling interests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37,454</w:t>
            </w:r>
          </w:p>
        </w:tc>
        <w:tc>
          <w:tcPr>
            <w:tcW w:w="0" w:type="dxa"/>
            <w:vAlign w:val="bottom"/>
          </w:tcPr>
          <w:p>
            <w:pPr>
              <w:spacing w:after="0"/>
              <w:rPr>
                <w:sz w:val="1"/>
                <w:szCs w:val="1"/>
                <w:color w:val="auto"/>
              </w:rPr>
            </w:pPr>
          </w:p>
        </w:tc>
      </w:tr>
      <w:tr>
        <w:trPr>
          <w:trHeight w:val="244"/>
        </w:trPr>
        <w:tc>
          <w:tcPr>
            <w:tcW w:w="8580" w:type="dxa"/>
            <w:vAlign w:val="bottom"/>
          </w:tcPr>
          <w:p>
            <w:pPr>
              <w:ind w:left="500"/>
              <w:spacing w:after="0"/>
              <w:rPr>
                <w:sz w:val="20"/>
                <w:szCs w:val="20"/>
                <w:color w:val="auto"/>
              </w:rPr>
            </w:pPr>
            <w:r>
              <w:rPr>
                <w:rFonts w:ascii="Arial" w:cs="Arial" w:eastAsia="Arial" w:hAnsi="Arial"/>
                <w:sz w:val="16"/>
                <w:szCs w:val="16"/>
                <w:color w:val="auto"/>
              </w:rPr>
              <w:t>Total liabilities, non-controlling interests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27,153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44,580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9,393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16,987</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(16,987)</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other income (expense), net</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(16,168)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 net income (loss) attributable to noncontrolling interests</w:t>
            </w: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Caladrius Biosciences, Inc.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(16,167)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Basic and diluted loss per share: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Caladrius Biosciences, Inc. common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Basic and diluted shares</w:t>
            </w: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9,689</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(16,168)</w:t>
            </w:r>
          </w:p>
        </w:tc>
      </w:tr>
      <w:tr>
        <w:trPr>
          <w:trHeight w:val="297"/>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Available for sale securities - net unrealized income (loss)</w:t>
            </w:r>
          </w:p>
        </w:tc>
        <w:tc>
          <w:tcPr>
            <w:tcW w:w="30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97"/>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(16,172)</w:t>
            </w:r>
          </w:p>
        </w:tc>
      </w:tr>
      <w:tr>
        <w:trPr>
          <w:trHeight w:val="297"/>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91"/>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Caladrius Biosciences, Inc. common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420" w:type="dxa"/>
            <w:vAlign w:val="bottom"/>
            <w:gridSpan w:val="5"/>
          </w:tcPr>
          <w:p>
            <w:pPr>
              <w:ind w:left="100"/>
              <w:spacing w:after="0" w:line="135" w:lineRule="exact"/>
              <w:rPr>
                <w:sz w:val="20"/>
                <w:szCs w:val="20"/>
                <w:color w:val="auto"/>
              </w:rPr>
            </w:pPr>
            <w:r>
              <w:rPr>
                <w:rFonts w:ascii="Arial" w:cs="Arial" w:eastAsia="Arial" w:hAnsi="Arial"/>
                <w:sz w:val="13"/>
                <w:szCs w:val="13"/>
                <w:b w:val="1"/>
                <w:bCs w:val="1"/>
                <w:color w:val="auto"/>
              </w:rPr>
              <w:t>Series B Convertible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Caladrius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420" w:type="dxa"/>
            <w:vAlign w:val="bottom"/>
            <w:gridSpan w:val="5"/>
          </w:tcPr>
          <w:p>
            <w:pPr>
              <w:ind w:left="220"/>
              <w:spacing w:after="0" w:line="135" w:lineRule="exact"/>
              <w:rPr>
                <w:sz w:val="20"/>
                <w:szCs w:val="20"/>
                <w:color w:val="auto"/>
              </w:rPr>
            </w:pPr>
            <w:r>
              <w:rPr>
                <w:rFonts w:ascii="Arial" w:cs="Arial" w:eastAsia="Arial" w:hAnsi="Arial"/>
                <w:sz w:val="13"/>
                <w:szCs w:val="13"/>
                <w:b w:val="1"/>
                <w:bCs w:val="1"/>
                <w:color w:val="auto"/>
              </w:rPr>
              <w:t>Preferred Stock</w:t>
            </w:r>
          </w:p>
        </w:tc>
        <w:tc>
          <w:tcPr>
            <w:tcW w:w="1740" w:type="dxa"/>
            <w:vAlign w:val="bottom"/>
            <w:gridSpan w:val="5"/>
          </w:tcPr>
          <w:p>
            <w:pPr>
              <w:ind w:left="400"/>
              <w:spacing w:after="0" w:line="135"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0"/>
              </w:rPr>
              <w:t>Biosciences,</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3"/>
                <w:szCs w:val="3"/>
                <w:color w:val="auto"/>
              </w:rPr>
            </w:pPr>
          </w:p>
        </w:tc>
        <w:tc>
          <w:tcPr>
            <w:tcW w:w="9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Inc.</w:t>
            </w:r>
          </w:p>
        </w:tc>
        <w:tc>
          <w:tcPr>
            <w:tcW w:w="100" w:type="dxa"/>
            <w:vAlign w:val="bottom"/>
          </w:tcPr>
          <w:p>
            <w:pPr>
              <w:spacing w:after="0"/>
              <w:rPr>
                <w:sz w:val="3"/>
                <w:szCs w:val="3"/>
                <w:color w:val="auto"/>
              </w:rPr>
            </w:pPr>
          </w:p>
        </w:tc>
        <w:tc>
          <w:tcPr>
            <w:tcW w:w="9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3"/>
                <w:szCs w:val="3"/>
                <w:color w:val="auto"/>
              </w:rPr>
            </w:pPr>
          </w:p>
        </w:tc>
        <w:tc>
          <w:tcPr>
            <w:tcW w:w="640" w:type="dxa"/>
            <w:vAlign w:val="bottom"/>
            <w:vMerge w:val="restart"/>
          </w:tcPr>
          <w:p>
            <w:pPr>
              <w:jc w:val="right"/>
              <w:ind w:right="19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0"/>
        </w:trPr>
        <w:tc>
          <w:tcPr>
            <w:tcW w:w="1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6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4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Subsidiary</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433,044</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(381,810)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50,507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50,189</w:t>
            </w:r>
          </w:p>
        </w:tc>
        <w:tc>
          <w:tcPr>
            <w:tcW w:w="0" w:type="dxa"/>
            <w:vAlign w:val="bottom"/>
          </w:tcPr>
          <w:p>
            <w:pPr>
              <w:spacing w:after="0"/>
              <w:rPr>
                <w:sz w:val="1"/>
                <w:szCs w:val="1"/>
                <w:color w:val="auto"/>
              </w:rPr>
            </w:pPr>
          </w:p>
        </w:tc>
      </w:tr>
      <w:tr>
        <w:trPr>
          <w:trHeight w:val="249"/>
        </w:trPr>
        <w:tc>
          <w:tcPr>
            <w:tcW w:w="1960" w:type="dxa"/>
            <w:vAlign w:val="bottom"/>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(16,168)</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loss on marketable</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securities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2,053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2,053</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proceeds from issuance of</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1,029</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Proceeds from option exercises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Change in ownership in subsidiary</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9,866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436,433</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(397,977)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37,726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37,454</w:t>
            </w: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Adoption of accounting standard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(19,361)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(19,361)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(19,352)</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loss on marketable</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securities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1,165</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proceeds from issuance of</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1,313</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1,314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1,314</w:t>
            </w:r>
          </w:p>
        </w:tc>
        <w:tc>
          <w:tcPr>
            <w:tcW w:w="0" w:type="dxa"/>
            <w:vAlign w:val="bottom"/>
          </w:tcPr>
          <w:p>
            <w:pPr>
              <w:spacing w:after="0"/>
              <w:rPr>
                <w:sz w:val="1"/>
                <w:szCs w:val="1"/>
                <w:color w:val="auto"/>
              </w:rPr>
            </w:pPr>
          </w:p>
        </w:tc>
      </w:tr>
      <w:tr>
        <w:trPr>
          <w:trHeight w:val="244"/>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2019</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10,529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438,911</w:t>
            </w:r>
          </w:p>
        </w:tc>
        <w:tc>
          <w:tcPr>
            <w:tcW w:w="120" w:type="dxa"/>
            <w:vAlign w:val="bottom"/>
          </w:tcPr>
          <w:p>
            <w:pPr>
              <w:spacing w:after="0"/>
              <w:rPr>
                <w:sz w:val="21"/>
                <w:szCs w:val="21"/>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(417,400)</w:t>
            </w: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20,816</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20,553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3"/>
                <w:szCs w:val="13"/>
                <w:b w:val="1"/>
                <w:bCs w:val="1"/>
                <w:color w:val="auto"/>
              </w:rPr>
              <w:t>Year Ended December 31,</w:t>
            </w: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2018</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(19,352)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(16,168)</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Equity-based compensation expense</w:t>
            </w:r>
          </w:p>
        </w:tc>
        <w:tc>
          <w:tcPr>
            <w:tcW w:w="28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2,453</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Gain on disposal of assets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(1,429)</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Amortization/accretion on marketable securities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r>
      <w:tr>
        <w:trPr>
          <w:trHeight w:val="264"/>
        </w:trPr>
        <w:tc>
          <w:tcPr>
            <w:tcW w:w="9020" w:type="dxa"/>
            <w:vAlign w:val="bottom"/>
          </w:tcPr>
          <w:p>
            <w:pPr>
              <w:ind w:left="72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291</w:t>
            </w:r>
          </w:p>
        </w:tc>
      </w:tr>
      <w:tr>
        <w:trPr>
          <w:trHeight w:val="270"/>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 accrued liabilities and 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(1,864)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(5,901)</w:t>
            </w:r>
          </w:p>
        </w:tc>
      </w:tr>
      <w:tr>
        <w:trPr>
          <w:trHeight w:val="250"/>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(18,882)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(19,986)</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Purchase of marketable securities</w:t>
            </w:r>
          </w:p>
        </w:tc>
        <w:tc>
          <w:tcPr>
            <w:tcW w:w="280" w:type="dxa"/>
            <w:vAlign w:val="bottom"/>
          </w:tcPr>
          <w:p>
            <w:pPr>
              <w:spacing w:after="0"/>
              <w:rPr>
                <w:sz w:val="22"/>
                <w:szCs w:val="22"/>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(32,938)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(69,690)</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of marketable securities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54,370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62,567</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Proceeds from CFC device sale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2,550</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property and equipment</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50"/>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21,432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(4,707)</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Proceeds from exercise of options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355</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withholding payments on net share settlement equity awards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Net proceeds from issuance of capital stock</w:t>
            </w:r>
          </w:p>
        </w:tc>
        <w:tc>
          <w:tcPr>
            <w:tcW w:w="28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1,031</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 of notes payable</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50"/>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1,183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824</w:t>
            </w: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(23,869)</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10,299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34,168</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9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Cash paid during the period for:</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58"/>
        </w:trPr>
        <w:tc>
          <w:tcPr>
            <w:tcW w:w="9020" w:type="dxa"/>
            <w:vAlign w:val="bottom"/>
          </w:tcPr>
          <w:p>
            <w:pPr>
              <w:ind w:left="280"/>
              <w:spacing w:after="0"/>
              <w:rPr>
                <w:sz w:val="20"/>
                <w:szCs w:val="20"/>
                <w:color w:val="auto"/>
              </w:rPr>
            </w:pPr>
            <w:r>
              <w:rPr>
                <w:rFonts w:ascii="Arial" w:cs="Arial" w:eastAsia="Arial" w:hAnsi="Arial"/>
                <w:sz w:val="14"/>
                <w:szCs w:val="14"/>
                <w:color w:val="auto"/>
              </w:rPr>
              <w:t>Taxes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9020" w:type="dxa"/>
            <w:vAlign w:val="bottom"/>
          </w:tcPr>
          <w:p>
            <w:pPr>
              <w:ind w:left="3700"/>
              <w:spacing w:after="0"/>
              <w:rPr>
                <w:sz w:val="20"/>
                <w:szCs w:val="20"/>
                <w:color w:val="auto"/>
              </w:rPr>
            </w:pPr>
            <w:r>
              <w:rPr>
                <w:rFonts w:ascii="Arial" w:cs="Arial" w:eastAsia="Arial" w:hAnsi="Arial"/>
                <w:sz w:val="16"/>
                <w:szCs w:val="16"/>
                <w:color w:val="auto"/>
              </w:rPr>
              <w:t>See accompanying notes to consolidated financial statements.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of cellular therapies designed to reverse cardiovascular disease. The Company is developing first-in-class therapy products that are based on the notion that our body contains finely tuned mechanisms for self-repair. The Company's technology leverages and enables these mechanisms in the form of specific, naturally-occurring, minimally manipulated cells, using formulations unique to each indication.</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leadership team collectively has decades of biopharmaceutical development experience and world-recognized scientific achievement in the field of cardiovascular disease, among other fields. Its goal is to build a broad portfolio of novel and versatile products that address important unmet medical needs. The Company's current product candidates include three developmental treatments for ischemic diseases based on its CD34+ cell therapy platform: CLBS12, recipient of SAKIGAKE designation and eligible for early conditional approval in Japan for the treatment of critical limb ischemia ("CLI") based on the results of an ongoing clinical trial; CLBS16, in a Phase 2 clinical trial in the U.S. for the treatment of coronary microvascular dysfunction ("CMD"); and CLBS14, a Regenerative Medicine Advanced Therapy ("RMAT") designated therapy for which the Company has finalized with the U.S. Food and Drug Administration (the "FDA") a protocol for a Phase 3 confirmatory trial in subjects with no-option refractory disabling angina ("NORDA").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Its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the Company is successful in advancing its product candidates to their next significant development milestones.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include short-term, highly liquid, investments with maturities of ninety days or less when purchased.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policy, in order of priority, are as follows: safety and preservation of principal and diversification of risk, liquidity of investments sufficient to meet cash flow requirements, and a competitive after-tax rate of return.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5580" w:type="dxa"/>
            <w:vAlign w:val="bottom"/>
            <w:shd w:val="clear" w:color="auto" w:fill="CCEEFF"/>
          </w:tcPr>
          <w:p>
            <w:pPr>
              <w:jc w:val="center"/>
              <w:ind w:left="3210"/>
              <w:spacing w:after="0"/>
              <w:rPr>
                <w:sz w:val="20"/>
                <w:szCs w:val="20"/>
                <w:color w:val="auto"/>
              </w:rPr>
            </w:pPr>
            <w:r>
              <w:rPr>
                <w:rFonts w:ascii="Arial" w:cs="Arial" w:eastAsia="Arial" w:hAnsi="Arial"/>
                <w:sz w:val="18"/>
                <w:szCs w:val="18"/>
                <w:color w:val="auto"/>
                <w:w w:val="86"/>
              </w:rPr>
              <w:t>10 years</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5580" w:type="dxa"/>
            <w:vAlign w:val="bottom"/>
          </w:tcPr>
          <w:p>
            <w:pPr>
              <w:jc w:val="center"/>
              <w:ind w:left="3210"/>
              <w:spacing w:after="0"/>
              <w:rPr>
                <w:sz w:val="20"/>
                <w:szCs w:val="20"/>
                <w:color w:val="auto"/>
              </w:rPr>
            </w:pPr>
            <w:r>
              <w:rPr>
                <w:rFonts w:ascii="Arial" w:cs="Arial" w:eastAsia="Arial" w:hAnsi="Arial"/>
                <w:sz w:val="18"/>
                <w:szCs w:val="18"/>
                <w:color w:val="auto"/>
                <w:w w:val="88"/>
              </w:rPr>
              <w:t>3 years</w:t>
            </w:r>
          </w:p>
        </w:tc>
      </w:tr>
      <w:tr>
        <w:trPr>
          <w:trHeight w:val="27"/>
        </w:trPr>
        <w:tc>
          <w:tcPr>
            <w:tcW w:w="584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580" w:type="dxa"/>
            <w:vAlign w:val="bottom"/>
            <w:tcBorders>
              <w:bottom w:val="single" w:sz="8" w:color="CCEEFF"/>
            </w:tcBorders>
            <w:shd w:val="clear" w:color="auto" w:fill="CCEEFF"/>
          </w:tcPr>
          <w:p>
            <w:pPr>
              <w:jc w:val="center"/>
              <w:ind w:left="3210"/>
              <w:spacing w:after="0"/>
              <w:rPr>
                <w:sz w:val="20"/>
                <w:szCs w:val="20"/>
                <w:color w:val="auto"/>
              </w:rPr>
            </w:pPr>
            <w:r>
              <w:rPr>
                <w:rFonts w:ascii="Arial" w:cs="Arial" w:eastAsia="Arial" w:hAnsi="Arial"/>
                <w:sz w:val="18"/>
                <w:szCs w:val="18"/>
                <w:color w:val="auto"/>
                <w:w w:val="88"/>
              </w:rPr>
              <w:t>3 years</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580" w:type="dxa"/>
            <w:vAlign w:val="bottom"/>
          </w:tcPr>
          <w:p>
            <w:pPr>
              <w:jc w:val="center"/>
              <w:ind w:left="3190"/>
              <w:spacing w:after="0"/>
              <w:rPr>
                <w:sz w:val="20"/>
                <w:szCs w:val="20"/>
                <w:color w:val="auto"/>
              </w:rPr>
            </w:pPr>
            <w:r>
              <w:rPr>
                <w:rFonts w:ascii="Arial" w:cs="Arial" w:eastAsia="Arial" w:hAnsi="Arial"/>
                <w:sz w:val="18"/>
                <w:szCs w:val="18"/>
                <w:color w:val="auto"/>
                <w:w w:val="92"/>
              </w:rPr>
              <w:t>Life of lease</w:t>
            </w:r>
          </w:p>
        </w:tc>
      </w:tr>
      <w:tr>
        <w:trPr>
          <w:trHeight w:val="243"/>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5580" w:type="dxa"/>
            <w:vAlign w:val="bottom"/>
          </w:tcPr>
          <w:p>
            <w:pPr>
              <w:spacing w:after="0"/>
              <w:rPr>
                <w:sz w:val="21"/>
                <w:szCs w:val="2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loss per share is based on the weighted effect of all common shares issued and outstanding and is calculated by dividing net loss attributable to common stockholders by the weighted average shares outstanding during the period. Diluted loss per share, which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Treasury stock purchases are accounted for under the cost method whereby the entire cost of the acquired stock is recorded as treasury stock. Gains or losses on the subsequent reissuance of shares are credited or charged to additional paid in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further drive the Company’s cell therapy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ASU 2016-02 requires that a lessee recognize lease assets and lease liabilities for those leases classified as operating leases. The guidance was effective for interim and annual periods beginning after December 15, 2018 and was adopted as of January 1, 2019. The Company adopted the standard using the optional transition method, with an immaterial adjustment to accumulated deficit upon adoption. The comparative information has not been restated and continues to be reported under the accounting standards that were in effect for those periods. The Company concluded that the adoption of ASU 2016-02 was non-cash in nature, did not affect the Company's cash position, and did not have a material impact on the Company's financial statements.</w:t>
      </w:r>
    </w:p>
    <w:p>
      <w:pPr>
        <w:spacing w:after="0" w:line="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the FASB issued ASU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will be effective for fiscal years and interim periods beginning after December 15, 2019 and early adoption is permitted. The adoption of this guidance is not expected to have a material impact on our consolidated financial statements.</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determined that the adoption of this new accounting guidance did not have a material impact on its financial statements and footnote disclosures.</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2019, the FASB issued ASU 2019-07, "Codification Updates to SEC Sections", to codify the SEC releases that clarify and improve the disclosure and presentation requirements of a variety of codification topics, thereby eliminating certain disclosure requirements that were redundant, duplicative, overlapping, outdated, or superseded. The Company determined that the adoption of this new accounting guidance did not have a material impact on its financial statements and footnote disclosures.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October 2019, the FASB issued ASU 2019-12, which affects general principles within Topic 740, Income Taxes. The amendments of ASU 2019-12 are meant to simplify and reduce the cost of accounting for income taxes. For public business entities, the amendments in this Update are effective for fiscal years, and interim periods within those fiscal years, beginning after December 15, 2020. The Company believes that the adoption of this new accounting guidance will not have a material impact on its financial statements and footnote disclosures.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in the Company's Consolidated Balance Sheets (in thousands):</w:t>
      </w: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8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8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6"/>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Corporate debt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33,504</w:t>
            </w:r>
          </w:p>
        </w:tc>
        <w:tc>
          <w:tcPr>
            <w:tcW w:w="0" w:type="dxa"/>
            <w:vAlign w:val="bottom"/>
          </w:tcPr>
          <w:p>
            <w:pPr>
              <w:spacing w:after="0"/>
              <w:rPr>
                <w:sz w:val="1"/>
                <w:szCs w:val="1"/>
                <w:color w:val="auto"/>
              </w:rPr>
            </w:pPr>
          </w:p>
        </w:tc>
      </w:tr>
      <w:tr>
        <w:trPr>
          <w:trHeight w:val="237"/>
        </w:trPr>
        <w:tc>
          <w:tcPr>
            <w:tcW w:w="174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33"/>
        </w:trPr>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37,818</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debt securities on the Company's Consolidated Balance Sheets (in thousands):</w:t>
      </w:r>
    </w:p>
    <w:p>
      <w:pPr>
        <w:spacing w:after="0" w:line="284"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2018</w:t>
            </w:r>
          </w:p>
        </w:tc>
      </w:tr>
      <w:tr>
        <w:trPr>
          <w:trHeight w:val="250"/>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32,754</w:t>
            </w:r>
          </w:p>
        </w:tc>
      </w:tr>
      <w:tr>
        <w:trPr>
          <w:trHeight w:val="27"/>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portfolio of available-for-sale securities by contractual maturity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December 31, 2019</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December 31, 2018</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b w:val="1"/>
                <w:bCs w:val="1"/>
                <w:color w:val="auto"/>
                <w:w w:val="98"/>
              </w:rPr>
              <w:t>Amortized Cost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8"/>
              </w:rPr>
              <w:t>Estimated Fair Value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Greater than one year</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4 – Property and Equipment</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0" w:type="dxa"/>
            <w:vAlign w:val="bottom"/>
            <w:gridSpan w:val="3"/>
            <w:shd w:val="clear" w:color="auto" w:fill="000000"/>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20" w:type="dxa"/>
            <w:vAlign w:val="bottom"/>
            <w:gridSpan w:val="7"/>
          </w:tcPr>
          <w:p>
            <w:pPr>
              <w:ind w:left="340"/>
              <w:spacing w:after="0"/>
              <w:rPr>
                <w:sz w:val="20"/>
                <w:szCs w:val="20"/>
                <w:color w:val="auto"/>
              </w:rPr>
            </w:pPr>
            <w:r>
              <w:rPr>
                <w:rFonts w:ascii="Arial" w:cs="Arial" w:eastAsia="Arial" w:hAnsi="Arial"/>
                <w:sz w:val="18"/>
                <w:szCs w:val="18"/>
                <w:color w:val="auto"/>
              </w:rPr>
              <w:t>Property and equipment consisted of the following (in thousands):</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2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920" w:type="dxa"/>
            <w:vAlign w:val="bottom"/>
            <w:gridSpan w:val="3"/>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3"/>
          </w:tcPr>
          <w:p>
            <w:pPr>
              <w:jc w:val="right"/>
              <w:ind w:right="19"/>
              <w:spacing w:after="0"/>
              <w:rPr>
                <w:sz w:val="20"/>
                <w:szCs w:val="20"/>
                <w:color w:val="auto"/>
              </w:rPr>
            </w:pPr>
            <w:r>
              <w:rPr>
                <w:rFonts w:ascii="Arial" w:cs="Arial" w:eastAsia="Arial" w:hAnsi="Arial"/>
                <w:sz w:val="18"/>
                <w:szCs w:val="18"/>
                <w:color w:val="auto"/>
                <w:w w:val="86"/>
              </w:rPr>
              <w:t>247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2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gross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6"/>
              </w:rPr>
              <w:t>349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2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results included depreciation expense of approximately $0.1 million and $0.2 million for the years ended December 31, 2019 and 2018,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Loss Per Share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years ended December 31, 2019 and 2018, the Company incurred net losses and therefore no common stock equivalents were utilized in the calculation of loss per share as they are anti-dilutive in the periods presented. At December 31, 2019 and 2018, the Company excluded the following potentially dilutive securities (in thousands):</w:t>
      </w:r>
    </w:p>
    <w:p>
      <w:pPr>
        <w:spacing w:after="0" w:line="29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Warrants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9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8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Fair Value Measurements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financial assets and liabilities that were accounted for at fair value on a recurring basis as of December 31, 2019 and December 31, 2018 were as follows (in thousands):</w:t>
      </w: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r>
      <w:tr>
        <w:trPr>
          <w:trHeight w:val="250"/>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Marketable securities -</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available for sale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160"/>
              <w:spacing w:after="0"/>
              <w:rPr>
                <w:sz w:val="20"/>
                <w:szCs w:val="20"/>
                <w:color w:val="auto"/>
              </w:rPr>
            </w:pPr>
            <w:r>
              <w:rPr>
                <w:rFonts w:ascii="Arial" w:cs="Arial" w:eastAsia="Arial" w:hAnsi="Arial"/>
                <w:sz w:val="16"/>
                <w:szCs w:val="16"/>
                <w:color w:val="auto"/>
                <w:w w:val="98"/>
              </w:rPr>
              <w:t>11,125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11,125</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160"/>
              <w:spacing w:after="0"/>
              <w:rPr>
                <w:sz w:val="20"/>
                <w:szCs w:val="20"/>
                <w:color w:val="auto"/>
              </w:rPr>
            </w:pPr>
            <w:r>
              <w:rPr>
                <w:rFonts w:ascii="Arial" w:cs="Arial" w:eastAsia="Arial" w:hAnsi="Arial"/>
                <w:sz w:val="16"/>
                <w:szCs w:val="16"/>
                <w:color w:val="auto"/>
                <w:w w:val="98"/>
              </w:rPr>
              <w:t>32,754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32,754</w:t>
            </w:r>
          </w:p>
        </w:tc>
      </w:tr>
      <w:tr>
        <w:trPr>
          <w:trHeight w:val="33"/>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11,125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32,754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Accrued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were as follow (in thousands):</w:t>
      </w:r>
    </w:p>
    <w:p>
      <w:pPr>
        <w:spacing w:after="0" w:line="33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CIRM upfront funding - current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Operating Leases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operating leases for two offices with terms that expire in 2022 and 2023. In addition, the Company pays for facility space through a third-party manufacturing contract that contains an embedded operating lease, with an estimated expiration in 2020.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Upon adoption of Topic 842 on January 1, 2019, the Company recognized $1.4 million of operating lease liabilities and $1.3 million of operating lease right-of-use assets for its existing operating leases in its balance sheet. As of December 31, 2019, the Company's operating lease liabilities and right-of-use assets were $1.0 million and $0.9 million, respectively. Each of the Company's leases includes options for the Company to extend the lease term and/or sub-lease space in whole or in part.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2"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742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74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4"/>
        </w:trPr>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624</w:t>
            </w:r>
          </w:p>
        </w:tc>
      </w:tr>
      <w:tr>
        <w:trPr>
          <w:trHeight w:val="257"/>
        </w:trPr>
        <w:tc>
          <w:tcPr>
            <w:tcW w:w="74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2019, the weighted average remaining lease term for our operating leases was 1.97 years, and the weighted average discount rate for our operating leases was 9.625%. Future minimum lease payments under the lease agreements as of December 31, 2019 were as follows (in thousands):</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6"/>
                <w:szCs w:val="16"/>
                <w:b w:val="1"/>
                <w:bCs w:val="1"/>
                <w:color w:val="auto"/>
                <w:w w:val="97"/>
              </w:rPr>
              <w:t>Operating</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Years ended</w:t>
            </w:r>
          </w:p>
        </w:tc>
        <w:tc>
          <w:tcPr>
            <w:tcW w:w="14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Leases</w:t>
            </w:r>
          </w:p>
        </w:tc>
      </w:tr>
      <w:tr>
        <w:trPr>
          <w:trHeight w:val="33"/>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431</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414</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808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1,111</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808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977</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Company has used long-term incentive plans for the purpose of granting equity awards to employees of the Company, including officers, and nonemployees, including consultants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2018 Equity Incentive Compensation Plan (the "2018 Plan"), which was adopted by the stockholders of the Company in June 2018, with 1,500,000 shares authorized for issuance thereunder, plus any shares awarded under the 2015 Equity Compensation Plan (the "2015 Plan") or the Amended and Restated 2009 Equity Compensation Plan (the "2009 Plan") that are not issued due to their subsequent forfeiture, cancellation, or other settlement thereof. Concurrent with the adoption of the 2018 Plan, no future awards will occur under the 2015 Plan or the 2009 Plan. The awards that may be made under the 2018 Plan include:</w:t>
      </w:r>
    </w:p>
    <w:p>
      <w:pPr>
        <w:spacing w:after="0" w:line="1" w:lineRule="exact"/>
        <w:rPr>
          <w:sz w:val="20"/>
          <w:szCs w:val="20"/>
          <w:color w:val="auto"/>
        </w:rPr>
      </w:pPr>
    </w:p>
    <w:p>
      <w:pPr>
        <w:jc w:val="both"/>
        <w:ind w:firstLine="8"/>
        <w:spacing w:after="0" w:line="252" w:lineRule="auto"/>
        <w:tabs>
          <w:tab w:leader="none" w:pos="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stock options and nonqualified stock options, (b) shares of restricted stock, (c) restricted stock units, and (d) other kinds of equity-based compensation awards. All stock options under the 2015 Plan and 2009 Plan were granted and the 2018 Plan are granted at the fair market value of the common stock at the grant date. Stock options vest either on the date of grant, ratably over a period determined at time of grant, or upon the accomplishment of specified business milestones, and generally expire 2, 3, or 10 years from the grant date depending on the status of the recipient as a nonemployee, employee or director of the Company. As of December 31, 2019, there were 700,966 shares available for future grants under the 2018 Plan. No additional awards may be made under the 2015 Plan or the 2009 Plan.</w:t>
      </w:r>
    </w:p>
    <w:p>
      <w:pPr>
        <w:spacing w:after="0" w:line="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adopted an employee stock purchase plan effective January 1, 2013 and authorized 50,000 shares under the plan (the "2012 ESPP"). The plan has two six-month offering periods per year under which eligible employees may contribute up to 15% of their compensation toward the purchase of the Company's common stock per offering period (with a $25,000 cap per calendar year). The employee's purchase price is equal to (i) 85% of the closing price of a share of the Company's common stock on the enrollment date of such offering period or (ii) 85% of the closing price of a share of the Company's common stock on the Exercise Date of such Offering Period, whichever is lower. In May 2017, the Company's stockholders approved an amendment and restatement to the 2012 ESPP (the "2017 ESPP") in order to effect an increase of authorized shares from 50,000 to 100,000. In June 2018, the Company's stockholders approved an amendment to the 2017 ESPP (the " Amended 2017 ESPP") in order to effect an increase of authorized shares from 100,000 to 500,000. During the year ended December 31, 2019, 25,809 shares were issued under the Amended 2017 ESPP. At December 31, 2019, the Company had 379,846 shares of the Company's common stock available for future grant in connection with this plan.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8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$1,000,000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w:t>
      </w:r>
    </w:p>
    <w:p>
      <w:pPr>
        <w:spacing w:after="0" w:line="7" w:lineRule="exact"/>
        <w:rPr>
          <w:sz w:val="20"/>
          <w:szCs w:val="20"/>
          <w:color w:val="auto"/>
        </w:rPr>
      </w:pPr>
    </w:p>
    <w:p>
      <w:pPr>
        <w:jc w:val="both"/>
        <w:ind w:firstLine="8"/>
        <w:spacing w:after="0" w:line="25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Company had not made any sales of common stock to Lincoln Park under the Purchase Agreement other than the Initial Purchase.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2018, the Company entered into a common stock sales agreement with H.C. Wainwright &amp; Co., LLC ("HCW") as sales agent, which was subsequently amended in August 2018 (the "Sales Agreement"), in connection with an “at the market offering” under which the Company from time to time may offer and sell shares of its common stock, having an aggregate offering price of not more than $25.0 million. In March 2019, subsequent to the filing of the Company's 2018 Form 10-K, the aggregate market value of its outstanding common stock held by non-affiliates was approximately $52.8 million. Pursuant to General Instruction I.B.6 of Form S-3, since the aggregate market value of the Company's outstanding common stock held by non-affiliates was below $75.0 million at the time of its 2018 Form 10-K filing, the aggregate amount of securities that the Company was permitted to offer and sell at such time was reduced to $17.6 million (or a maximum of 4.8 million shares), which was equal to one-third of the aggregate market value of the Company's common stock held by non-affiliates at such time.</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2019, the Company issued 260,349 shares of common stock under the Sales Agreement for net proceeds of $1.3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for stock options and warrants for the year ended December 31,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rPr>
              <w:t>Stock Options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Warrants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280" w:type="dxa"/>
            <w:vAlign w:val="bottom"/>
            <w:gridSpan w:val="2"/>
          </w:tcPr>
          <w:p>
            <w:pPr>
              <w:ind w:left="400"/>
              <w:spacing w:after="0" w:line="157"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1"/>
              </w:rPr>
              <w:t>Weighted</w:t>
            </w:r>
          </w:p>
        </w:tc>
        <w:tc>
          <w:tcPr>
            <w:tcW w:w="11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4"/>
              </w:rPr>
              <w:t>Weighted</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2"/>
              </w:rPr>
              <w:t>Aggregate</w:t>
            </w:r>
          </w:p>
        </w:tc>
        <w:tc>
          <w:tcPr>
            <w:tcW w:w="112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4"/>
              </w:rPr>
              <w:t>Weighted</w:t>
            </w:r>
          </w:p>
        </w:tc>
        <w:tc>
          <w:tcPr>
            <w:tcW w:w="11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Weighted</w:t>
            </w:r>
          </w:p>
        </w:tc>
        <w:tc>
          <w:tcPr>
            <w:tcW w:w="160" w:type="dxa"/>
            <w:vAlign w:val="bottom"/>
          </w:tcPr>
          <w:p>
            <w:pPr>
              <w:spacing w:after="0"/>
              <w:rPr>
                <w:sz w:val="13"/>
                <w:szCs w:val="13"/>
                <w:color w:val="auto"/>
              </w:rPr>
            </w:pPr>
          </w:p>
        </w:tc>
        <w:tc>
          <w:tcPr>
            <w:tcW w:w="86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Intrinsic Value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Average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Average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Intrinsic 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Exercise Price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Remaining</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(In Thousands)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Exercise Price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Contractual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Contractual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Term (Years)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Term (Years)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1,018,530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30.50</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during the Year:</w:t>
            </w: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209,346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Forfeited</w:t>
            </w:r>
          </w:p>
        </w:tc>
        <w:tc>
          <w:tcPr>
            <w:tcW w:w="1160" w:type="dxa"/>
            <w:vAlign w:val="bottom"/>
          </w:tcPr>
          <w:p>
            <w:pPr>
              <w:jc w:val="right"/>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(180,594)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71.92</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2019</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1,044,417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18.31</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Vested at December 31, 2019 or</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1,028,387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18.52</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expected to vest in the future</w:t>
            </w: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Exercisable at December 31, 2019</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804,407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22.41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During the years ended December 31, 2019 and 2018, the Company issued restricted stock for services as follows ($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347980</wp:posOffset>
            </wp:positionV>
            <wp:extent cx="1697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6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Restricted Stock Issued</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91,740</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1"/>
        </w:trPr>
        <w:tc>
          <w:tcPr>
            <w:tcW w:w="6380" w:type="dxa"/>
            <w:vAlign w:val="bottom"/>
          </w:tcPr>
          <w:p>
            <w:pPr>
              <w:ind w:left="20"/>
              <w:spacing w:after="0"/>
              <w:rPr>
                <w:sz w:val="20"/>
                <w:szCs w:val="20"/>
                <w:color w:val="auto"/>
              </w:rPr>
            </w:pPr>
            <w:r>
              <w:rPr>
                <w:rFonts w:ascii="Arial" w:cs="Arial" w:eastAsia="Arial" w:hAnsi="Arial"/>
                <w:sz w:val="18"/>
                <w:szCs w:val="18"/>
                <w:color w:val="auto"/>
              </w:rPr>
              <w:t>Value of Restricted Stock Issued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weighted average estimated fair value of restricted stock issued for services in the years ended December 31, 2019 and 2018 was $4.95 and $3.79 per share, respectively. The fair value of the restricted stock was determined using the Company’s closing stock price on the date of issuance. The vesting terms of restricted stock issuances are generally between one to four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years ended December 31, 2019 and 2018, the Company issued restricted stock units for services as follows ($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306070</wp:posOffset>
            </wp:positionV>
            <wp:extent cx="1697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6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Restricted Stock Units Issued</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139,497</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1"/>
        </w:trPr>
        <w:tc>
          <w:tcPr>
            <w:tcW w:w="6380" w:type="dxa"/>
            <w:vAlign w:val="bottom"/>
          </w:tcPr>
          <w:p>
            <w:pPr>
              <w:ind w:left="20"/>
              <w:spacing w:after="0"/>
              <w:rPr>
                <w:sz w:val="20"/>
                <w:szCs w:val="20"/>
                <w:color w:val="auto"/>
              </w:rPr>
            </w:pPr>
            <w:r>
              <w:rPr>
                <w:rFonts w:ascii="Arial" w:cs="Arial" w:eastAsia="Arial" w:hAnsi="Arial"/>
                <w:sz w:val="18"/>
                <w:szCs w:val="18"/>
                <w:color w:val="auto"/>
              </w:rPr>
              <w:t>Value of Restricted Stock Units Issued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weighted average estimated fair value of restricted stock issued for services in the years ended December 31, 2019 and 2018 was $4.93 and $5.10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utilizes share-based compensation in the form of stock options and restricted stock. The following table summarizes the components of share-based compensation expense for the years ended December 31, 2019 and 2018 ($ in thousands):</w:t>
      </w:r>
    </w:p>
    <w:p>
      <w:pPr>
        <w:sectPr>
          <w:pgSz w:w="11900" w:h="16838" w:orient="portrait"/>
          <w:cols w:equalWidth="0" w:num="1">
            <w:col w:w="11420"/>
          </w:cols>
          <w:pgMar w:left="240" w:top="122"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Index</w:t>
              </w:r>
            </w:hyperlink>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01"/>
        </w:trPr>
        <w:tc>
          <w:tcPr>
            <w:tcW w:w="340" w:type="dxa"/>
            <w:vAlign w:val="bottom"/>
            <w:tcBorders>
              <w:top w:val="single" w:sz="8" w:color="0000EE"/>
            </w:tcBorders>
          </w:tcPr>
          <w:p>
            <w:pPr>
              <w:spacing w:after="0"/>
              <w:rPr>
                <w:sz w:val="24"/>
                <w:szCs w:val="24"/>
                <w:color w:val="auto"/>
              </w:rPr>
            </w:pPr>
          </w:p>
        </w:tc>
        <w:tc>
          <w:tcPr>
            <w:tcW w:w="8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270"/>
              <w:spacing w:after="0"/>
              <w:rPr>
                <w:sz w:val="20"/>
                <w:szCs w:val="20"/>
                <w:color w:val="auto"/>
              </w:rPr>
            </w:pPr>
            <w:r>
              <w:rPr>
                <w:rFonts w:ascii="Arial" w:cs="Arial" w:eastAsia="Arial" w:hAnsi="Arial"/>
                <w:sz w:val="18"/>
                <w:szCs w:val="18"/>
                <w:color w:val="auto"/>
                <w:w w:val="93"/>
              </w:rPr>
              <w:t>Year Ended December 31,</w:t>
            </w:r>
          </w:p>
        </w:tc>
      </w:tr>
      <w:tr>
        <w:trPr>
          <w:trHeight w:val="27"/>
        </w:trPr>
        <w:tc>
          <w:tcPr>
            <w:tcW w:w="3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r>
      <w:tr>
        <w:trPr>
          <w:trHeight w:val="27"/>
        </w:trPr>
        <w:tc>
          <w:tcPr>
            <w:tcW w:w="34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2,007</w:t>
            </w:r>
          </w:p>
        </w:tc>
      </w:tr>
      <w:tr>
        <w:trPr>
          <w:trHeight w:val="27"/>
        </w:trPr>
        <w:tc>
          <w:tcPr>
            <w:tcW w:w="340" w:type="dxa"/>
            <w:vAlign w:val="bottom"/>
            <w:tcBorders>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r>
      <w:tr>
        <w:trPr>
          <w:trHeight w:val="20"/>
        </w:trPr>
        <w:tc>
          <w:tcPr>
            <w:tcW w:w="3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unvested awards not yet recognized and the weighted-average periods over which the awards are expected to be recognized at December 31, 2019 were as follows ($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4"/>
              </w:rPr>
              <w:t>Restricted Stock</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Units</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91"/>
              </w:rPr>
              <w:t>Restricted Stock</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1.82</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years ended December 31, 2019 and 2018 were as follows ($ in thousands):</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3"/>
          </w:tcPr>
          <w:p>
            <w:pPr>
              <w:jc w:val="right"/>
              <w:ind w:right="430"/>
              <w:spacing w:after="0"/>
              <w:rPr>
                <w:sz w:val="20"/>
                <w:szCs w:val="20"/>
                <w:color w:val="auto"/>
              </w:rPr>
            </w:pPr>
            <w:r>
              <w:rPr>
                <w:rFonts w:ascii="Arial" w:cs="Arial" w:eastAsia="Arial" w:hAnsi="Arial"/>
                <w:sz w:val="18"/>
                <w:szCs w:val="18"/>
                <w:color w:val="auto"/>
              </w:rPr>
              <w:t>Stock Options</w:t>
            </w:r>
          </w:p>
        </w:tc>
      </w:tr>
      <w:tr>
        <w:trPr>
          <w:trHeight w:val="27"/>
        </w:trPr>
        <w:tc>
          <w:tcPr>
            <w:tcW w:w="7120" w:type="dxa"/>
            <w:vAlign w:val="bottom"/>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w w:val="92"/>
              </w:rPr>
              <w:t>Year Ended December 31,</w:t>
            </w:r>
          </w:p>
        </w:tc>
      </w:tr>
      <w:tr>
        <w:trPr>
          <w:trHeight w:val="27"/>
        </w:trPr>
        <w:tc>
          <w:tcPr>
            <w:tcW w:w="7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Weighted average estimated fair value of shares granted</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The range of assumptions made in calculating the fair values of stock options was as follow:</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0"/>
              </w:rPr>
              <w:t>Stock Options</w:t>
            </w:r>
          </w:p>
        </w:tc>
      </w:tr>
      <w:tr>
        <w:trPr>
          <w:trHeight w:val="27"/>
        </w:trPr>
        <w:tc>
          <w:tcPr>
            <w:tcW w:w="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89"/>
              </w:rPr>
              <w:t>Year Ended December 31,</w:t>
            </w:r>
          </w:p>
        </w:tc>
      </w:tr>
      <w:tr>
        <w:trPr>
          <w:trHeight w:val="27"/>
        </w:trPr>
        <w:tc>
          <w:tcPr>
            <w:tcW w:w="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78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 minimum (in years)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r>
      <w:tr>
        <w:trPr>
          <w:trHeight w:val="243"/>
        </w:trPr>
        <w:tc>
          <w:tcPr>
            <w:tcW w:w="78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Expected term - maximum (in years)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7"/>
        </w:trPr>
        <w:tc>
          <w:tcPr>
            <w:tcW w:w="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 - minimum</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68%</w:t>
            </w:r>
          </w:p>
        </w:tc>
      </w:tr>
      <w:tr>
        <w:trPr>
          <w:trHeight w:val="243"/>
        </w:trPr>
        <w:tc>
          <w:tcPr>
            <w:tcW w:w="78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Expected volatility - maximum</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74%</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73%</w:t>
            </w:r>
          </w:p>
        </w:tc>
      </w:tr>
      <w:tr>
        <w:trPr>
          <w:trHeight w:val="27"/>
        </w:trPr>
        <w:tc>
          <w:tcPr>
            <w:tcW w:w="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72%</w:t>
            </w:r>
          </w:p>
        </w:tc>
      </w:tr>
      <w:tr>
        <w:trPr>
          <w:trHeight w:val="243"/>
        </w:trPr>
        <w:tc>
          <w:tcPr>
            <w:tcW w:w="78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 minimum</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2.35%</w:t>
            </w:r>
          </w:p>
        </w:tc>
      </w:tr>
      <w:tr>
        <w:trPr>
          <w:trHeight w:val="243"/>
        </w:trPr>
        <w:tc>
          <w:tcPr>
            <w:tcW w:w="78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Risk-free interest rate - maximum</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2.62%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2.96%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Research Funding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2017, the California Institute for Regenerative Medicine ("CIRM") awarded the Company funds of up to $12.2 million to support the T-Rex Study. The funding will be based upon the achievement of certain milestones related to the proportion of subjects enrolled in California, as well as manufacturing and development costs incurred in California. In March 2018, CIRM calculated the precise amount of the funding award as $8.1 million, based on the actual number of subjects enrolled in California. The Company received $5.7 million in initial funding in May 2017, and a $1.9 million milestone payment in December 2017,</w:t>
      </w:r>
    </w:p>
    <w:p>
      <w:pPr>
        <w:sectPr>
          <w:pgSz w:w="11900" w:h="16838" w:orient="portrait"/>
          <w:cols w:equalWidth="0" w:num="1">
            <w:col w:w="11420"/>
          </w:cols>
          <w:pgMar w:left="240" w:top="1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14"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$0.3 million progress payment in March 2018, and $200,000 progress payment in May 2019, of which the total will be amortized over the estimated award period through July 2020 as a reduction to the related research and development expenses. As of December 31, 2019, $1.6 million of the funding received is recorded in accrued liabilities, representing the amount expected to be recognized over the next 12 months. During the years ended December 31, 2019 and December 31, 2018, the Company amortized and recognized a $2.7 million and $2.6 million credit to research and development related to CIRM funds received.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Income Taxes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taxes is based on loss from operations before provision for income taxes and noncontrolling interests as follows ($ in thousands):</w:t>
      </w:r>
    </w:p>
    <w:p>
      <w:pPr>
        <w:spacing w:after="0" w:line="284"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6"/>
              </w:rPr>
              <w:t>Years Ended December 31,</w:t>
            </w:r>
          </w:p>
        </w:tc>
      </w:tr>
      <w:tr>
        <w:trPr>
          <w:trHeight w:val="264"/>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Pre-tax book income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(16,168)</w:t>
            </w: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provision for income taxes is determined by applying the U.S. Federal statutory rate of 21% to income before income taxes as a result of the following ($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6"/>
              </w:rPr>
              <w:t>Years Ended December 31,</w:t>
            </w:r>
          </w:p>
        </w:tc>
      </w:tr>
      <w:tr>
        <w:trPr>
          <w:trHeight w:val="264"/>
        </w:trPr>
        <w:tc>
          <w:tcPr>
            <w:tcW w:w="68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benefit at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State and local (benefit) / expense net of U.S. federal tax</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non deductible expenses for U.S.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AMT credit benefit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state deferred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Return to actual</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true ups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Effect of change in deferred tax rate</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w:t>
            </w: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taxes at December 31, 2019 and 2018 consist of the following ($ in thousands):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Accumulated net operating losses (tax effected)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70,747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60,544</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CIRM funding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Right of use liability</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Charitable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525</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68,831</w:t>
            </w:r>
          </w:p>
        </w:tc>
      </w:tr>
      <w:tr>
        <w:trPr>
          <w:trHeight w:val="324"/>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68,831</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(68,831)</w:t>
            </w: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and 2018, the Company had approximately $246 million and $225 million, respectively of Federal NOLs available to offset future taxable income expiring from 2030 through 2036. In accordance with Section 382 of the Internal Revenue code, the usage of the Company’s NOLs could be limited in the event of a change in ownership. The ultimate realization of deferred tax assets is dependent upon the generation of future taxable income during the period when those temporary differences become deductible.</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performed an analysis and determined that they have had ownership change of greater than 50% over a 3-year testing period. The last ownership change was determined to be on June 3, 2015. Based on a market capitalization of $125 million and using an applicable federal rate of 2.5% the annual limitation would be approximately $3.0 million. Post change losses from June 3, 2015 would not be subject to 382 limitations.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certain tax positions as a component of income tax expense.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years prior to 2016 the federal statute of limitations is closed for assessing tax. The Company’s state tax returns remain open to examination for a period of three to four years from date of filing.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Contingencies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Disclosure controls and procedures are the Company’s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2019, we carried out an evaluation, with the participation of our management, including our Chief Executive Officer and Chief Financial Officer, of the effectiveness of the Company’s disclosure controls and procedures as defined in Rules 13a-15(e) and 15d-15(e) under the Securities Exchange Act of 1934. Based on that evaluation, our Chief Executive Officer and Chief Financial Officer concluded that the Company’s disclosure controls and procedures were effective, at the reasonable assurance level, in ensuring that information required to be disclosed by the Company in the reports that it files or submits under the Exchange Act is recorded, processed, summarized and reported, within the time periods specified in the SEC’s rules and forms and is accumulated and communicated to management, including the Chief Executive Officer and Chief Financial Officer, as appropriate to allow timely decisions regarding required disclosure.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Securities Exchange Act of 1934.</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3"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the board of directors of the Company;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because of declines in the degree of compliance with policies or procedures.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2019.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 (2013)</w:t>
      </w:r>
      <w:r>
        <w:rPr>
          <w:rFonts w:ascii="Arial" w:cs="Arial" w:eastAsia="Arial" w:hAnsi="Arial"/>
          <w:sz w:val="18"/>
          <w:szCs w:val="18"/>
          <w:color w:val="auto"/>
        </w:rPr>
        <w:t>.</w:t>
      </w:r>
    </w:p>
    <w:p>
      <w:pPr>
        <w:spacing w:after="0" w:line="73" w:lineRule="exact"/>
        <w:rPr>
          <w:sz w:val="20"/>
          <w:szCs w:val="20"/>
          <w:color w:val="auto"/>
        </w:rPr>
      </w:pPr>
    </w:p>
    <w:p>
      <w:pPr>
        <w:ind w:right="1460" w:firstLine="324"/>
        <w:spacing w:after="0" w:line="375" w:lineRule="auto"/>
        <w:rPr>
          <w:sz w:val="20"/>
          <w:szCs w:val="20"/>
          <w:color w:val="auto"/>
        </w:rPr>
      </w:pPr>
      <w:r>
        <w:rPr>
          <w:rFonts w:ascii="Arial" w:cs="Arial" w:eastAsia="Arial" w:hAnsi="Arial"/>
          <w:sz w:val="18"/>
          <w:szCs w:val="18"/>
          <w:color w:val="auto"/>
        </w:rPr>
        <w:t xml:space="preserve">As of December 31, 2019, based on management’s assessment, the Company’s internal control over financial reporting was effective. </w:t>
      </w:r>
      <w:r>
        <w:rPr>
          <w:rFonts w:ascii="Arial" w:cs="Arial" w:eastAsia="Arial" w:hAnsi="Arial"/>
          <w:sz w:val="18"/>
          <w:szCs w:val="18"/>
          <w:u w:val="single" w:color="auto"/>
          <w:color w:val="auto"/>
        </w:rPr>
        <w:t>Changes in Internal Control over Financial Reporting</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quarter ended December 31, 2019 that have materially affected, or are reasonably likely to materially affect, the Company’s internal control over financial reporting.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22" w:right="1440"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"Management and Corporate and Governance Matters," "Section 16(a) Beneficial Ownership Reporting Compliance," and "Code of Conduct and Ethics" in the Company's Proxy Statement for the 2020 Annual Meeting of Stockholders.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“Executive Officer and Director Compensation,” in the Company’s Proxy Statement for the 2020 Annual Meeting of Stockholders.</w:t>
      </w:r>
    </w:p>
    <w:p>
      <w:pPr>
        <w:spacing w:after="0" w:line="3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“Security Ownership of Certain Beneficial Owners and Management” and “Equity Compensation Plan Information” in the Company’s Proxy Statement for the 2020 Annual Meeting of Stockholders.</w:t>
      </w:r>
    </w:p>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under the captions “Certain Relationships and Related Transactions” and “Management and Corporate Governance Matters” in the Company’s Proxy Statement for the 2020 Annual Meeting of Stockholders.</w:t>
      </w:r>
    </w:p>
    <w:p>
      <w:pPr>
        <w:spacing w:after="0" w:line="33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“Independent Public Accountants” in the Company’s Proxy Statement for the 2020 Annual Meeting of Stockholders.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being filed as part of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the Index to Financial Statements and Financial Statement Schedule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Index to Financial Statements and Financial Statement Schedule on Page 44 of this Annual Report on Form 10-K.</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 or because the information required is included in the Financial Statements or Notes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 list of exhibits filed (or furnished, where specified) as part of this Annual Report on Form 10-K. Exhibits that were previously filed are described below and are incorporated by reference. For exhibits incorporated by reference, the location of the exhibit in the previous filing is indicated.</w:t>
      </w:r>
    </w:p>
    <w:p>
      <w:pPr>
        <w:spacing w:after="0" w:line="200" w:lineRule="exact"/>
        <w:rPr>
          <w:sz w:val="20"/>
          <w:szCs w:val="20"/>
          <w:color w:val="auto"/>
        </w:rPr>
      </w:pPr>
    </w:p>
    <w:p>
      <w:pPr>
        <w:spacing w:after="0" w:line="21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Exhibit</w:t>
            </w: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338"/>
        </w:trPr>
        <w:tc>
          <w:tcPr>
            <w:tcW w:w="580" w:type="dxa"/>
            <w:vAlign w:val="bottom"/>
            <w:gridSpan w:val="3"/>
          </w:tcPr>
          <w:p>
            <w:pPr>
              <w:jc w:val="right"/>
              <w:spacing w:after="0"/>
              <w:rPr>
                <w:rFonts w:ascii="Arial" w:cs="Arial" w:eastAsia="Arial" w:hAnsi="Arial"/>
                <w:sz w:val="18"/>
                <w:szCs w:val="18"/>
                <w:color w:val="0000FF"/>
              </w:rPr>
            </w:pPr>
            <w:hyperlink r:id="rId1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1"/>
              </w:rPr>
              <w:t>Amended and Restated Certificate of Incorporation of Caladrius Biosciences, Inc., as amended, effective July 27, 2016 (filed</w:t>
            </w: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as Exhibit 3.1 to the Company’s on Form 10-Q for the quarter ended June 30, 2016, filed with the SEC on August 9, 2016).</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0"/>
              </w:rPr>
              <w:t>Amended and Restated By-Laws of the Caladrius Biosciences, Inc. as amended, effective as of July 27, 2016 (filed as Exhibit</w:t>
            </w:r>
          </w:p>
        </w:tc>
      </w:tr>
      <w:tr>
        <w:trPr>
          <w:trHeight w:val="222"/>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3.2 to the Company’s Quarterly Report on Form 10-Q for the quarter ended June 30, 2016, filed with the SEC on August 9,</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2016).</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Amendments to Amended and Restated Bylaws of Caladrius Biosciences, Inc., effective as of September 18, 2017 (filed as</w:t>
            </w: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Exhibit 3.1 to the Company's Current Report on Form 8-K, filed with the SEC on September 21, 2017).</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1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4"/>
              </w:rPr>
              <w:t>Form of Trust Indenture (filed as Exhibit 4.5 to the Company's Registration Statement on Form S-3, File No. 333-206175,</w:t>
            </w: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filed with the SEC on August 6, 2015).</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1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Form of Warrant (filed as Exhibit 4.1 to the Company's Quarterly Report on Form 10-Q, filed with the SEC on May 5, 2016).</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574"/>
        </w:trPr>
        <w:tc>
          <w:tcPr>
            <w:tcW w:w="58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Description of Capital Stock.</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547"/>
        </w:trPr>
        <w:tc>
          <w:tcPr>
            <w:tcW w:w="580" w:type="dxa"/>
            <w:vAlign w:val="bottom"/>
            <w:gridSpan w:val="3"/>
          </w:tcPr>
          <w:p>
            <w:pPr>
              <w:jc w:val="right"/>
              <w:spacing w:after="0"/>
              <w:rPr>
                <w:rFonts w:ascii="Arial" w:cs="Arial" w:eastAsia="Arial" w:hAnsi="Arial"/>
                <w:sz w:val="18"/>
                <w:szCs w:val="18"/>
                <w:color w:val="0000FF"/>
              </w:rPr>
            </w:pPr>
            <w:hyperlink r:id="rId1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6"/>
              </w:rPr>
              <w:t>Director Compensation Policy (filed as Exhibit 10.1 to the Company’s Annual Report on Form 10-K for the year ended</w:t>
            </w:r>
          </w:p>
        </w:tc>
      </w:tr>
      <w:tr>
        <w:trPr>
          <w:trHeight w:val="237"/>
        </w:trPr>
        <w:tc>
          <w:tcPr>
            <w:tcW w:w="2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December 31, 2018, filed with the SEC on March 22, 2018 and amended on April 2, 2018).</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2015 Equity Compensation Plan (filed as Annex A to the Company’s Definitive Proxy Statement filed on Schedule 14A, filed</w:t>
            </w:r>
          </w:p>
        </w:tc>
      </w:tr>
      <w:tr>
        <w:trPr>
          <w:trHeight w:val="237"/>
        </w:trPr>
        <w:tc>
          <w:tcPr>
            <w:tcW w:w="2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with the SEC on June 8, 2015).</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60" w:type="dxa"/>
            <w:vAlign w:val="bottom"/>
          </w:tcPr>
          <w:p>
            <w:pPr>
              <w:ind w:left="380"/>
              <w:spacing w:after="0"/>
              <w:rPr>
                <w:sz w:val="20"/>
                <w:szCs w:val="20"/>
                <w:color w:val="auto"/>
              </w:rPr>
            </w:pPr>
            <w:r>
              <w:rPr>
                <w:rFonts w:ascii="Arial" w:cs="Arial" w:eastAsia="Arial" w:hAnsi="Arial"/>
                <w:sz w:val="18"/>
                <w:szCs w:val="18"/>
                <w:color w:val="auto"/>
                <w:w w:val="93"/>
              </w:rPr>
              <w:t>2017 Employee Stock Purchase Plan (filed as Exhibit 10.1 to the Company’s Quarterly Report on Form 10-Q filed with the</w:t>
            </w:r>
          </w:p>
        </w:tc>
      </w:tr>
      <w:tr>
        <w:trPr>
          <w:trHeight w:val="237"/>
        </w:trPr>
        <w:tc>
          <w:tcPr>
            <w:tcW w:w="2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SEC on August 10, 2017).</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1">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3"/>
              </w:rPr>
              <w:t>Form of Indemnification Agreement for executive officers (filed as Exhibit 10.44 to the Company's Annual Report on Form</w:t>
            </w:r>
          </w:p>
        </w:tc>
      </w:tr>
      <w:tr>
        <w:trPr>
          <w:trHeight w:val="237"/>
        </w:trPr>
        <w:tc>
          <w:tcPr>
            <w:tcW w:w="2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10-K for the fiscal year ended December 31, 2014 as filed with the SEC on March 2, 2015).</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2">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1"/>
              </w:rPr>
              <w:t>Second Amendment to Loan and Security Agreement, dated September 15, 2015, by and between the Company and Oxford</w:t>
            </w:r>
          </w:p>
        </w:tc>
      </w:tr>
      <w:tr>
        <w:trPr>
          <w:trHeight w:val="222"/>
        </w:trPr>
        <w:tc>
          <w:tcPr>
            <w:tcW w:w="26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3"/>
              </w:rPr>
              <w:t>Finance LLC (filed as Exhibit 10.2 to the Company’s Quarterly Report on Form 10-Q for the quarter ended September 30,</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2015, filed with the SEC on November 5, 2015).</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8"/>
              </w:rPr>
              <w:t>Consent and Third Amendment to Loan and Security Agreement, dated March 11, 2016, by and between Caladrius</w:t>
            </w:r>
          </w:p>
        </w:tc>
      </w:tr>
      <w:tr>
        <w:trPr>
          <w:trHeight w:val="222"/>
        </w:trPr>
        <w:tc>
          <w:tcPr>
            <w:tcW w:w="26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3"/>
              </w:rPr>
              <w:t>Biosciences, Inc., and Oxford Finance LLC (filed as Exhibit 10.6 to the Company’s Quarterly Report on Form 10-Q. for the</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quarter ended March 31, 2016, filed with the SEC on May 5, 2016).</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7"/>
              </w:rPr>
              <w:t>Unit Purchase Agreement, dated March 11, 2016, by and among Caladrius Biosciences, Inc., PCT, LLC, a Caladrius</w:t>
            </w:r>
          </w:p>
        </w:tc>
      </w:tr>
      <w:tr>
        <w:trPr>
          <w:trHeight w:val="222"/>
        </w:trPr>
        <w:tc>
          <w:tcPr>
            <w:tcW w:w="26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3"/>
              </w:rPr>
              <w:t>Company and Hitachi Chemical Co. America, LTD (filed as Exhibit 10.1 to the Company’s Quarterly Report on Form 10-Q</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for the quarter ended March 31, 2016, filed with the SEC on May 5, 2016).</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4"/>
              </w:rPr>
              <w:t>Amended and Restated Operating Agreement of PCT, LLC, a Caladrius Company, dated March 11, 2016, by and among</w:t>
            </w:r>
          </w:p>
        </w:tc>
      </w:tr>
      <w:tr>
        <w:trPr>
          <w:trHeight w:val="222"/>
        </w:trPr>
        <w:tc>
          <w:tcPr>
            <w:tcW w:w="26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PCT, LLC, a Caladrius Company, Caladrius Biosciences, Inc. and Hitachi Chemical Co. America, LTD (filed as Exhibit 10.2</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1"/>
              </w:rPr>
              <w:t>to the Company’s Quarterly Report on Form 10-Q for the quarter ended March 31, 2016, filed with the SEC on May 5, 2016).</w:t>
            </w:r>
          </w:p>
        </w:tc>
      </w:tr>
      <w:tr>
        <w:trPr>
          <w:trHeight w:val="527"/>
        </w:trPr>
        <w:tc>
          <w:tcPr>
            <w:tcW w:w="580" w:type="dxa"/>
            <w:vAlign w:val="bottom"/>
            <w:gridSpan w:val="3"/>
          </w:tcPr>
          <w:p>
            <w:pPr>
              <w:jc w:val="right"/>
              <w:spacing w:after="0"/>
              <w:rPr>
                <w:rFonts w:ascii="Arial" w:cs="Arial" w:eastAsia="Arial" w:hAnsi="Arial"/>
                <w:sz w:val="18"/>
                <w:szCs w:val="18"/>
                <w:color w:val="0000FF"/>
              </w:rPr>
            </w:pPr>
            <w:hyperlink r:id="rId2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54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6"/>
              </w:rPr>
              <w:t>Technology License Agreement, dated March 11, 2016, by and between PCT, LLC, a Caladrius Company and Hitachi</w:t>
            </w:r>
          </w:p>
        </w:tc>
      </w:tr>
      <w:tr>
        <w:trPr>
          <w:trHeight w:val="222"/>
        </w:trPr>
        <w:tc>
          <w:tcPr>
            <w:tcW w:w="26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2"/>
              </w:rPr>
              <w:t>Chemical Co. LTD (filed as Exhibit 10.3 to the Company’s Quarterly Report on Form 10-Q. for the quarter ended March 31,</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2016, filed with the SEC on May 5, 2016).</w:t>
            </w:r>
          </w:p>
        </w:tc>
      </w:tr>
    </w:tbl>
    <w:p>
      <w:pPr>
        <w:spacing w:after="0" w:line="200" w:lineRule="exact"/>
        <w:rPr>
          <w:sz w:val="20"/>
          <w:szCs w:val="20"/>
          <w:color w:val="auto"/>
        </w:rPr>
      </w:pPr>
    </w:p>
    <w:p>
      <w:pPr>
        <w:sectPr>
          <w:pgSz w:w="11900" w:h="16838" w:orient="portrait"/>
          <w:cols w:equalWidth="0" w:num="1">
            <w:col w:w="11420"/>
          </w:cols>
          <w:pgMar w:left="240" w:top="122" w:right="239" w:bottom="1136"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136"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366"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2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540" w:type="dxa"/>
            <w:vAlign w:val="bottom"/>
          </w:tcPr>
          <w:p>
            <w:pPr>
              <w:spacing w:after="0"/>
              <w:rPr>
                <w:sz w:val="17"/>
                <w:szCs w:val="17"/>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5"/>
              </w:rPr>
              <w:t>Interest Purchase Agreement, by and among Hitachi Chemical Co. America, Ltd., PCT LLC, a Caladrius Company and</w:t>
            </w:r>
          </w:p>
        </w:tc>
      </w:tr>
      <w:tr>
        <w:trPr>
          <w:trHeight w:val="222"/>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2"/>
              </w:rPr>
              <w:t>Caladrius Biosciences, Inc., dated as of March 16, 2017 (filed as Exhibit 2.1 to the Company's Current Report on Form 8-K</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filed with the SEC on March 17, 2017).</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2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540" w:type="dxa"/>
            <w:vAlign w:val="bottom"/>
          </w:tcPr>
          <w:p>
            <w:pPr>
              <w:spacing w:after="0"/>
              <w:rPr>
                <w:sz w:val="24"/>
                <w:szCs w:val="24"/>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2"/>
              </w:rPr>
              <w:t>Warrant for the Purchase of Units of PCT, LLC, a Caladrius Company, effective as of March 16, 2017 (filed as Exhibit 10.1</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to the Company's Current Report on Form 8-K filed with the SEC on March 17, 2017).</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2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540" w:type="dxa"/>
            <w:vAlign w:val="bottom"/>
          </w:tcPr>
          <w:p>
            <w:pPr>
              <w:spacing w:after="0"/>
              <w:rPr>
                <w:sz w:val="24"/>
                <w:szCs w:val="24"/>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1"/>
              </w:rPr>
              <w:t>Common Stock Sales Agreement, dated February 8, 2018, by and between Caladrius Biosciences, Inc. and H.C. Wainwright</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4"/>
              </w:rPr>
              <w:t>&amp; Co., LLC (filed as Exhibit 10.1 to the Company’s Current Report on Form 8-K filed with the SEC on February 8, 2018).</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540" w:type="dxa"/>
            <w:vAlign w:val="bottom"/>
          </w:tcPr>
          <w:p>
            <w:pPr>
              <w:spacing w:after="0"/>
              <w:rPr>
                <w:sz w:val="24"/>
                <w:szCs w:val="24"/>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0"/>
              </w:rPr>
              <w:t>First Amendment to the Common Stock Sales Agreement, dated August 2, 2018, by and between Caladrius Biosciences, Inc.</w:t>
            </w:r>
          </w:p>
        </w:tc>
      </w:tr>
      <w:tr>
        <w:trPr>
          <w:trHeight w:val="222"/>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5"/>
              </w:rPr>
              <w:t>and H.C. Wainwright &amp; Co., LLC (filed as Exhibit 10.1 to the Company’s Current Report on Form 8-K filed with the SEC</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on August 2, 2018).</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2"/>
              </w:rPr>
              <w:t>Employment Agreement, dated as of January 5, 2015 and effective on January 5, 2015, by and between the Company and</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7"/>
              </w:rPr>
              <w:t>David J. Mazzo, Ph.D. (filed as Exhibit 10.2 to the Company's Current Report on Form 8-K filed on January 5, 2015).</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0"/>
              </w:rPr>
              <w:t>Amendment, dated as of January 16, 2015, to Employment Agreement, dated as of January 5, 2015 and effective on January</w:t>
            </w:r>
          </w:p>
        </w:tc>
      </w:tr>
      <w:tr>
        <w:trPr>
          <w:trHeight w:val="222"/>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1"/>
              </w:rPr>
              <w:t>5, 2015, by and between the Company and David J. Mazzo, Ph.D. (filed as Exhibit 10.2 to the Company's Current Report on</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Form 8-K filed on January 16, 2015).</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1"/>
              </w:rPr>
              <w:t>Amendment to Employment Agreement, dated as of July 25, 2016, by and between the Company and David J. Mazzo, PhD</w:t>
            </w:r>
          </w:p>
        </w:tc>
      </w:tr>
      <w:tr>
        <w:trPr>
          <w:trHeight w:val="222"/>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3"/>
              </w:rPr>
              <w:t>(filed as Exhibit 10.1 to the Company’s Quarterly Report on Form 10-Q. for the quarter ended June 30, 2016, filed with the</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SEC on August 9, 2016).</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5"/>
              </w:rPr>
              <w:t>Amendment to Employment Agreement with David J. Mazzo, effective September 18, 2017 (filed as Exhibit 10.1 to the</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with the SEC on September 21, 2017).</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9"/>
              </w:rPr>
              <w:t>Amendment to Employment Agreement with David J. Mazzo, dated December 6, 2018 (filed as Exhibit 10.1 to the</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with the SEC on December 7, 2018).</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1"/>
              </w:rPr>
              <w:t>Employment Agreement, dated as of August 9, 2016, by and between Caladrius Biosciences, Inc. and Douglas W. Losordo,</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MD (filed as Exhibit 10.1 to the Company’s Current Report on Form 8-K filed with the SEC on August 9, 2016).</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3"/>
              </w:rPr>
              <w:t>Amendment to Employment Letter with Doug Losordo, effective November 1, 2017 (filed as Exhibit 10.1 to the Company’s</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Current Report on Form 8-K filed with the SEC on November 1, 2017).</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2"/>
              </w:rPr>
              <w:t>Letter Agreement dated June 28, 2011 between the Company and Joseph Talamo (filed as Exhibit 10.10 to the Company's</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June 30, 2011 as filed with the SEC on August 12, 2011).</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3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22</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3"/>
              </w:rPr>
              <w:t>Offer Letter Amendment dated October 6, 2015, to Employment Agreement dated June 28, 2011 and effective October 6,</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2015, by and between the Company and Joseph Talamo.</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4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23</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4"/>
              </w:rPr>
              <w:t>Amendment to Letter Agreement, dated as of July 25, 2016, by and between the Company and Joseph Talamo (filed as</w:t>
            </w:r>
          </w:p>
        </w:tc>
      </w:tr>
      <w:tr>
        <w:trPr>
          <w:trHeight w:val="222"/>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3"/>
              </w:rPr>
              <w:t>Exhibit 10.2 to the Company’s Quarterly Report on Form 10-Q for the quarter ended June 30, 2016, filed with the SEC on</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August 9, 2016).</w:t>
            </w:r>
          </w:p>
        </w:tc>
      </w:tr>
      <w:tr>
        <w:trPr>
          <w:trHeight w:val="527"/>
        </w:trPr>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4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24</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w w:val="94"/>
              </w:rPr>
              <w:t>Purchase Agreement, dated March 13, 2019 by and between Caladrius Biosciences, Inc. and Lincoln Park Capital Fund,</w:t>
            </w:r>
          </w:p>
        </w:tc>
      </w:tr>
      <w:tr>
        <w:trPr>
          <w:trHeight w:val="237"/>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L.L.C. (filed as Exhibit 10.1 to the Company’s Current Report on Form 8-K filed with the SEC on March 14, 2019).</w:t>
            </w:r>
          </w:p>
        </w:tc>
      </w:tr>
      <w:tr>
        <w:trPr>
          <w:trHeight w:val="527"/>
        </w:trPr>
        <w:tc>
          <w:tcPr>
            <w:tcW w:w="400" w:type="dxa"/>
            <w:vAlign w:val="bottom"/>
            <w:gridSpan w:val="2"/>
          </w:tcPr>
          <w:p>
            <w:pPr>
              <w:jc w:val="right"/>
              <w:spacing w:after="0"/>
              <w:rPr>
                <w:rFonts w:ascii="Arial" w:cs="Arial" w:eastAsia="Arial" w:hAnsi="Arial"/>
                <w:sz w:val="18"/>
                <w:szCs w:val="18"/>
                <w:color w:val="0000FF"/>
              </w:rPr>
            </w:pPr>
            <w:hyperlink r:id="rId42">
              <w:r>
                <w:rPr>
                  <w:rFonts w:ascii="Arial" w:cs="Arial" w:eastAsia="Arial" w:hAnsi="Arial"/>
                  <w:sz w:val="18"/>
                  <w:szCs w:val="18"/>
                  <w:color w:val="0000FF"/>
                </w:rPr>
                <w:t>14.</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w w:val="95"/>
              </w:rPr>
              <w:t>Code of Ethics for Senior Financial Officers (filed as Exhibit 14.1 to the Company's Annual Report on Form 10-K for the</w:t>
            </w:r>
          </w:p>
        </w:tc>
      </w:tr>
      <w:tr>
        <w:trPr>
          <w:trHeight w:val="237"/>
        </w:trPr>
        <w:tc>
          <w:tcPr>
            <w:tcW w:w="10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year ended December 31, 2018 filed with the SEC on March 14, 2019).</w:t>
            </w:r>
          </w:p>
        </w:tc>
      </w:tr>
      <w:tr>
        <w:trPr>
          <w:trHeight w:val="527"/>
        </w:trPr>
        <w:tc>
          <w:tcPr>
            <w:tcW w:w="400" w:type="dxa"/>
            <w:vAlign w:val="bottom"/>
            <w:gridSpan w:val="2"/>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rPr>
              <w:t>Subsidiaries of Caladrius Biosciences, Inc.</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547"/>
        </w:trPr>
        <w:tc>
          <w:tcPr>
            <w:tcW w:w="400" w:type="dxa"/>
            <w:vAlign w:val="bottom"/>
            <w:gridSpan w:val="2"/>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rPr>
              <w:t>Consent of Grant Thornton LLP</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547"/>
        </w:trPr>
        <w:tc>
          <w:tcPr>
            <w:tcW w:w="40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944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122" w:right="259" w:bottom="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366"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70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4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47"/>
        </w:trPr>
        <w:tc>
          <w:tcPr>
            <w:tcW w:w="360" w:type="dxa"/>
            <w:vAlign w:val="bottom"/>
          </w:tcPr>
          <w:p>
            <w:pPr>
              <w:spacing w:after="0"/>
              <w:rPr>
                <w:sz w:val="24"/>
                <w:szCs w:val="24"/>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40" w:type="dxa"/>
            <w:vAlign w:val="bottom"/>
          </w:tcPr>
          <w:p>
            <w:pPr>
              <w:ind w:left="40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w:t>
            </w:r>
          </w:p>
        </w:tc>
      </w:tr>
      <w:tr>
        <w:trPr>
          <w:trHeight w:val="237"/>
        </w:trPr>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40" w:type="dxa"/>
            <w:vAlign w:val="bottom"/>
          </w:tcPr>
          <w:p>
            <w:pPr>
              <w:ind w:left="400"/>
              <w:spacing w:after="0"/>
              <w:rPr>
                <w:sz w:val="20"/>
                <w:szCs w:val="20"/>
                <w:color w:val="auto"/>
              </w:rPr>
            </w:pPr>
            <w:r>
              <w:rPr>
                <w:rFonts w:ascii="Arial" w:cs="Arial" w:eastAsia="Arial" w:hAnsi="Arial"/>
                <w:sz w:val="18"/>
                <w:szCs w:val="18"/>
                <w:color w:val="auto"/>
              </w:rPr>
              <w:t>to Section 906 of the Sarbanes-Oxley Act of 2002</w:t>
            </w:r>
          </w:p>
        </w:tc>
      </w:tr>
      <w:tr>
        <w:trPr>
          <w:trHeight w:val="702"/>
        </w:trPr>
        <w:tc>
          <w:tcPr>
            <w:tcW w:w="1200" w:type="dxa"/>
            <w:vAlign w:val="bottom"/>
            <w:gridSpan w:val="5"/>
          </w:tcPr>
          <w:p>
            <w:pPr>
              <w:jc w:val="right"/>
              <w:ind w:right="290"/>
              <w:spacing w:after="0"/>
              <w:rPr>
                <w:sz w:val="20"/>
                <w:szCs w:val="20"/>
                <w:color w:val="auto"/>
              </w:rPr>
            </w:pPr>
            <w:r>
              <w:rPr>
                <w:rFonts w:ascii="Arial" w:cs="Arial" w:eastAsia="Arial" w:hAnsi="Arial"/>
                <w:sz w:val="18"/>
                <w:szCs w:val="18"/>
                <w:color w:val="auto"/>
                <w:w w:val="99"/>
              </w:rPr>
              <w:t>101.INS †</w:t>
            </w:r>
          </w:p>
        </w:tc>
        <w:tc>
          <w:tcPr>
            <w:tcW w:w="944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378"/>
        </w:trPr>
        <w:tc>
          <w:tcPr>
            <w:tcW w:w="1200" w:type="dxa"/>
            <w:vAlign w:val="bottom"/>
            <w:gridSpan w:val="5"/>
          </w:tcPr>
          <w:p>
            <w:pPr>
              <w:jc w:val="right"/>
              <w:ind w:right="290"/>
              <w:spacing w:after="0"/>
              <w:rPr>
                <w:sz w:val="20"/>
                <w:szCs w:val="20"/>
                <w:color w:val="auto"/>
              </w:rPr>
            </w:pPr>
            <w:r>
              <w:rPr>
                <w:rFonts w:ascii="Arial" w:cs="Arial" w:eastAsia="Arial" w:hAnsi="Arial"/>
                <w:sz w:val="18"/>
                <w:szCs w:val="18"/>
                <w:color w:val="auto"/>
                <w:w w:val="90"/>
              </w:rPr>
              <w:t>101.SCH †</w:t>
            </w:r>
          </w:p>
        </w:tc>
        <w:tc>
          <w:tcPr>
            <w:tcW w:w="9440" w:type="dxa"/>
            <w:vAlign w:val="bottom"/>
          </w:tcPr>
          <w:p>
            <w:pPr>
              <w:ind w:left="400"/>
              <w:spacing w:after="0"/>
              <w:rPr>
                <w:sz w:val="20"/>
                <w:szCs w:val="20"/>
                <w:color w:val="auto"/>
              </w:rPr>
            </w:pPr>
            <w:r>
              <w:rPr>
                <w:rFonts w:ascii="Arial" w:cs="Arial" w:eastAsia="Arial" w:hAnsi="Arial"/>
                <w:sz w:val="18"/>
                <w:szCs w:val="18"/>
                <w:color w:val="auto"/>
              </w:rPr>
              <w:t>XBRL Taxonomy Extension Schema</w:t>
            </w:r>
          </w:p>
        </w:tc>
      </w:tr>
      <w:tr>
        <w:trPr>
          <w:trHeight w:val="378"/>
        </w:trPr>
        <w:tc>
          <w:tcPr>
            <w:tcW w:w="120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101.CAL †</w:t>
            </w:r>
          </w:p>
        </w:tc>
        <w:tc>
          <w:tcPr>
            <w:tcW w:w="944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w:t>
            </w:r>
          </w:p>
        </w:tc>
      </w:tr>
      <w:tr>
        <w:trPr>
          <w:trHeight w:val="378"/>
        </w:trPr>
        <w:tc>
          <w:tcPr>
            <w:tcW w:w="1200" w:type="dxa"/>
            <w:vAlign w:val="bottom"/>
            <w:gridSpan w:val="5"/>
          </w:tcPr>
          <w:p>
            <w:pPr>
              <w:jc w:val="right"/>
              <w:ind w:right="290"/>
              <w:spacing w:after="0"/>
              <w:rPr>
                <w:sz w:val="20"/>
                <w:szCs w:val="20"/>
                <w:color w:val="auto"/>
              </w:rPr>
            </w:pPr>
            <w:r>
              <w:rPr>
                <w:rFonts w:ascii="Arial" w:cs="Arial" w:eastAsia="Arial" w:hAnsi="Arial"/>
                <w:sz w:val="18"/>
                <w:szCs w:val="18"/>
                <w:color w:val="auto"/>
                <w:w w:val="92"/>
              </w:rPr>
              <w:t>101.DEF †</w:t>
            </w:r>
          </w:p>
        </w:tc>
        <w:tc>
          <w:tcPr>
            <w:tcW w:w="944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w:t>
            </w:r>
          </w:p>
        </w:tc>
      </w:tr>
      <w:tr>
        <w:trPr>
          <w:trHeight w:val="378"/>
        </w:trPr>
        <w:tc>
          <w:tcPr>
            <w:tcW w:w="1200" w:type="dxa"/>
            <w:vAlign w:val="bottom"/>
            <w:gridSpan w:val="5"/>
          </w:tcPr>
          <w:p>
            <w:pPr>
              <w:jc w:val="right"/>
              <w:ind w:right="290"/>
              <w:spacing w:after="0"/>
              <w:rPr>
                <w:sz w:val="20"/>
                <w:szCs w:val="20"/>
                <w:color w:val="auto"/>
              </w:rPr>
            </w:pPr>
            <w:r>
              <w:rPr>
                <w:rFonts w:ascii="Arial" w:cs="Arial" w:eastAsia="Arial" w:hAnsi="Arial"/>
                <w:sz w:val="18"/>
                <w:szCs w:val="18"/>
                <w:color w:val="auto"/>
                <w:w w:val="95"/>
              </w:rPr>
              <w:t>101.LAB †</w:t>
            </w:r>
          </w:p>
        </w:tc>
        <w:tc>
          <w:tcPr>
            <w:tcW w:w="9440" w:type="dxa"/>
            <w:vAlign w:val="bottom"/>
          </w:tcPr>
          <w:p>
            <w:pPr>
              <w:ind w:left="400"/>
              <w:spacing w:after="0"/>
              <w:rPr>
                <w:sz w:val="20"/>
                <w:szCs w:val="20"/>
                <w:color w:val="auto"/>
              </w:rPr>
            </w:pPr>
            <w:r>
              <w:rPr>
                <w:rFonts w:ascii="Arial" w:cs="Arial" w:eastAsia="Arial" w:hAnsi="Arial"/>
                <w:sz w:val="18"/>
                <w:szCs w:val="18"/>
                <w:color w:val="auto"/>
              </w:rPr>
              <w:t>XBRL Taxonomy Extension Label Linkbase</w:t>
            </w:r>
          </w:p>
        </w:tc>
      </w:tr>
      <w:tr>
        <w:trPr>
          <w:trHeight w:val="378"/>
        </w:trPr>
        <w:tc>
          <w:tcPr>
            <w:tcW w:w="1200" w:type="dxa"/>
            <w:vAlign w:val="bottom"/>
            <w:gridSpan w:val="5"/>
          </w:tcPr>
          <w:p>
            <w:pPr>
              <w:jc w:val="right"/>
              <w:ind w:right="290"/>
              <w:spacing w:after="0"/>
              <w:rPr>
                <w:sz w:val="20"/>
                <w:szCs w:val="20"/>
                <w:color w:val="auto"/>
              </w:rPr>
            </w:pPr>
            <w:r>
              <w:rPr>
                <w:rFonts w:ascii="Arial" w:cs="Arial" w:eastAsia="Arial" w:hAnsi="Arial"/>
                <w:sz w:val="18"/>
                <w:szCs w:val="18"/>
                <w:color w:val="auto"/>
                <w:w w:val="91"/>
              </w:rPr>
              <w:t>101.PRE †</w:t>
            </w:r>
          </w:p>
        </w:tc>
        <w:tc>
          <w:tcPr>
            <w:tcW w:w="944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340" w:hanging="1029"/>
        <w:spacing w:after="0" w:line="277" w:lineRule="auto"/>
        <w:tabs>
          <w:tab w:leader="none" w:pos="2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 required to be filed as an exhibit to this Form 10-K pursuant to Item 15(b) of Form 10-K.</w:t>
      </w:r>
    </w:p>
    <w:p>
      <w:pPr>
        <w:spacing w:after="0" w:line="8" w:lineRule="exact"/>
        <w:rPr>
          <w:rFonts w:ascii="Arial" w:cs="Arial" w:eastAsia="Arial" w:hAnsi="Arial"/>
          <w:sz w:val="18"/>
          <w:szCs w:val="18"/>
          <w:color w:val="auto"/>
        </w:rPr>
      </w:pPr>
    </w:p>
    <w:p>
      <w:pPr>
        <w:ind w:left="2340" w:hanging="1017"/>
        <w:spacing w:after="0"/>
        <w:tabs>
          <w:tab w:leader="none" w:pos="2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2340" w:hanging="1107"/>
        <w:spacing w:after="0"/>
        <w:tabs>
          <w:tab w:leader="none" w:pos="2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71" w:lineRule="exact"/>
        <w:rPr>
          <w:sz w:val="20"/>
          <w:szCs w:val="20"/>
          <w:color w:val="auto"/>
        </w:rPr>
      </w:pPr>
    </w:p>
    <w:p>
      <w:pPr>
        <w:ind w:left="2340" w:right="180" w:hanging="1137"/>
        <w:spacing w:after="0" w:line="277" w:lineRule="auto"/>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portions of this exhibit were omitted based upon a request for confidential treatment, and the omitted portions were filed separately with the SEC on a confidential basis.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2" w:right="27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Basking Ridge (Bernards Township), State of New Jersey, on March 5, 2020.</w:t>
      </w:r>
    </w:p>
    <w:p>
      <w:pPr>
        <w:spacing w:after="0" w:line="200" w:lineRule="exact"/>
        <w:rPr>
          <w:sz w:val="20"/>
          <w:szCs w:val="20"/>
          <w:color w:val="auto"/>
        </w:rPr>
      </w:pPr>
    </w:p>
    <w:p>
      <w:pPr>
        <w:spacing w:after="0" w:line="26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CALADRIUS BIOSCIENCES, INC.</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/s/ David J. Mazzo, PhD</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David J. Mazzo</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Chief Executive Officer (Principal Executive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ind w:left="11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2"/>
        </w:trPr>
        <w:tc>
          <w:tcPr>
            <w:tcW w:w="20" w:type="dxa"/>
            <w:vAlign w:val="bottom"/>
          </w:tcPr>
          <w:p>
            <w:pPr>
              <w:spacing w:after="0"/>
              <w:rPr>
                <w:sz w:val="17"/>
                <w:szCs w:val="17"/>
                <w:color w:val="auto"/>
              </w:rPr>
            </w:pPr>
          </w:p>
        </w:tc>
        <w:tc>
          <w:tcPr>
            <w:tcW w:w="136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w w:val="91"/>
              </w:rPr>
              <w:t>/s/ David J. Mazzo</w:t>
            </w:r>
          </w:p>
        </w:tc>
        <w:tc>
          <w:tcPr>
            <w:tcW w:w="1560" w:type="dxa"/>
            <w:vAlign w:val="bottom"/>
            <w:gridSpan w:val="5"/>
          </w:tcPr>
          <w:p>
            <w:pPr>
              <w:spacing w:after="0"/>
              <w:rPr>
                <w:sz w:val="17"/>
                <w:szCs w:val="17"/>
                <w:color w:val="auto"/>
              </w:rPr>
            </w:pPr>
          </w:p>
        </w:tc>
        <w:tc>
          <w:tcPr>
            <w:tcW w:w="5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Director, and President and Chief Executive Officer (Principal</w:t>
            </w:r>
          </w:p>
        </w:tc>
        <w:tc>
          <w:tcPr>
            <w:tcW w:w="18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David J. Mazzo, PhD</w:t>
            </w: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30"/>
        </w:trPr>
        <w:tc>
          <w:tcPr>
            <w:tcW w:w="20" w:type="dxa"/>
            <w:vAlign w:val="bottom"/>
          </w:tcPr>
          <w:p>
            <w:pPr>
              <w:spacing w:after="0"/>
              <w:rPr>
                <w:sz w:val="19"/>
                <w:szCs w:val="19"/>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Joseph Talamo</w:t>
            </w:r>
          </w:p>
        </w:tc>
        <w:tc>
          <w:tcPr>
            <w:tcW w:w="1620" w:type="dxa"/>
            <w:vAlign w:val="bottom"/>
            <w:gridSpan w:val="7"/>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w w:val="96"/>
              </w:rPr>
              <w:t>Senior Vice President, and Chief Financial Officer (Principal Financial</w:t>
            </w:r>
          </w:p>
        </w:tc>
        <w:tc>
          <w:tcPr>
            <w:tcW w:w="18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Joseph Talamo</w:t>
            </w: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and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30"/>
        </w:trPr>
        <w:tc>
          <w:tcPr>
            <w:tcW w:w="20" w:type="dxa"/>
            <w:vAlign w:val="bottom"/>
          </w:tcPr>
          <w:p>
            <w:pPr>
              <w:spacing w:after="0"/>
              <w:rPr>
                <w:sz w:val="19"/>
                <w:szCs w:val="19"/>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/s/ Gregory B. Brown</w:t>
            </w: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Gregory B. Brown, MD</w:t>
            </w: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30"/>
        </w:trPr>
        <w:tc>
          <w:tcPr>
            <w:tcW w:w="20" w:type="dxa"/>
            <w:vAlign w:val="bottom"/>
          </w:tcPr>
          <w:p>
            <w:pPr>
              <w:spacing w:after="0"/>
              <w:rPr>
                <w:sz w:val="19"/>
                <w:szCs w:val="19"/>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/s/ Steven S. Myers</w:t>
            </w: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Steven S. Myers</w:t>
            </w:r>
          </w:p>
        </w:tc>
        <w:tc>
          <w:tcPr>
            <w:tcW w:w="1520" w:type="dxa"/>
            <w:vAlign w:val="bottom"/>
            <w:gridSpan w:val="4"/>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30"/>
        </w:trPr>
        <w:tc>
          <w:tcPr>
            <w:tcW w:w="20" w:type="dxa"/>
            <w:vAlign w:val="bottom"/>
          </w:tcPr>
          <w:p>
            <w:pPr>
              <w:spacing w:after="0"/>
              <w:rPr>
                <w:sz w:val="19"/>
                <w:szCs w:val="19"/>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/s/ Steven M. Klosk</w:t>
            </w:r>
          </w:p>
        </w:tc>
        <w:tc>
          <w:tcPr>
            <w:tcW w:w="1480" w:type="dxa"/>
            <w:vAlign w:val="bottom"/>
            <w:gridSpan w:val="3"/>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Steven M. Klosk</w:t>
            </w: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30"/>
        </w:trPr>
        <w:tc>
          <w:tcPr>
            <w:tcW w:w="20" w:type="dxa"/>
            <w:vAlign w:val="bottom"/>
          </w:tcPr>
          <w:p>
            <w:pPr>
              <w:spacing w:after="0"/>
              <w:rPr>
                <w:sz w:val="19"/>
                <w:szCs w:val="19"/>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/s/ Peter G. Traber</w:t>
            </w: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Peter G. Traber, MD</w:t>
            </w: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r>
        <w:trPr>
          <w:trHeight w:val="230"/>
        </w:trPr>
        <w:tc>
          <w:tcPr>
            <w:tcW w:w="20" w:type="dxa"/>
            <w:vAlign w:val="bottom"/>
          </w:tcPr>
          <w:p>
            <w:pPr>
              <w:spacing w:after="0"/>
              <w:rPr>
                <w:sz w:val="19"/>
                <w:szCs w:val="19"/>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/s/ Cynthia Schwalm</w:t>
            </w: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5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Cynthia Schwalm</w:t>
            </w:r>
          </w:p>
        </w:tc>
        <w:tc>
          <w:tcPr>
            <w:tcW w:w="1360" w:type="dxa"/>
            <w:vAlign w:val="bottom"/>
            <w:gridSpan w:val="2"/>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OF CALADRIUS BIOSCIENCES, INC.</w:t>
      </w:r>
    </w:p>
    <w:p>
      <w:pPr>
        <w:spacing w:after="0" w:line="3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is a summary of all material characteristics of our capital stock as set forth in our certificate of incorporation and bylaws, and our outstanding warrants. The summary does not purport to be complete and is qualified in its entirety by reference to our certificate of incorporation and bylaws, which are incorporated by reference as exhibits to the Annual Report on Form 10-K to which this description is an exhibit.</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authorized capital stock consists of 500,000,000 shares of common stock, par value $0.001 per share and 20,000,000 shares of preferred stock, par value $0.01 per share.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holders of our common stock are entitled to one vote per share in the election of directors and on all other matters on which stockholders are entitled or permitted to vote. The holders of our common stock are not entitled to cumulative voting rights. Therefore, holders of a majority of the shares voting for the election of directors can elect all of the directors. Subject to the terms of any outstanding series of preferred stock, the holders of our common stock are entitled to dividends in the amounts and at times as may be declared by the Board of Directors out of funds legally available. Upon liquidation or dissolution, holders of our common stock are entitled to share ratably in all net assets available for distribution to stockholders after payment of any liquidation preferences to holders of our preferred stock. The holders of our common stock have no redemption, conversion or preemptive rights.</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5, 2020, we had 10,638,771 shares of common stock issued and outstanding, exclusive of existing convertible preferred stock, options and warrants.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the authority to issue up to 20,000,000 shares of preferred stock with such designations, rights, and preferences as may be determined from time to time by our Board of Directors. Accordingly, our Board of Directors is empowered, without stockholder approval, to issue preferred stock with dividend, liquidation, conversion, voting, or other rights that could adversely affect the voting power or other rights of the holders of our common stock. The issuance of preferred stock could have the effect of restricting dividends on our common stock, diluting the voting power of our common stock, impairing the liquidation rights of our common stock, or delaying or preventing a change in control of our company, all without further action by our stockholders.</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5, 2020, there were 10,000 shares of our Series B Convertible Redeemable Preferred Stock, $0.01 par value per share (“Series B Preferred Stock”), issued and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B Preferred Stock ranks pari passu with our common stock with respect to the payment of dividends and to the distribution of assets upon liquidation, dissolution or winding up.</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 long as any shares of the Series B Preferred Stock are outstanding, no dividend shall be declared or paid or set aside for payment or other distribution declared or made upon our common stock or upon any other stock ranking junior to, or on a parity with, the Series B Preferred Stock as to dividends or upon liquidation, dissolution or winding up, unless, in the case of our preferred stock, the same dividend is declared, paid or set aside for payment on all outstanding shares of the Series B Preferred Stock or in the case of our common stock, ten times such dividend per share is declared, paid or set aside for payment on each outstanding share of the Series B Preferred Stock.</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provided by law, each share of the Series B Preferred Stock has the same voting rights as ten shares of our common stock and the holders of the Series B Preferred Stock and the common stock shall vote together as one class on all matters.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 of any share of Series B Preferred Stock has the right, at such holder’s option, to convert such share into one one-hundredth of a fully paid and non-assessable share of our common stock, subject to adjustment.</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of any voluntary or involuntary dissolution, liquidation or winding up of our Company, after any distribution of assets is made to the holders of any other class or series of stock that ranks prior to the Series B Preferred Stock in respect of distributions upon the liquidation of the Company, the holder of each share of Series B Preferred Stock then outstanding shall be entitled to be paid out of our assets available for distribution to our stockholders, an amount on a pari passu basis equal to ten times the amount per share distributed to the holders of our common stock. After payment of the full amount of the distribution</w:t>
      </w:r>
    </w:p>
    <w:p>
      <w:pPr>
        <w:sectPr>
          <w:pgSz w:w="11900" w:h="16838" w:orient="portrait"/>
          <w:cols w:equalWidth="0" w:num="1">
            <w:col w:w="11420"/>
          </w:cols>
          <w:pgMar w:left="240" w:top="553" w:right="2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to which they are entitled, the holders of shares of the Series B Preferred Stock will not be entitled to any further participation in any distribution of assets by the Company.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Shares of Series B Preferred Stock issued and reacquired by us shall have the status of authorized and unissued shares of preferred stock, undesignated as to series, subject to later issuance.</w:t>
      </w:r>
    </w:p>
    <w:p>
      <w:pPr>
        <w:spacing w:after="0" w:line="62" w:lineRule="exact"/>
        <w:rPr>
          <w:sz w:val="20"/>
          <w:szCs w:val="20"/>
          <w:color w:val="auto"/>
        </w:rPr>
      </w:pPr>
    </w:p>
    <w:p>
      <w:pPr>
        <w:ind w:right="420" w:firstLine="324"/>
        <w:spacing w:after="0" w:line="375" w:lineRule="auto"/>
        <w:rPr>
          <w:sz w:val="20"/>
          <w:szCs w:val="20"/>
          <w:color w:val="auto"/>
        </w:rPr>
      </w:pPr>
      <w:r>
        <w:rPr>
          <w:rFonts w:ascii="Arial" w:cs="Arial" w:eastAsia="Arial" w:hAnsi="Arial"/>
          <w:sz w:val="18"/>
          <w:szCs w:val="18"/>
          <w:color w:val="auto"/>
        </w:rPr>
        <w:t xml:space="preserve">Holders of shares of Series B Preferred Stock are not entitled to any preemptive or subscription rights in respect of any securities of the corporation. </w:t>
      </w:r>
      <w:r>
        <w:rPr>
          <w:rFonts w:ascii="Arial" w:cs="Arial" w:eastAsia="Arial" w:hAnsi="Arial"/>
          <w:sz w:val="18"/>
          <w:szCs w:val="18"/>
          <w:b w:val="1"/>
          <w:bCs w:val="1"/>
          <w:color w:val="auto"/>
        </w:rPr>
        <w:t>Options and Restricted Stock Units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5, 2020, we had outstanding options to purchase an aggregate of 1,280,193, shares of our common stock with exercise prices ranging from $3.01 to $174.00 per share, with an approximate weighted average exercise price of $15.54 per share. The shares of our common stock underlying all such options are registered with the SEC.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5, 2020, we had 313,442 restricted stock units issued and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5, 2020, we had outstanding warrants to purchase an aggregate of 30,000 shares of our common stock with an exercise price of $5.89. On March 11, 2016, we entered into a Consent and Third Amendment to Loan and Security Agreement (the “Amendment”) with Oxford Finance, LLC (the “Lender”). In connection with the Amendment, we issued to the Lender warrants to purchase an aggregate of 30,000 shares of common stock (the “Lender Warrants”), which are exercisable for a period of 7 years from the issuance date at an exercise price of $5.89 per share. The shares of common stock underlying such warrants have been registered for resale.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and Our Certificate of Incorporation and Bylaws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some provisions that could make our acquisition by means of a tender or exchange offer, a proxy contest or otherwise more difficult. These provisions are summarized below.</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Special Meetings</w:t>
      </w:r>
      <w:r>
        <w:rPr>
          <w:rFonts w:ascii="Arial" w:cs="Arial" w:eastAsia="Arial" w:hAnsi="Arial"/>
          <w:sz w:val="18"/>
          <w:szCs w:val="18"/>
          <w:color w:val="auto"/>
        </w:rPr>
        <w:t>. Our bylaws provide that special meetings of our stockholders may, unless otherwise prescribed by law, be called by our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(if any), our Board of Directors or our Chief Executive Officer and shall be held at such place, on such date and at such time as shall be fixed by our Board of Directors or the person calling the meeting. Business transacted at any special meeting shall be limited to matters relating to the purpose or purposes stated in the notice of the meeting.</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to authorize undesignated preferred stock makes it possible for our Board of Directors to issue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with voting or other rights or preferences that could impede the success of any attempt to acquire us. The ability to issue preferred stock may have the effect of deferring hostile takeovers or delaying changes in control or management of our company.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the provisions of Section 203 of the Delaware General Corporation Law regulating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takeovers. In general, Section 203 prohibits a publicly held Delaware corporation from engaging in a business combination with an interested stockholder for a period of three years following the date the person became an interested stockholder unless:</w:t>
      </w:r>
    </w:p>
    <w:p>
      <w:pPr>
        <w:spacing w:after="0" w:line="73" w:lineRule="exact"/>
        <w:rPr>
          <w:sz w:val="20"/>
          <w:szCs w:val="20"/>
          <w:color w:val="auto"/>
        </w:rPr>
      </w:pPr>
    </w:p>
    <w:p>
      <w:pPr>
        <w:ind w:left="360" w:right="2560" w:firstLine="296"/>
        <w:spacing w:after="0" w:line="308" w:lineRule="auto"/>
        <w:tabs>
          <w:tab w:leader="none" w:pos="1359"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which resulted in the stockholder becoming an interested stockholder;</w:t>
      </w:r>
    </w:p>
    <w:p>
      <w:pPr>
        <w:spacing w:after="0" w:line="146" w:lineRule="exact"/>
        <w:rPr>
          <w:rFonts w:ascii="Arial" w:cs="Arial" w:eastAsia="Arial" w:hAnsi="Arial"/>
          <w:sz w:val="17"/>
          <w:szCs w:val="17"/>
          <w:color w:val="auto"/>
        </w:rPr>
      </w:pPr>
    </w:p>
    <w:p>
      <w:pPr>
        <w:ind w:left="1300" w:right="2220" w:hanging="644"/>
        <w:spacing w:after="0" w:line="273" w:lineRule="auto"/>
        <w:tabs>
          <w:tab w:leader="none" w:pos="13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and</w:t>
      </w:r>
    </w:p>
    <w:p>
      <w:pPr>
        <w:spacing w:after="0" w:line="178" w:lineRule="exact"/>
        <w:rPr>
          <w:rFonts w:ascii="Arial" w:cs="Arial" w:eastAsia="Arial" w:hAnsi="Arial"/>
          <w:sz w:val="17"/>
          <w:szCs w:val="17"/>
          <w:color w:val="auto"/>
        </w:rPr>
      </w:pPr>
    </w:p>
    <w:p>
      <w:pPr>
        <w:ind w:left="1300" w:right="1900" w:hanging="644"/>
        <w:spacing w:after="0" w:line="286" w:lineRule="auto"/>
        <w:tabs>
          <w:tab w:leader="none" w:pos="13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owned 15% or more of a corporation’s outstanding voting securities. We expect the existence of this provision to have an anti-takeover effect with respect to transactions our Board of</w:t>
      </w:r>
    </w:p>
    <w:p>
      <w:pPr>
        <w:sectPr>
          <w:pgSz w:w="11900" w:h="16838" w:orient="portrait"/>
          <w:cols w:equalWidth="0" w:num="1">
            <w:col w:w="11420"/>
          </w:cols>
          <w:pgMar w:left="240" w:top="557"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Directors does not approve in advance. We also anticipate that Section 203 may discourage attempted acquisitions that might result in a premium over the market price for the shares of our common stock held by stockholders.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provisions of Delaware law, our Amended and Restated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1420"/>
          </w:cols>
          <w:pgMar w:left="240" w:top="55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Caladrius Biosciences,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2640"/>
              <w:spacing w:after="0"/>
              <w:rPr>
                <w:sz w:val="20"/>
                <w:szCs w:val="20"/>
                <w:color w:val="auto"/>
              </w:rPr>
            </w:pPr>
            <w:r>
              <w:rPr>
                <w:rFonts w:ascii="Arial" w:cs="Arial" w:eastAsia="Arial" w:hAnsi="Arial"/>
                <w:sz w:val="18"/>
                <w:szCs w:val="18"/>
                <w:color w:val="auto"/>
              </w:rPr>
              <w:t>Entity</w:t>
            </w:r>
          </w:p>
        </w:tc>
        <w:tc>
          <w:tcPr>
            <w:tcW w:w="3660" w:type="dxa"/>
            <w:vAlign w:val="bottom"/>
          </w:tcPr>
          <w:p>
            <w:pPr>
              <w:ind w:left="1580"/>
              <w:spacing w:after="0"/>
              <w:rPr>
                <w:sz w:val="20"/>
                <w:szCs w:val="20"/>
                <w:color w:val="auto"/>
              </w:rPr>
            </w:pPr>
            <w:r>
              <w:rPr>
                <w:rFonts w:ascii="Arial" w:cs="Arial" w:eastAsia="Arial" w:hAnsi="Arial"/>
                <w:sz w:val="18"/>
                <w:szCs w:val="18"/>
                <w:color w:val="auto"/>
              </w:rPr>
              <w:t>Percentage of Ownership</w:t>
            </w:r>
          </w:p>
        </w:tc>
        <w:tc>
          <w:tcPr>
            <w:tcW w:w="3100" w:type="dxa"/>
            <w:vAlign w:val="bottom"/>
          </w:tcPr>
          <w:p>
            <w:pPr>
              <w:ind w:left="1360"/>
              <w:spacing w:after="0"/>
              <w:rPr>
                <w:sz w:val="20"/>
                <w:szCs w:val="20"/>
                <w:color w:val="auto"/>
              </w:rPr>
            </w:pPr>
            <w:r>
              <w:rPr>
                <w:rFonts w:ascii="Arial" w:cs="Arial" w:eastAsia="Arial" w:hAnsi="Arial"/>
                <w:sz w:val="18"/>
                <w:szCs w:val="18"/>
                <w:color w:val="auto"/>
              </w:rPr>
              <w:t>Location</w:t>
            </w:r>
          </w:p>
        </w:tc>
      </w:tr>
      <w:tr>
        <w:trPr>
          <w:trHeight w:val="27"/>
        </w:trPr>
        <w:tc>
          <w:tcPr>
            <w:tcW w:w="4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Amorcyte, LLC</w:t>
            </w:r>
          </w:p>
        </w:tc>
        <w:tc>
          <w:tcPr>
            <w:tcW w:w="3660" w:type="dxa"/>
            <w:vAlign w:val="bottom"/>
            <w:tcBorders>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91"/>
              </w:rPr>
              <w:t>100%</w:t>
            </w:r>
          </w:p>
        </w:tc>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 of America</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Athelos Corporation (1)</w:t>
            </w:r>
          </w:p>
        </w:tc>
        <w:tc>
          <w:tcPr>
            <w:tcW w:w="3660" w:type="dxa"/>
            <w:vAlign w:val="bottom"/>
          </w:tcPr>
          <w:p>
            <w:pPr>
              <w:jc w:val="center"/>
              <w:ind w:left="1230"/>
              <w:spacing w:after="0"/>
              <w:rPr>
                <w:sz w:val="20"/>
                <w:szCs w:val="20"/>
                <w:color w:val="auto"/>
              </w:rPr>
            </w:pPr>
            <w:r>
              <w:rPr>
                <w:rFonts w:ascii="Arial" w:cs="Arial" w:eastAsia="Arial" w:hAnsi="Arial"/>
                <w:sz w:val="18"/>
                <w:szCs w:val="18"/>
                <w:color w:val="auto"/>
                <w:w w:val="94"/>
              </w:rPr>
              <w:t>99%</w:t>
            </w:r>
          </w:p>
        </w:tc>
        <w:tc>
          <w:tcPr>
            <w:tcW w:w="3100" w:type="dxa"/>
            <w:vAlign w:val="bottom"/>
          </w:tcPr>
          <w:p>
            <w:pPr>
              <w:ind w:left="280"/>
              <w:spacing w:after="0"/>
              <w:rPr>
                <w:sz w:val="20"/>
                <w:szCs w:val="20"/>
                <w:color w:val="auto"/>
              </w:rPr>
            </w:pPr>
            <w:r>
              <w:rPr>
                <w:rFonts w:ascii="Arial" w:cs="Arial" w:eastAsia="Arial" w:hAnsi="Arial"/>
                <w:sz w:val="18"/>
                <w:szCs w:val="18"/>
                <w:color w:val="auto"/>
              </w:rPr>
              <w:t>United States of America</w:t>
            </w:r>
          </w:p>
        </w:tc>
      </w:tr>
      <w:tr>
        <w:trPr>
          <w:trHeight w:val="27"/>
        </w:trPr>
        <w:tc>
          <w:tcPr>
            <w:tcW w:w="4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NeoStem Oncology, LLC</w:t>
            </w:r>
          </w:p>
        </w:tc>
        <w:tc>
          <w:tcPr>
            <w:tcW w:w="366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1"/>
              </w:rPr>
              <w:t>100%</w:t>
            </w:r>
          </w:p>
        </w:tc>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 of America</w:t>
            </w:r>
          </w:p>
        </w:tc>
      </w:tr>
      <w:tr>
        <w:trPr>
          <w:trHeight w:val="27"/>
        </w:trPr>
        <w:tc>
          <w:tcPr>
            <w:tcW w:w="466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(1) As of December 31, 2019, Becton Dickinson's ownership interest in Athelos Corporation was 1.0%.</w:t>
      </w:r>
    </w:p>
    <w:p>
      <w:pPr>
        <w:sectPr>
          <w:pgSz w:w="11900" w:h="16838" w:orient="portrait"/>
          <w:cols w:equalWidth="0" w:num="1">
            <w:col w:w="11420"/>
          </w:cols>
          <w:pgMar w:left="240" w:top="55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We have issued our report dated March 5, 2020, with respect to the consolidated financial statements included in the Annual Report of Caladrius Biosciences, Inc. on Form 10-K for the year ended December 31, 2019. We consent to the incorporation by reference of said report in the Registration Statements of Caladrius Biosciences, Inc. on </w:t>
      </w:r>
      <w:r>
        <w:rPr>
          <w:rFonts w:ascii="Arial" w:cs="Arial" w:eastAsia="Arial" w:hAnsi="Arial"/>
          <w:sz w:val="19"/>
          <w:szCs w:val="19"/>
          <w:color w:val="auto"/>
        </w:rPr>
        <w:t>Forms S-3 (File No. 333-196702, File No. 333-206175,</w:t>
      </w:r>
      <w:r>
        <w:rPr>
          <w:rFonts w:ascii="Arial" w:cs="Arial" w:eastAsia="Arial" w:hAnsi="Arial"/>
          <w:sz w:val="22"/>
          <w:szCs w:val="22"/>
          <w:color w:val="auto"/>
        </w:rPr>
        <w:t xml:space="preserve"> </w:t>
      </w:r>
      <w:r>
        <w:rPr>
          <w:rFonts w:ascii="Arial" w:cs="Arial" w:eastAsia="Arial" w:hAnsi="Arial"/>
          <w:sz w:val="19"/>
          <w:szCs w:val="19"/>
          <w:color w:val="auto"/>
        </w:rPr>
        <w:t>File No. 333-210664, File No. 333-214607, File No. 333-220354, and File No. 333-226319) and on Forms S-8 (File No. 333-107438, File No. 333-144265, File No. 333-159282, File No. 333-162733, File No. 333-173854, File No. 333-181365, File No. 333- 184927, File No. 333-191572, File No. 333-205662, File No. 333-212202, File No. 333-215455, File No. 333-218642, File No. 333-222410, File No. 333-225743, and File No. 333-225744)</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61226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extLst>
                    </a:blip>
                    <a:srcRect/>
                    <a:stretch>
                      <a:fillRect/>
                    </a:stretch>
                  </pic:blipFill>
                  <pic:spPr bwMode="auto">
                    <a:xfrm>
                      <a:off x="0" y="0"/>
                      <a:ext cx="16122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5, 2020</w:t>
      </w:r>
    </w:p>
    <w:p>
      <w:pPr>
        <w:sectPr>
          <w:pgSz w:w="11900" w:h="16838" w:orient="portrait"/>
          <w:cols w:equalWidth="0" w:num="1">
            <w:col w:w="11420"/>
          </w:cols>
          <w:pgMar w:left="240" w:top="553"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certify that:</w:t>
      </w:r>
    </w:p>
    <w:p>
      <w:pPr>
        <w:spacing w:after="0" w:line="304" w:lineRule="exact"/>
        <w:rPr>
          <w:sz w:val="20"/>
          <w:szCs w:val="20"/>
          <w:color w:val="auto"/>
        </w:rPr>
      </w:pPr>
    </w:p>
    <w:p>
      <w:pPr>
        <w:ind w:left="860" w:hanging="204"/>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Caladrius Biosciences, Inc.;</w:t>
      </w:r>
    </w:p>
    <w:p>
      <w:pPr>
        <w:spacing w:after="0" w:line="188" w:lineRule="exact"/>
        <w:rPr>
          <w:rFonts w:ascii="Arial" w:cs="Arial" w:eastAsia="Arial" w:hAnsi="Arial"/>
          <w:sz w:val="20"/>
          <w:szCs w:val="20"/>
          <w:color w:val="auto"/>
        </w:rPr>
      </w:pPr>
    </w:p>
    <w:p>
      <w:pPr>
        <w:jc w:val="both"/>
        <w:ind w:firstLine="656"/>
        <w:spacing w:after="0" w:line="250" w:lineRule="auto"/>
        <w:tabs>
          <w:tab w:leader="none" w:pos="846"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Arial" w:cs="Arial" w:eastAsia="Arial" w:hAnsi="Arial"/>
          <w:sz w:val="20"/>
          <w:szCs w:val="20"/>
          <w:color w:val="auto"/>
        </w:rPr>
      </w:pPr>
    </w:p>
    <w:p>
      <w:pPr>
        <w:jc w:val="both"/>
        <w:ind w:firstLine="656"/>
        <w:spacing w:after="0" w:line="316" w:lineRule="auto"/>
        <w:tabs>
          <w:tab w:leader="none" w:pos="8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8"/>
          <w:szCs w:val="18"/>
          <w:color w:val="auto"/>
        </w:rPr>
      </w:pPr>
    </w:p>
    <w:p>
      <w:pPr>
        <w:jc w:val="both"/>
        <w:ind w:firstLine="656"/>
        <w:spacing w:after="0" w:line="275" w:lineRule="auto"/>
        <w:tabs>
          <w:tab w:leader="none" w:pos="8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173" w:lineRule="exact"/>
        <w:rPr>
          <w:sz w:val="20"/>
          <w:szCs w:val="20"/>
          <w:color w:val="auto"/>
        </w:rPr>
      </w:pPr>
    </w:p>
    <w:p>
      <w:pPr>
        <w:jc w:val="both"/>
        <w:ind w:firstLine="656"/>
        <w:spacing w:after="0" w:line="250" w:lineRule="auto"/>
        <w:tabs>
          <w:tab w:leader="none" w:pos="879"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20"/>
          <w:szCs w:val="20"/>
          <w:color w:val="auto"/>
        </w:rPr>
      </w:pPr>
    </w:p>
    <w:p>
      <w:pPr>
        <w:jc w:val="both"/>
        <w:ind w:firstLine="656"/>
        <w:spacing w:after="0" w:line="250" w:lineRule="auto"/>
        <w:tabs>
          <w:tab w:leader="none" w:pos="862"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20"/>
          <w:szCs w:val="20"/>
          <w:color w:val="auto"/>
        </w:rPr>
      </w:pPr>
    </w:p>
    <w:p>
      <w:pPr>
        <w:ind w:right="20" w:firstLine="656"/>
        <w:spacing w:after="0" w:line="316" w:lineRule="auto"/>
        <w:tabs>
          <w:tab w:leader="none" w:pos="8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jc w:val="both"/>
        <w:ind w:firstLine="656"/>
        <w:spacing w:after="0" w:line="250" w:lineRule="auto"/>
        <w:tabs>
          <w:tab w:leader="none" w:pos="882" w:val="left"/>
        </w:tabs>
        <w:numPr>
          <w:ilvl w:val="0"/>
          <w:numId w:val="3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jc w:val="both"/>
        <w:ind w:firstLine="656"/>
        <w:spacing w:after="0" w:line="250" w:lineRule="auto"/>
        <w:tabs>
          <w:tab w:leader="none" w:pos="8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firstLine="656"/>
        <w:spacing w:after="0" w:line="287" w:lineRule="auto"/>
        <w:tabs>
          <w:tab w:leader="none" w:pos="852"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9"/>
          <w:szCs w:val="19"/>
          <w:color w:val="auto"/>
        </w:rPr>
      </w:pPr>
    </w:p>
    <w:p>
      <w:pPr>
        <w:ind w:right="20" w:firstLine="656"/>
        <w:spacing w:after="0" w:line="260" w:lineRule="auto"/>
        <w:tabs>
          <w:tab w:leader="none" w:pos="876"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J. Mazzo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Talamo, certify that:</w:t>
      </w:r>
    </w:p>
    <w:p>
      <w:pPr>
        <w:spacing w:after="0" w:line="304" w:lineRule="exact"/>
        <w:rPr>
          <w:sz w:val="20"/>
          <w:szCs w:val="20"/>
          <w:color w:val="auto"/>
        </w:rPr>
      </w:pPr>
    </w:p>
    <w:p>
      <w:pPr>
        <w:ind w:left="860" w:hanging="204"/>
        <w:spacing w:after="0"/>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Caladrius Biosciences, Inc.;</w:t>
      </w:r>
    </w:p>
    <w:p>
      <w:pPr>
        <w:spacing w:after="0" w:line="188" w:lineRule="exact"/>
        <w:rPr>
          <w:rFonts w:ascii="Arial" w:cs="Arial" w:eastAsia="Arial" w:hAnsi="Arial"/>
          <w:sz w:val="20"/>
          <w:szCs w:val="20"/>
          <w:color w:val="auto"/>
        </w:rPr>
      </w:pPr>
    </w:p>
    <w:p>
      <w:pPr>
        <w:jc w:val="both"/>
        <w:ind w:firstLine="656"/>
        <w:spacing w:after="0" w:line="250" w:lineRule="auto"/>
        <w:tabs>
          <w:tab w:leader="none" w:pos="846"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Arial" w:cs="Arial" w:eastAsia="Arial" w:hAnsi="Arial"/>
          <w:sz w:val="20"/>
          <w:szCs w:val="20"/>
          <w:color w:val="auto"/>
        </w:rPr>
      </w:pPr>
    </w:p>
    <w:p>
      <w:pPr>
        <w:jc w:val="both"/>
        <w:ind w:firstLine="656"/>
        <w:spacing w:after="0" w:line="316"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8"/>
          <w:szCs w:val="18"/>
          <w:color w:val="auto"/>
        </w:rPr>
      </w:pPr>
    </w:p>
    <w:p>
      <w:pPr>
        <w:jc w:val="both"/>
        <w:ind w:firstLine="656"/>
        <w:spacing w:after="0" w:line="275" w:lineRule="auto"/>
        <w:tabs>
          <w:tab w:leader="none" w:pos="8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173" w:lineRule="exact"/>
        <w:rPr>
          <w:sz w:val="20"/>
          <w:szCs w:val="20"/>
          <w:color w:val="auto"/>
        </w:rPr>
      </w:pPr>
    </w:p>
    <w:p>
      <w:pPr>
        <w:jc w:val="both"/>
        <w:ind w:firstLine="656"/>
        <w:spacing w:after="0" w:line="250" w:lineRule="auto"/>
        <w:tabs>
          <w:tab w:leader="none" w:pos="8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20"/>
          <w:szCs w:val="20"/>
          <w:color w:val="auto"/>
        </w:rPr>
      </w:pPr>
    </w:p>
    <w:p>
      <w:pPr>
        <w:jc w:val="both"/>
        <w:ind w:firstLine="656"/>
        <w:spacing w:after="0" w:line="250" w:lineRule="auto"/>
        <w:tabs>
          <w:tab w:leader="none" w:pos="862"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20"/>
          <w:szCs w:val="20"/>
          <w:color w:val="auto"/>
        </w:rPr>
      </w:pPr>
    </w:p>
    <w:p>
      <w:pPr>
        <w:ind w:right="20" w:firstLine="656"/>
        <w:spacing w:after="0" w:line="316" w:lineRule="auto"/>
        <w:tabs>
          <w:tab w:leader="none" w:pos="8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jc w:val="both"/>
        <w:ind w:firstLine="656"/>
        <w:spacing w:after="0" w:line="250" w:lineRule="auto"/>
        <w:tabs>
          <w:tab w:leader="none" w:pos="882"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jc w:val="both"/>
        <w:ind w:firstLine="656"/>
        <w:spacing w:after="0" w:line="250" w:lineRule="auto"/>
        <w:tabs>
          <w:tab w:leader="none" w:pos="84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sz w:val="20"/>
          <w:szCs w:val="20"/>
          <w:color w:val="auto"/>
        </w:rPr>
      </w:pPr>
    </w:p>
    <w:p>
      <w:pPr>
        <w:ind w:firstLine="656"/>
        <w:spacing w:after="0" w:line="287" w:lineRule="auto"/>
        <w:tabs>
          <w:tab w:leader="none" w:pos="8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9"/>
          <w:szCs w:val="19"/>
          <w:color w:val="auto"/>
        </w:rPr>
      </w:pPr>
    </w:p>
    <w:p>
      <w:pPr>
        <w:ind w:right="20" w:firstLine="656"/>
        <w:spacing w:after="0" w:line="260" w:lineRule="auto"/>
        <w:tabs>
          <w:tab w:leader="none" w:pos="876"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Joseph Talamo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Talamo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906</w:t>
      </w:r>
    </w:p>
    <w:p>
      <w:pPr>
        <w:spacing w:after="0" w:line="31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Caladrius Biosciences, Inc. a Delaware corporation (the “Company”), does hereby certify, to such officer’s knowledge, that:</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Report for the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40"/>
        <w:spacing w:after="0"/>
        <w:tabs>
          <w:tab w:leader="none" w:pos="6300" w:val="left"/>
        </w:tabs>
        <w:rPr>
          <w:sz w:val="20"/>
          <w:szCs w:val="20"/>
          <w:color w:val="auto"/>
        </w:rPr>
      </w:pPr>
      <w:r>
        <w:rPr>
          <w:rFonts w:ascii="Arial" w:cs="Arial" w:eastAsia="Arial" w:hAnsi="Arial"/>
          <w:sz w:val="18"/>
          <w:szCs w:val="18"/>
          <w:color w:val="auto"/>
        </w:rPr>
        <w:t>Dated: March 5, 2020</w:t>
      </w:r>
      <w:r>
        <w:rPr>
          <w:sz w:val="20"/>
          <w:szCs w:val="20"/>
          <w:color w:val="auto"/>
        </w:rPr>
        <w:tab/>
      </w:r>
      <w:r>
        <w:rPr>
          <w:rFonts w:ascii="Arial" w:cs="Arial" w:eastAsia="Arial" w:hAnsi="Arial"/>
          <w:sz w:val="16"/>
          <w:szCs w:val="16"/>
          <w:u w:val="single" w:color="auto"/>
          <w:color w:val="auto"/>
        </w:rPr>
        <w:t>/s/ David J. Mazzo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Mazzo, PhD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360" w:lineRule="exact"/>
        <w:rPr>
          <w:sz w:val="20"/>
          <w:szCs w:val="20"/>
          <w:color w:val="auto"/>
        </w:rPr>
      </w:pPr>
    </w:p>
    <w:p>
      <w:pPr>
        <w:ind w:left="1440"/>
        <w:spacing w:after="0"/>
        <w:tabs>
          <w:tab w:leader="none" w:pos="6300" w:val="left"/>
        </w:tabs>
        <w:rPr>
          <w:sz w:val="20"/>
          <w:szCs w:val="20"/>
          <w:color w:val="auto"/>
        </w:rPr>
      </w:pPr>
      <w:r>
        <w:rPr>
          <w:rFonts w:ascii="Arial" w:cs="Arial" w:eastAsia="Arial" w:hAnsi="Arial"/>
          <w:sz w:val="18"/>
          <w:szCs w:val="18"/>
          <w:color w:val="auto"/>
        </w:rPr>
        <w:t>Dated: March 5, 2020</w:t>
      </w:r>
      <w:r>
        <w:rPr>
          <w:sz w:val="20"/>
          <w:szCs w:val="20"/>
          <w:color w:val="auto"/>
        </w:rPr>
        <w:tab/>
      </w:r>
      <w:r>
        <w:rPr>
          <w:rFonts w:ascii="Arial" w:cs="Arial" w:eastAsia="Arial" w:hAnsi="Arial"/>
          <w:sz w:val="15"/>
          <w:szCs w:val="15"/>
          <w:u w:val="single" w:color="auto"/>
          <w:color w:val="auto"/>
        </w:rPr>
        <w:t>/s/ Joseph Talamo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Joseph Talamo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lvl w:ilvl="1">
      <w:lvlJc w:val="left"/>
      <w:lvlText w:val="◦"/>
      <w:numFmt w:val="bullet"/>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Roman"/>
      <w:start w:val="2"/>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lvl w:ilvl="1">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5"/>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43" Type="http://schemas.openxmlformats.org/officeDocument/2006/relationships/image" Target="media/image6.png"/><Relationship Id="rId44" Type="http://schemas.openxmlformats.org/officeDocument/2006/relationships/image" Target="media/image7.jpeg"/><Relationship Id="rId13" Type="http://schemas.openxmlformats.org/officeDocument/2006/relationships/hyperlink" Target="http://www.sec.gov/Archives/edgar/data/320017/000032001716000143/exhibit31arcertofincorpeff.htm" TargetMode="External"/><Relationship Id="rId14" Type="http://schemas.openxmlformats.org/officeDocument/2006/relationships/hyperlink" Target="http://www.sec.gov/Archives/edgar/data/320017/000032001716000143/exhibit32arbylawseff072720.htm" TargetMode="External"/><Relationship Id="rId15" Type="http://schemas.openxmlformats.org/officeDocument/2006/relationships/hyperlink" Target="http://www.sec.gov/Archives/edgar/data/320017/000032001717000082/exhibit31092017.htm" TargetMode="External"/><Relationship Id="rId16" Type="http://schemas.openxmlformats.org/officeDocument/2006/relationships/hyperlink" Target="http://www.sec.gov/Archives/edgar/data/320017/000032001715000066/exhibit45ti.htm" TargetMode="External"/><Relationship Id="rId17" Type="http://schemas.openxmlformats.org/officeDocument/2006/relationships/hyperlink" Target="http://www.sec.gov/Archives/edgar/data/320017/000032001716000115/exhibit41formofwarrant.htm" TargetMode="External"/><Relationship Id="rId18" Type="http://schemas.openxmlformats.org/officeDocument/2006/relationships/hyperlink" Target="http://www.sec.gov/Archives/edgar/data/320017/000032001718000021/exhibit101directorcompensa.htm" TargetMode="External"/><Relationship Id="rId19" Type="http://schemas.openxmlformats.org/officeDocument/2006/relationships/hyperlink" Target="http://www.sec.gov/Archives/edgar/data/320017/000032001715000050/def14a-2015.htm" TargetMode="External"/><Relationship Id="rId20" Type="http://schemas.openxmlformats.org/officeDocument/2006/relationships/hyperlink" Target="http://www.sec.gov/Archives/edgar/data/320017/000032001717000060/clbs-ex1012017employeestoc.htm" TargetMode="External"/><Relationship Id="rId21" Type="http://schemas.openxmlformats.org/officeDocument/2006/relationships/hyperlink" Target="http://www.sec.gov/Archives/edgar/data/320017/000032001715000013/exh1045.htm" TargetMode="External"/><Relationship Id="rId22" Type="http://schemas.openxmlformats.org/officeDocument/2006/relationships/hyperlink" Target="http://www.sec.gov/Archives/edgar/data/320017/000032001715000077/exhibit102lsaamendment.htm" TargetMode="External"/><Relationship Id="rId23" Type="http://schemas.openxmlformats.org/officeDocument/2006/relationships/hyperlink" Target="http://www.sec.gov/Archives/edgar/data/320017/000032001716000115/exhibit106thirdamoxford.htm" TargetMode="External"/><Relationship Id="rId24" Type="http://schemas.openxmlformats.org/officeDocument/2006/relationships/hyperlink" Target="http://www.sec.gov/Archives/edgar/data/320017/000032001716000115/exhibit101unitpurchaseagre.htm" TargetMode="External"/><Relationship Id="rId25" Type="http://schemas.openxmlformats.org/officeDocument/2006/relationships/hyperlink" Target="http://www.sec.gov/Archives/edgar/data/320017/000032001716000115/exhibit102operatingagreeme.htm" TargetMode="External"/><Relationship Id="rId26" Type="http://schemas.openxmlformats.org/officeDocument/2006/relationships/hyperlink" Target="http://www.sec.gov/Archives/edgar/data/320017/000032001716000115/exhibit103technologylicens.htm" TargetMode="External"/><Relationship Id="rId27" Type="http://schemas.openxmlformats.org/officeDocument/2006/relationships/hyperlink" Target="http://www.sec.gov/Archives/edgar/data/320017/000157104917002517/t1700770_ex2-1.htm" TargetMode="External"/><Relationship Id="rId28" Type="http://schemas.openxmlformats.org/officeDocument/2006/relationships/hyperlink" Target="http://www.sec.gov/Archives/edgar/data/320017/000157104917002519/t1700770_ex10-1.htm" TargetMode="External"/><Relationship Id="rId29" Type="http://schemas.openxmlformats.org/officeDocument/2006/relationships/hyperlink" Target="http://www.sec.gov/Archives/edgar/data/320017/000032001718000012/exhibit-101.htm" TargetMode="External"/><Relationship Id="rId30" Type="http://schemas.openxmlformats.org/officeDocument/2006/relationships/hyperlink" Target="http://www.sec.gov/Archives/edgar/data/320017/000032001718000102/ex101amd1toatmsalesagm.htm" TargetMode="External"/><Relationship Id="rId31" Type="http://schemas.openxmlformats.org/officeDocument/2006/relationships/hyperlink" Target="http://www.sec.gov/Archives/edgar/data/320017/000032001715000002/exhibit102dm.htm" TargetMode="External"/><Relationship Id="rId32" Type="http://schemas.openxmlformats.org/officeDocument/2006/relationships/hyperlink" Target="http://www.sec.gov/Archives/edgar/data/320017/000032001715000008/exh102dm.htm" TargetMode="External"/><Relationship Id="rId33" Type="http://schemas.openxmlformats.org/officeDocument/2006/relationships/hyperlink" Target="http://www.sec.gov/Archives/edgar/data/320017/000032001716000143/exhibit101djmamendment.htm" TargetMode="External"/><Relationship Id="rId34" Type="http://schemas.openxmlformats.org/officeDocument/2006/relationships/hyperlink" Target="http://www.sec.gov/Archives/edgar/data/320017/000032001717000082/exhibit101amendedemploymen.htm" TargetMode="External"/><Relationship Id="rId35" Type="http://schemas.openxmlformats.org/officeDocument/2006/relationships/hyperlink" Target="http://www.sec.gov/Archives/edgar/data/320017/000114420418063631/tv508609_ex10-1.htm" TargetMode="External"/><Relationship Id="rId36" Type="http://schemas.openxmlformats.org/officeDocument/2006/relationships/hyperlink" Target="http://www.sec.gov/Archives/edgar/data/320017/000032001716000144/exhibit101dwlletteragreeme.htm" TargetMode="External"/><Relationship Id="rId37" Type="http://schemas.openxmlformats.org/officeDocument/2006/relationships/hyperlink" Target="http://www.sec.gov/Archives/edgar/data/320017/000032001717000084/exhibit101dwl.htm" TargetMode="External"/><Relationship Id="rId38" Type="http://schemas.openxmlformats.org/officeDocument/2006/relationships/hyperlink" Target="http://www.sec.gov/Archives/edgar/data/320017/000114420411046147/v229482_ex10-10.htm" TargetMode="External"/><Relationship Id="rId39" Type="http://schemas.openxmlformats.org/officeDocument/2006/relationships/hyperlink" Target="http://www.sec.gov/Archives/edgar/data/320017/000032001719000024/exh1032.htm" TargetMode="External"/><Relationship Id="rId40" Type="http://schemas.openxmlformats.org/officeDocument/2006/relationships/hyperlink" Target="http://www.sec.gov/Archives/edgar/data/320017/000032001716000143/exhibit102jtamendment.htm" TargetMode="External"/><Relationship Id="rId41" Type="http://schemas.openxmlformats.org/officeDocument/2006/relationships/hyperlink" Target="http://www.sec.gov/Archives/edgar/data/320017/000032001719000020/exhibit101purchaseagreement.htm" TargetMode="External"/><Relationship Id="rId42" Type="http://schemas.openxmlformats.org/officeDocument/2006/relationships/hyperlink" Target="http://www.sec.gov/Archives/edgar/data/320017/000032001719000024/exhibit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2020-03-05T15:15:12Z</dcterms:created>
  <dcterms:modified xsi:type="dcterms:W3CDTF">2020-03-05T15:15:12Z</dcterms:modified>
</cp:coreProperties>
</file>