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Date of </w:t>
      </w:r>
      <w:bookmarkStart w:id="0" w:name="z_9kR3WTr266457ZKp039"/>
      <w:bookmarkEnd w:id="0"/>
      <w:r>
        <w:rPr>
          <w:rFonts w:ascii="Times New Roman" w:hAnsi="Times New Roman"/>
          <w:b/>
          <w:color w:val="000000"/>
          <w:sz w:val="20"/>
          <w:shd w:fill="FFFFFF" w:val="clear"/>
        </w:rPr>
        <w:t>Report (</w:t>
      </w:r>
      <w:bookmarkStart w:id="1" w:name="z_9kR3WTr266458M2pu"/>
      <w:bookmarkEnd w:id="1"/>
      <w:r>
        <w:rPr>
          <w:rFonts w:ascii="Times New Roman" w:hAnsi="Times New Roman"/>
          <w:b/>
          <w:color w:val="000000"/>
          <w:sz w:val="20"/>
          <w:shd w:fill="FFFFFF" w:val="clear"/>
        </w:rPr>
        <w:t>Date of earliest event reported): September 17, 2026</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LISATA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8925" w:type="dxa"/>
        <w:jc w:val="left"/>
        <w:tblInd w:w="0" w:type="dxa"/>
        <w:tblLayout w:type="fixed"/>
        <w:tblCellMar>
          <w:top w:w="0" w:type="dxa"/>
          <w:left w:w="0" w:type="dxa"/>
          <w:bottom w:w="0" w:type="dxa"/>
          <w:right w:w="0" w:type="dxa"/>
        </w:tblCellMar>
      </w:tblPr>
      <w:tblGrid>
        <w:gridCol w:w="3755"/>
        <w:gridCol w:w="2300"/>
        <w:gridCol w:w="2870"/>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001-33650</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22-2343568</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P.O. Box 173 Liberty Corner, NJ 07938</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(908) 842-0100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(Former </w:t>
      </w:r>
      <w:bookmarkStart w:id="2" w:name="z_9kR3WTr266459XCinq4WO76u0XEo357M"/>
      <w:bookmarkEnd w:id="2"/>
      <w:r>
        <w:rPr>
          <w:rFonts w:ascii="Times New Roman" w:hAnsi="Times New Roman"/>
          <w:b/>
          <w:color w:val="000000"/>
          <w:sz w:val="20"/>
          <w:shd w:fill="FFFFFF" w:val="clear"/>
        </w:rPr>
        <w:t xml:space="preserve">Name or Former Address, if </w:t>
      </w:r>
      <w:bookmarkStart w:id="3" w:name="z_9kR3WTr26645AN8dkrjhWWytlVM0Kua5GJP"/>
      <w:bookmarkEnd w:id="3"/>
      <w:r>
        <w:rPr>
          <w:rFonts w:ascii="Times New Roman" w:hAnsi="Times New Roman"/>
          <w:b/>
          <w:color w:val="000000"/>
          <w:sz w:val="20"/>
          <w:shd w:fill="FFFFFF" w:val="clear"/>
        </w:rPr>
        <w:t>Changed Since Last Report)</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Check the appropriate box below if the </w:t>
      </w:r>
      <w:bookmarkStart w:id="4" w:name="z_9kR3WTr26645BRI10Ie"/>
      <w:bookmarkEnd w:id="4"/>
      <w:r>
        <w:rPr>
          <w:rFonts w:ascii="Times New Roman" w:hAnsi="Times New Roman"/>
          <w:color w:val="000000"/>
          <w:sz w:val="20"/>
          <w:shd w:fill="FFFFFF" w:val="clear"/>
        </w:rPr>
        <w:t>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5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5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5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bookmarkStart w:id="5" w:name="z_9kR3WTr26645CfLct9y12oz"/>
      <w:bookmarkEnd w:id="5"/>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_9kMHG5YVt3DE68AMHyx02hiBvs"/>
      <w:bookmarkStart w:id="7" w:name="z_9kMHG5YVt3DE68AMHyx02hiBvs"/>
      <w:bookmarkEnd w:id="7"/>
    </w:p>
    <w:tbl>
      <w:tblPr>
        <w:tblW w:w="7050" w:type="dxa"/>
        <w:jc w:val="left"/>
        <w:tblInd w:w="0" w:type="dxa"/>
        <w:tblLayout w:type="fixed"/>
        <w:tblCellMar>
          <w:top w:w="0" w:type="dxa"/>
          <w:left w:w="0" w:type="dxa"/>
          <w:bottom w:w="28" w:type="dxa"/>
          <w:right w:w="0" w:type="dxa"/>
        </w:tblCellMar>
      </w:tblPr>
      <w:tblGrid>
        <w:gridCol w:w="3680"/>
        <w:gridCol w:w="60"/>
        <w:gridCol w:w="860"/>
        <w:gridCol w:w="60"/>
        <w:gridCol w:w="2390"/>
      </w:tblGrid>
      <w:tr>
        <w:trPr/>
        <w:tc>
          <w:tcPr>
            <w:tcW w:w="368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68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LSTA</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Capital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212529"/>
          <w:sz w:val="20"/>
          <w:shd w:fill="FFFFFF" w:val="clear"/>
        </w:rPr>
        <w:t xml:space="preserve">Item 1.01 </w:t>
      </w:r>
      <w:r>
        <w:rPr>
          <w:rFonts w:ascii="Times New Roman" w:hAnsi="Times New Roman"/>
          <w:b/>
          <w:color w:val="000000"/>
          <w:sz w:val="20"/>
          <w:shd w:fill="FFFFFF" w:val="clear"/>
        </w:rPr>
        <w:t>–</w:t>
      </w:r>
      <w:r>
        <w:rPr>
          <w:rFonts w:ascii="Times New Roman" w:hAnsi="Times New Roman"/>
          <w:b/>
          <w:color w:val="212529"/>
          <w:sz w:val="20"/>
          <w:shd w:fill="FFFFFF" w:val="clear"/>
        </w:rPr>
        <w:t xml:space="preserve"> Entry into a Material Definitive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Agreement and Plan of Merger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September 17, 2026, Lisata Therapeutics, Inc., a Delaware corporation (the “</w:t>
      </w:r>
      <w:bookmarkStart w:id="8" w:name="z_9kR3WTr26649GPFwynmB"/>
      <w:bookmarkEnd w:id="8"/>
      <w:r>
        <w:rPr>
          <w:rFonts w:ascii="Times New Roman" w:hAnsi="Times New Roman"/>
          <w:color w:val="000000"/>
          <w:sz w:val="20"/>
          <w:shd w:fill="FFFFFF" w:val="clear"/>
        </w:rPr>
        <w:t xml:space="preserve">Company” or “Lisata”), acquired Marea Therapeutics, Inc., a Delaware corporation (“Marea”), in accordance with the terms of the Agreement and Plan of Merger, dated September 17, 2026 (the “Merger Agreement”), by and among the </w:t>
      </w:r>
      <w:bookmarkStart w:id="9" w:name="z_9kMHG5YVt4886BIRHy0poD"/>
      <w:bookmarkEnd w:id="9"/>
      <w:r>
        <w:rPr>
          <w:rFonts w:ascii="Times New Roman" w:hAnsi="Times New Roman"/>
          <w:color w:val="000000"/>
          <w:sz w:val="20"/>
          <w:shd w:fill="FFFFFF" w:val="clear"/>
        </w:rPr>
        <w:t xml:space="preserve">Company, Mariner Merger Sub I, Inc., a Delaware corporation and a wholly owned subsidiary of the </w:t>
      </w:r>
      <w:bookmarkStart w:id="10" w:name="z_9kMIH5YVt4886BIRHy0poD"/>
      <w:bookmarkEnd w:id="10"/>
      <w:r>
        <w:rPr>
          <w:rFonts w:ascii="Times New Roman" w:hAnsi="Times New Roman"/>
          <w:color w:val="000000"/>
          <w:sz w:val="20"/>
          <w:shd w:fill="FFFFFF" w:val="clear"/>
        </w:rPr>
        <w:t>Company (“</w:t>
      </w:r>
      <w:bookmarkStart w:id="11" w:name="z_9kR3WTr1AB45DTCv69eKwznzom2"/>
      <w:bookmarkEnd w:id="11"/>
      <w:r>
        <w:rPr>
          <w:rFonts w:ascii="Times New Roman" w:hAnsi="Times New Roman"/>
          <w:color w:val="000000"/>
          <w:sz w:val="20"/>
          <w:shd w:fill="FFFFFF" w:val="clear"/>
        </w:rPr>
        <w:t xml:space="preserve">First Merger Sub”), Mariner Merger Sub II, LLC, a Delaware limited liability company and wholly owned subsidiary of the </w:t>
      </w:r>
      <w:bookmarkStart w:id="12" w:name="z_9kMJI5YVt4886BIRHy0poD"/>
      <w:bookmarkEnd w:id="12"/>
      <w:r>
        <w:rPr>
          <w:rFonts w:ascii="Times New Roman" w:hAnsi="Times New Roman"/>
          <w:color w:val="000000"/>
          <w:sz w:val="20"/>
          <w:shd w:fill="FFFFFF" w:val="clear"/>
        </w:rPr>
        <w:t xml:space="preserve">Company (“Second Merger Sub”), and Marea. Pursuant to the Merger Agreement, First Merger Sub merged with and into Marea, pursuant to which Marea was the surviving corporation and became a wholly owned subsidiary of the </w:t>
      </w:r>
      <w:bookmarkStart w:id="13" w:name="z_9kMKJ5YVt4886BIRHy0poD"/>
      <w:bookmarkEnd w:id="13"/>
      <w:r>
        <w:rPr>
          <w:rFonts w:ascii="Times New Roman" w:hAnsi="Times New Roman"/>
          <w:color w:val="000000"/>
          <w:sz w:val="20"/>
          <w:shd w:fill="FFFFFF" w:val="clear"/>
        </w:rPr>
        <w:t>Company (the “First Merger”). Immediately following the First Merger, Marea merged with and into Second Merger Sub, pursuant to which Second Merger Sub was the surviving entity (together with the First Merger, the “</w:t>
      </w:r>
      <w:bookmarkStart w:id="14" w:name="z_9kR3WTr26645EbFruiu"/>
      <w:bookmarkEnd w:id="14"/>
      <w:r>
        <w:rPr>
          <w:rFonts w:ascii="Times New Roman" w:hAnsi="Times New Roman"/>
          <w:color w:val="000000"/>
          <w:sz w:val="20"/>
          <w:shd w:fill="FFFFFF" w:val="clear"/>
        </w:rPr>
        <w:t xml:space="preserve">Merger”). The </w:t>
      </w:r>
      <w:bookmarkStart w:id="15" w:name="z_9kMHG5YVt48867GdHtwkw"/>
      <w:bookmarkEnd w:id="15"/>
      <w:r>
        <w:rPr>
          <w:rFonts w:ascii="Times New Roman" w:hAnsi="Times New Roman"/>
          <w:color w:val="000000"/>
          <w:sz w:val="20"/>
          <w:shd w:fill="FFFFFF" w:val="clear"/>
        </w:rPr>
        <w:t>Merger is intended to qualify as a tax-free reorganization for U.S. federal income tax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Under the terms of the Merger Agreement, upon the closing of the </w:t>
      </w:r>
      <w:bookmarkStart w:id="16" w:name="z_9kMIH5YVt48867GdHtwkw"/>
      <w:bookmarkEnd w:id="16"/>
      <w:r>
        <w:rPr>
          <w:rFonts w:ascii="Times New Roman" w:hAnsi="Times New Roman"/>
          <w:color w:val="000000"/>
          <w:sz w:val="20"/>
          <w:shd w:fill="FFFFFF" w:val="clear"/>
        </w:rPr>
        <w:t>Merger (the “</w:t>
      </w:r>
      <w:bookmarkStart w:id="17" w:name="z_9kR3WTr24448FPCv3yut"/>
      <w:bookmarkEnd w:id="17"/>
      <w:r>
        <w:rPr>
          <w:rFonts w:ascii="Times New Roman" w:hAnsi="Times New Roman"/>
          <w:color w:val="000000"/>
          <w:sz w:val="20"/>
          <w:shd w:fill="FFFFFF" w:val="clear"/>
        </w:rPr>
        <w:t xml:space="preserve">Closing”), the </w:t>
      </w:r>
      <w:bookmarkStart w:id="18" w:name="z_9kMLK5YVt4886BIRHy0poD"/>
      <w:bookmarkEnd w:id="18"/>
      <w:r>
        <w:rPr>
          <w:rFonts w:ascii="Times New Roman" w:hAnsi="Times New Roman"/>
          <w:color w:val="000000"/>
          <w:sz w:val="20"/>
          <w:shd w:fill="FFFFFF" w:val="clear"/>
        </w:rPr>
        <w:t xml:space="preserve">Company issued to the stockholders of Marea (i) 1,793,129.0 shares of the common stock of the </w:t>
      </w:r>
      <w:bookmarkStart w:id="19" w:name="z_9kMML5YVt4886BIRHy0poD"/>
      <w:bookmarkEnd w:id="19"/>
      <w:r>
        <w:rPr>
          <w:rFonts w:ascii="Times New Roman" w:hAnsi="Times New Roman"/>
          <w:color w:val="000000"/>
          <w:sz w:val="20"/>
          <w:shd w:fill="FFFFFF" w:val="clear"/>
        </w:rPr>
        <w:t>Company, par value $0.001 per share (the “</w:t>
      </w:r>
      <w:bookmarkStart w:id="20" w:name="z_9kR3WTr1BC468KFwvy0fg9tq"/>
      <w:bookmarkEnd w:id="20"/>
      <w:r>
        <w:rPr>
          <w:rFonts w:ascii="Times New Roman" w:hAnsi="Times New Roman"/>
          <w:color w:val="000000"/>
          <w:sz w:val="20"/>
          <w:shd w:fill="FFFFFF" w:val="clear"/>
        </w:rPr>
        <w:t xml:space="preserve">Common Stock”), and (ii) 211,365.213 shares of </w:t>
      </w:r>
      <w:bookmarkStart w:id="21" w:name="z_9kR3WTr26645FiLrwkv"/>
      <w:bookmarkEnd w:id="21"/>
      <w:r>
        <w:rPr>
          <w:rFonts w:ascii="Times New Roman" w:hAnsi="Times New Roman"/>
          <w:color w:val="000000"/>
          <w:sz w:val="20"/>
          <w:shd w:fill="FFFFFF" w:val="clear"/>
        </w:rPr>
        <w:t xml:space="preserve">Series C </w:t>
      </w:r>
      <w:bookmarkStart w:id="22" w:name="z_9kR3WTr266467UQxfb61wvLO6E63JBuy2hpB01"/>
      <w:bookmarkEnd w:id="22"/>
      <w:r>
        <w:rPr>
          <w:rFonts w:ascii="Times New Roman" w:hAnsi="Times New Roman"/>
          <w:color w:val="000000"/>
          <w:sz w:val="20"/>
          <w:shd w:fill="FFFFFF" w:val="clear"/>
        </w:rPr>
        <w:t>Non-Voting Convertible Preferred Stock of the Company, par value $0.01 per share (the “Series C Preferred Stock”), each share of which is convertible into 1,000 shares of Common Stock, subject to approval by the stockholders of the Company of the Conversion Proposal (as defined below). The powers, preferences, rights, qualifications, limitations and restrictions applicable to the Series C Preferred Stock are set forth in the Certificate of Designation (as defined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Reference is made to the discussion of the Series C Preferred Stock in Item 5.03 of this Current Report on Form 8-K, which is incorporated into this Item 1.01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Shares of Common Stock held by holders thereof immediately prior to the First Effective Time (as defined in the Merger Agreement) remain outstanding and were unaffected by the Merger. Immediately following the consummation of the Merger but prior to giving effect to the Financing (as defined below), assuming the conversion of shares of Series C Preferred Stock issued pursuant to the Merger Agreement into shares of Common Stock (without giving effect to any beneficial ownership limitations), pre-transaction equityholders of the Company held approximately 3.87% of the issued and outstanding shares of Common Stock and former equityholders of Marea held approximately 96.13% of the issued and outstanding shares of Common Stock, in each case, calculated on a fully-diluted basis and based on the implied equity values of the Company and Marea. Following the consummation of the Financing (as defined below), assuming the conversion of the PIPE Securities (as defined below) and shares of Series C Preferred Stock issued pursuant to the Merger Agreement into shares of Common Stock (in each case, without giving effect to any beneficial ownership limitations), pre-transaction stockholders of the Company hold approximately 2.39% of the issued and outstanding shares of Common Stock, former equityholders of Marea hold approximately 59.54% of the issued and outstanding shares of Common Stock and the Investors (as defined below) hold approximately 38.07% of the issued and outstanding shares of Common Stock, in each case, calculated on a fully-diluted basis and based on the implied equity values of the Company and Marea.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terms of the Merger Agreement, each option to purchase Marea common stock was assumed by the Company and converted into an option to purchase Series C Preferred Stock (each, a “Parent Assumed Option”), which options are subject to exercise restrictions prior to obtaining the approval of the Parent Stockholder Matters (as defined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Pursuant to the Merger Agreement and the Purchase Agreement (as defined below), the </w:t>
      </w:r>
      <w:bookmarkStart w:id="23" w:name="z_9kMNM5YVt4886BIRHy0poD"/>
      <w:bookmarkEnd w:id="23"/>
      <w:r>
        <w:rPr>
          <w:rFonts w:ascii="Times New Roman" w:hAnsi="Times New Roman"/>
          <w:color w:val="000000"/>
          <w:sz w:val="20"/>
          <w:shd w:fill="FFFFFF" w:val="clear"/>
        </w:rPr>
        <w:t xml:space="preserve">Company has agreed to hold a stockholders’ meeting (the “Stockholders’ Meeting”) to submit the following matters to its stockholders for their consideration: (i) the approval of the conversion of the Series C Preferred Stock into shares of Common Stock in accordance with certain of the rules of the </w:t>
      </w:r>
      <w:bookmarkStart w:id="24" w:name="z_9kR3WTr26649BVCosbpig9tqbMy9x7vrI3B"/>
      <w:bookmarkEnd w:id="24"/>
      <w:r>
        <w:rPr>
          <w:rFonts w:ascii="Times New Roman" w:hAnsi="Times New Roman"/>
          <w:color w:val="000000"/>
          <w:sz w:val="20"/>
          <w:shd w:fill="FFFFFF" w:val="clear"/>
        </w:rPr>
        <w:t xml:space="preserve">Nasdaq Stock Market LLC (the “Conversion Proposal”), (ii) the approval of a “change of control” under Nasdaq Listing Rules 5110 and 5635(b) (the “Change in Control Proposal”), (iii) to the extent deemed necessary or advisable by Company and/or Marea, the approval of an amendment to the certificate of incorporation of the </w:t>
      </w:r>
      <w:bookmarkStart w:id="25" w:name="z_9kMPO5YVt4886BIRHy0poD"/>
      <w:bookmarkEnd w:id="25"/>
      <w:r>
        <w:rPr>
          <w:rFonts w:ascii="Times New Roman" w:hAnsi="Times New Roman"/>
          <w:color w:val="000000"/>
          <w:sz w:val="20"/>
          <w:shd w:fill="FFFFFF" w:val="clear"/>
        </w:rPr>
        <w:t xml:space="preserve">Company to authorize sufficient shares of Common Stock for the conversion of the Series C Preferred Stock issued pursuant to the Merger Agreement and the Purchase Agreement (as described below) and/or to effectuate a reverse stock split of all outstanding shares of Common Stock at a reverse stock split ratio to be reasonably determined by the </w:t>
      </w:r>
      <w:bookmarkStart w:id="26" w:name="z_9kMHzG6ZWu5997CJSIz1qpE"/>
      <w:bookmarkEnd w:id="26"/>
      <w:r>
        <w:rPr>
          <w:rFonts w:ascii="Times New Roman" w:hAnsi="Times New Roman"/>
          <w:color w:val="000000"/>
          <w:sz w:val="20"/>
          <w:shd w:fill="FFFFFF" w:val="clear"/>
        </w:rPr>
        <w:t>Company for the purpose of maintaining compliance with Nasdaq listing standards (the “</w:t>
      </w:r>
      <w:bookmarkStart w:id="27" w:name="z_9kR3WTr26649AJ8do8wvSItvvvxzFslHGHL82"/>
      <w:bookmarkEnd w:id="27"/>
      <w:r>
        <w:rPr>
          <w:rFonts w:ascii="Times New Roman" w:hAnsi="Times New Roman"/>
          <w:color w:val="000000"/>
          <w:sz w:val="20"/>
          <w:shd w:fill="FFFFFF" w:val="clear"/>
        </w:rPr>
        <w:t xml:space="preserve">Charter Amendment Proposal”), (iv) to the extent deemed necessary or advisable by the Company and/or Marea, the approval of (A) an equity incentive plan and (B) an employee stock purchase plan, in each case as approved by the Board (as defined below), and (v) such additional matters as may be mutually agreed between the Company and Marea to facilitate approval of the Conversion Proposal (the matters contemplated by clauses (i)–(v) collectively, the “Parent Stockholder Matters”). In connection with these matters, the </w:t>
      </w:r>
      <w:bookmarkStart w:id="28" w:name="z_9kMH0H6ZWu5997CJSIz1qpE"/>
      <w:bookmarkEnd w:id="28"/>
      <w:r>
        <w:rPr>
          <w:rFonts w:ascii="Times New Roman" w:hAnsi="Times New Roman"/>
          <w:color w:val="000000"/>
          <w:sz w:val="20"/>
          <w:shd w:fill="FFFFFF" w:val="clear"/>
        </w:rPr>
        <w:t>Company intends to file with the Securities and Exchange Commission (the “SEC”) a proxy statement and other relevant materials. Holders of shares of Common Stock issued pursuant to the Merger Agreement and Parent Assumed Options (as defined in the Merger Agreement) will not be entitled to vote such shares in connection with the Conversion Proposal in accordance with Rule 5635 of the listing rules of Nasdaq and as provided in the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Board of Directors of the </w:t>
      </w:r>
      <w:bookmarkStart w:id="29" w:name="z_9kMH1I6ZWu5997CJSIz1qpE"/>
      <w:bookmarkEnd w:id="29"/>
      <w:r>
        <w:rPr>
          <w:rFonts w:ascii="Times New Roman" w:hAnsi="Times New Roman"/>
          <w:color w:val="000000"/>
          <w:sz w:val="20"/>
          <w:shd w:fill="FFFFFF" w:val="clear"/>
        </w:rPr>
        <w:t xml:space="preserve">Company (the “Board”) unanimously approved the Merger Agreement and the related transactions, and the consummation of the </w:t>
      </w:r>
      <w:bookmarkStart w:id="30" w:name="z_9kMJI5YVt48867GdHtwkw"/>
      <w:bookmarkEnd w:id="30"/>
      <w:r>
        <w:rPr>
          <w:rFonts w:ascii="Times New Roman" w:hAnsi="Times New Roman"/>
          <w:color w:val="000000"/>
          <w:sz w:val="20"/>
          <w:shd w:fill="FFFFFF" w:val="clear"/>
        </w:rPr>
        <w:t xml:space="preserve">Merger did not require the approval of the </w:t>
      </w:r>
      <w:bookmarkStart w:id="31" w:name="z_9kMH2J6ZWu5997CJSIz1qpE"/>
      <w:bookmarkEnd w:id="31"/>
      <w:r>
        <w:rPr>
          <w:rFonts w:ascii="Times New Roman" w:hAnsi="Times New Roman"/>
          <w:color w:val="000000"/>
          <w:sz w:val="20"/>
          <w:shd w:fill="FFFFFF" w:val="clear"/>
        </w:rPr>
        <w:t>Company stockholders.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foregoing description of the </w:t>
      </w:r>
      <w:bookmarkStart w:id="32" w:name="z_9kMKJ5YVt48867GdHtwkw"/>
      <w:bookmarkEnd w:id="32"/>
      <w:r>
        <w:rPr>
          <w:rFonts w:ascii="Times New Roman" w:hAnsi="Times New Roman"/>
          <w:color w:val="000000"/>
          <w:sz w:val="20"/>
          <w:shd w:fill="FFFFFF" w:val="clear"/>
        </w:rPr>
        <w:t>Merger and the Merger Agreement does not purport to be complete and is qualified in its entirety by reference to the Merger Agreement, which is filed as Exhibit 2.1 to this Current Report on Form 8-K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Merger Agreement has been included to provide </w:t>
      </w:r>
      <w:bookmarkStart w:id="33" w:name="z_9kMHG5YVt46668IaM6ywC98D"/>
      <w:bookmarkEnd w:id="33"/>
      <w:r>
        <w:rPr>
          <w:rFonts w:ascii="Times New Roman" w:hAnsi="Times New Roman"/>
          <w:color w:val="000000"/>
          <w:sz w:val="20"/>
          <w:shd w:fill="FFFFFF" w:val="clear"/>
        </w:rPr>
        <w:t xml:space="preserve">investors and security holders with information regarding its terms. It is not intended to provide any other factual information about the </w:t>
      </w:r>
      <w:bookmarkStart w:id="34" w:name="z_9kMH3K6ZWu5997CJSIz1qpE"/>
      <w:bookmarkEnd w:id="34"/>
      <w:r>
        <w:rPr>
          <w:rFonts w:ascii="Times New Roman" w:hAnsi="Times New Roman"/>
          <w:color w:val="000000"/>
          <w:sz w:val="20"/>
          <w:shd w:fill="FFFFFF" w:val="clear"/>
        </w:rPr>
        <w:t xml:space="preserve">Company or Marea. The Merger Agreement contains representations, warranties and covenants that the </w:t>
      </w:r>
      <w:bookmarkStart w:id="35" w:name="z_9kMH4L6ZWu5997CJSIz1qpE"/>
      <w:bookmarkEnd w:id="35"/>
      <w:r>
        <w:rPr>
          <w:rFonts w:ascii="Times New Roman" w:hAnsi="Times New Roman"/>
          <w:color w:val="000000"/>
          <w:sz w:val="20"/>
          <w:shd w:fill="FFFFFF" w:val="clear"/>
        </w:rPr>
        <w:t xml:space="preserve">Company and Marea made to each other as of specific dates. The assertions embodied in those representations, warranties and covenants were made solely for purposes of the Merger Agreement between the </w:t>
      </w:r>
      <w:bookmarkStart w:id="36" w:name="z_9kMH5M6ZWu5997CJSIz1qpE"/>
      <w:bookmarkEnd w:id="36"/>
      <w:r>
        <w:rPr>
          <w:rFonts w:ascii="Times New Roman" w:hAnsi="Times New Roman"/>
          <w:color w:val="000000"/>
          <w:sz w:val="20"/>
          <w:shd w:fill="FFFFFF" w:val="clear"/>
        </w:rPr>
        <w:t xml:space="preserve">Company and Marea and may be subject to important qualifications and limitations agreed to by the </w:t>
      </w:r>
      <w:bookmarkStart w:id="37" w:name="z_9kMH6N6ZWu5997CJSIz1qpE"/>
      <w:bookmarkEnd w:id="37"/>
      <w:r>
        <w:rPr>
          <w:rFonts w:ascii="Times New Roman" w:hAnsi="Times New Roman"/>
          <w:color w:val="000000"/>
          <w:sz w:val="20"/>
          <w:shd w:fill="FFFFFF" w:val="clear"/>
        </w:rPr>
        <w:t xml:space="preserve">Company and Marea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w:t>
      </w:r>
      <w:bookmarkStart w:id="38" w:name="z_9kMIH5YVt46668IaM6ywC98D"/>
      <w:bookmarkEnd w:id="38"/>
      <w:r>
        <w:rPr>
          <w:rFonts w:ascii="Times New Roman" w:hAnsi="Times New Roman"/>
          <w:color w:val="000000"/>
          <w:sz w:val="20"/>
          <w:shd w:fill="FFFFFF" w:val="clear"/>
        </w:rPr>
        <w:t xml:space="preserve">investors or securityholders, or may have been used for the purpose of allocating risk between the </w:t>
      </w:r>
      <w:bookmarkStart w:id="39" w:name="z_9kMH7O6ZWu5997CJSIz1qpE"/>
      <w:bookmarkEnd w:id="39"/>
      <w:r>
        <w:rPr>
          <w:rFonts w:ascii="Times New Roman" w:hAnsi="Times New Roman"/>
          <w:color w:val="000000"/>
          <w:sz w:val="20"/>
          <w:shd w:fill="FFFFFF" w:val="clear"/>
        </w:rPr>
        <w:t xml:space="preserve">Company and Marea rather than establishing matters as facts. Moreover, information concerning the subject matter of the representations and warranties may change after the date of the Merger Agreement, which subsequent information may or may not be fully reflected in the </w:t>
      </w:r>
      <w:bookmarkStart w:id="40" w:name="z_9kMH8P6ZWu5997CJSIz1qpE"/>
      <w:bookmarkEnd w:id="40"/>
      <w:r>
        <w:rPr>
          <w:rFonts w:ascii="Times New Roman" w:hAnsi="Times New Roman"/>
          <w:color w:val="000000"/>
          <w:sz w:val="20"/>
          <w:shd w:fill="FFFFFF" w:val="clear"/>
        </w:rPr>
        <w:t>Company’s public disclosures. For the foregoing reasons, no person should rely on the representations and warranties as statements of factual information at the time they were made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Marea Stockholders Registration Rights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execution of the Merger Agreement, the Company entered into a Registration Rights Agreement (the “Marea Stockholders Registration Rights Agreement”) pursuant to which as promptly as practicable following the date of the Closing (and in any event not later than the later of (i) 45 days following the Financing Closing Date (as defined below) and (ii) the date upon which the Company shall have filed a current report on Form 8-K/A containing the financial statements of Marea and pro forma financial information required to be filed with the SEC in connection with the Merger (which Form 8-K/A shall be filed in any event no later than November 12, 2026) (such date in clause (ii), the “Form 8-K/A Filing Date”)), the Company has agreed to prepare and file with the SEC a Registration Statement on Form S-3 (or, if Form S-3 is not then available to the Company, on such form of registration statement as is then available) to register the resale of (i) the shares of Common Stock issued pursuant to the Merger Agreement and (ii) the shares of Common Stock underlying the Series C Preferred Stock issued pursuant to the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summary of the Marea Stockholders Registration Rights Agreement does not purport to be complete and is qualified in its entirety by reference to the form of Marea Stockholders Registration Rights Agreement, which is filed as Exhibit 10.1 to this Current Report on Form 8-K and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Support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connection with the execution of the Merger Agreement, the </w:t>
      </w:r>
      <w:bookmarkStart w:id="41" w:name="z_9kMI0G6ZWu5997CJSIz1qpE"/>
      <w:bookmarkEnd w:id="41"/>
      <w:r>
        <w:rPr>
          <w:rFonts w:ascii="Times New Roman" w:hAnsi="Times New Roman"/>
          <w:color w:val="000000"/>
          <w:sz w:val="20"/>
          <w:shd w:fill="FFFFFF" w:val="clear"/>
        </w:rPr>
        <w:t xml:space="preserve">Company and Marea entered into stockholder support agreements (the “Support Agreements”) with the </w:t>
      </w:r>
      <w:bookmarkStart w:id="42" w:name="z_9kMI1H6ZWu5997CJSIz1qpE"/>
      <w:bookmarkEnd w:id="42"/>
      <w:r>
        <w:rPr>
          <w:rFonts w:ascii="Times New Roman" w:hAnsi="Times New Roman"/>
          <w:color w:val="000000"/>
          <w:sz w:val="20"/>
          <w:shd w:fill="FFFFFF" w:val="clear"/>
        </w:rPr>
        <w:t xml:space="preserve">Company’s officers and directors (together with affiliated entities), solely in their capacity as stockholders of the Company, and representing approximately 4.3% of the pre-transaction shares of Common Stock outstanding. The Support Agreements provide that, among other things, each of the parties thereto has agreed to vote or cause to be voted all of the shares of Common Stock owned by such stockholder in favor of the </w:t>
      </w:r>
      <w:bookmarkStart w:id="43" w:name="z_9kR3WTr26648CWFeuzutWc878CztC24ODzVaHJ"/>
      <w:bookmarkEnd w:id="43"/>
      <w:r>
        <w:rPr>
          <w:rFonts w:ascii="Times New Roman" w:hAnsi="Times New Roman"/>
          <w:color w:val="000000"/>
          <w:sz w:val="20"/>
          <w:shd w:fill="FFFFFF" w:val="clear"/>
        </w:rPr>
        <w:t>Parent Stockholder Matters at the Stockholders’ Meeting to be held in connection therewith, subject to and in accordance with the terms of the Support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Support Agreements does not purport to be complete and is qualified in its entirety by reference to the form of the Support Agreement, which is provided as Exhibit E to the Merger Agreement, which is filed as Exhibit 2.1 to this Current Report on Form 8-K and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Lock-up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Concurrently and in connection with the execution of the Merger Agreement, certain officers, directors and stockholders of Marea as of immediately prior to the </w:t>
      </w:r>
      <w:bookmarkStart w:id="44" w:name="z_9kMLK5YVt48867GdHtwkw"/>
      <w:bookmarkEnd w:id="44"/>
      <w:r>
        <w:rPr>
          <w:rFonts w:ascii="Times New Roman" w:hAnsi="Times New Roman"/>
          <w:color w:val="000000"/>
          <w:sz w:val="20"/>
          <w:shd w:fill="FFFFFF" w:val="clear"/>
        </w:rPr>
        <w:t xml:space="preserve">Merger, and the Company’s directors and officers (together with affiliated entities) as of immediately prior to the </w:t>
      </w:r>
      <w:bookmarkStart w:id="45" w:name="z_9kMML5YVt48867GdHtwkw"/>
      <w:bookmarkEnd w:id="45"/>
      <w:r>
        <w:rPr>
          <w:rFonts w:ascii="Times New Roman" w:hAnsi="Times New Roman"/>
          <w:color w:val="000000"/>
          <w:sz w:val="20"/>
          <w:shd w:fill="FFFFFF" w:val="clear"/>
        </w:rPr>
        <w:t xml:space="preserve">Merger entered into lock-up agreements (the “Lock-up Agreements”) with the </w:t>
      </w:r>
      <w:bookmarkStart w:id="46" w:name="z_9kMI3J6ZWu5997CJSIz1qpE"/>
      <w:bookmarkEnd w:id="46"/>
      <w:r>
        <w:rPr>
          <w:rFonts w:ascii="Times New Roman" w:hAnsi="Times New Roman"/>
          <w:color w:val="000000"/>
          <w:sz w:val="20"/>
          <w:shd w:fill="FFFFFF" w:val="clear"/>
        </w:rPr>
        <w:t xml:space="preserve">Company and Marea, pursuant to which each such stockholder will be subject to a 180-day lockup on the sale or transfer of shares of Common Stock, Series C Preferred Stock and any securities convertible into Common Stock held by each such stockholder at the Closing, including those shares received by Marea stockholders in the </w:t>
      </w:r>
      <w:bookmarkStart w:id="47" w:name="z_9kMNM5YVt48867GdHtwkw"/>
      <w:bookmarkEnd w:id="47"/>
      <w:r>
        <w:rPr>
          <w:rFonts w:ascii="Times New Roman" w:hAnsi="Times New Roman"/>
          <w:color w:val="000000"/>
          <w:sz w:val="20"/>
          <w:shd w:fill="FFFFFF" w:val="clear"/>
        </w:rPr>
        <w:t>Merger.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The foregoing description of the Lock-up Agreements does not purport to be complete and is qualified in its entirety by reference to the form of the Lock-up Agreement, which is provided as Exhibit B to the Merger Agreement, which is filed as Exhibit 2.1 to this Current Report on Form 8-K and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Private Placement and Securities Purchase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On September 17, 2026, the </w:t>
      </w:r>
      <w:bookmarkStart w:id="48" w:name="z_9kMI4K6ZWu5997CJSIz1qpE"/>
      <w:bookmarkEnd w:id="48"/>
      <w:r>
        <w:rPr>
          <w:rFonts w:ascii="Times New Roman" w:hAnsi="Times New Roman"/>
          <w:color w:val="000000"/>
          <w:sz w:val="20"/>
          <w:shd w:fill="FFFFFF" w:val="clear"/>
        </w:rPr>
        <w:t xml:space="preserve">Company entered into a </w:t>
      </w:r>
      <w:bookmarkStart w:id="49" w:name="z_9kR3WTr26647EfLct9y12ozliH0rq27QNBAy78"/>
      <w:bookmarkEnd w:id="49"/>
      <w:r>
        <w:rPr>
          <w:rFonts w:ascii="Times New Roman" w:hAnsi="Times New Roman"/>
          <w:color w:val="000000"/>
          <w:sz w:val="20"/>
          <w:shd w:fill="FFFFFF" w:val="clear"/>
        </w:rPr>
        <w:t>Securities Purchase Agreement (the “Purchase Agreement”) with the purchasers named therein (the “</w:t>
      </w:r>
      <w:bookmarkStart w:id="50" w:name="z_9kR3WTr24449FUK4wuA76B"/>
      <w:bookmarkStart w:id="51" w:name="z_9kR3WTr24449DSK4wuA76B"/>
      <w:bookmarkStart w:id="52" w:name="z_9kR3WTr24448GWK4wuA76B"/>
      <w:bookmarkStart w:id="53" w:name="z_9kR3WTr24446GYK4wuA76B"/>
      <w:bookmarkEnd w:id="50"/>
      <w:bookmarkEnd w:id="51"/>
      <w:bookmarkEnd w:id="52"/>
      <w:bookmarkEnd w:id="53"/>
      <w:r>
        <w:rPr>
          <w:rFonts w:ascii="Times New Roman" w:hAnsi="Times New Roman"/>
          <w:color w:val="000000"/>
          <w:sz w:val="20"/>
          <w:shd w:fill="FFFFFF" w:val="clear"/>
        </w:rPr>
        <w:t>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Pursuant to the Purchase Agreement, the </w:t>
      </w:r>
      <w:bookmarkStart w:id="54" w:name="z_9kMI5L6ZWu5997CJSIz1qpE"/>
      <w:bookmarkEnd w:id="54"/>
      <w:r>
        <w:rPr>
          <w:rFonts w:ascii="Times New Roman" w:hAnsi="Times New Roman"/>
          <w:color w:val="000000"/>
          <w:sz w:val="20"/>
          <w:shd w:fill="FFFFFF" w:val="clear"/>
        </w:rPr>
        <w:t xml:space="preserve">Company agreed to sell an aggregate of 150,867.995 shares of </w:t>
      </w:r>
      <w:bookmarkStart w:id="55" w:name="z_9kMHG5YVt48867HkNtymx"/>
      <w:bookmarkEnd w:id="55"/>
      <w:r>
        <w:rPr>
          <w:rFonts w:ascii="Times New Roman" w:hAnsi="Times New Roman"/>
          <w:color w:val="000000"/>
          <w:sz w:val="20"/>
          <w:shd w:fill="FFFFFF" w:val="clear"/>
        </w:rPr>
        <w:t xml:space="preserve">Series C </w:t>
      </w:r>
      <w:bookmarkStart w:id="56" w:name="z_9kMHG5YVt488689WSzhd83yxNQ8G85LDw04jrD"/>
      <w:bookmarkEnd w:id="56"/>
      <w:r>
        <w:rPr>
          <w:rFonts w:ascii="Times New Roman" w:hAnsi="Times New Roman"/>
          <w:color w:val="000000"/>
          <w:sz w:val="20"/>
          <w:shd w:fill="FFFFFF" w:val="clear"/>
        </w:rPr>
        <w:t xml:space="preserve">Preferred Stock (the “PIPE Securities”) for an aggregate purchase price of approximately $225 million (the “Financing”). Each share of Series C Preferred Stock is convertible into 1,000 shares of Common Stock, as described below. The powers, preferences, rights, qualifications, limitations and restrictions applicable to the Series C Preferred Stock are set forth in the </w:t>
      </w:r>
      <w:bookmarkStart w:id="57" w:name="z_9kR3WTr26647FQ5r7zmnlew1xzPJ5Az507GCI"/>
      <w:bookmarkEnd w:id="57"/>
      <w:r>
        <w:rPr>
          <w:rFonts w:ascii="Times New Roman" w:hAnsi="Times New Roman"/>
          <w:color w:val="000000"/>
          <w:sz w:val="20"/>
          <w:shd w:fill="FFFFFF" w:val="clear"/>
        </w:rPr>
        <w:t>Certificate of Designation (as defined below).</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w:t>
      </w:r>
      <w:bookmarkStart w:id="58" w:name="z_9kMHG5YVt4666AHREx50wv"/>
      <w:bookmarkEnd w:id="58"/>
      <w:r>
        <w:rPr>
          <w:rFonts w:ascii="Times New Roman" w:hAnsi="Times New Roman"/>
          <w:color w:val="000000"/>
          <w:sz w:val="20"/>
          <w:shd w:fill="FFFFFF" w:val="clear"/>
        </w:rPr>
        <w:t>closing of the Financing is expected to occur on September 18, 2026 (the “Financing Closing Date”), subject to the satisfaction of customary conditions to closing.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Financing is exempt from registration pursuant to Section 4(a)(2) of the Securities Act of 1933, as amended (the “Securities Act”), as a transaction by an issuer not involving a public offering. The Investors acquired the securities for investment only and not with a view to or for resale in connection with any public sale or distribution thereof, and appropriate legends have been affixed to the securities issued in this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summary of the Purchase Agreement does not purport to be complete and is qualified in its entirety by reference to the Purchase Agreement, which is filed as Exhibit 10.2 to this Current Report on Form 8-K and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Registration Rights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connection with the closing of the Financing, the </w:t>
      </w:r>
      <w:bookmarkStart w:id="59" w:name="z_9kMI7N6ZWu5997CJSIz1qpE"/>
      <w:bookmarkEnd w:id="59"/>
      <w:r>
        <w:rPr>
          <w:rFonts w:ascii="Times New Roman" w:hAnsi="Times New Roman"/>
          <w:color w:val="000000"/>
          <w:sz w:val="20"/>
          <w:shd w:fill="FFFFFF" w:val="clear"/>
        </w:rPr>
        <w:t xml:space="preserve">Company will enter into a Registration Rights Agreement (the “Registration Rights Agreement”) with the Investors. Pursuant to the Registration Rights Agreement, the </w:t>
      </w:r>
      <w:bookmarkStart w:id="60" w:name="z_9kMI8O6ZWu5997CJSIz1qpE"/>
      <w:bookmarkEnd w:id="60"/>
      <w:r>
        <w:rPr>
          <w:rFonts w:ascii="Times New Roman" w:hAnsi="Times New Roman"/>
          <w:color w:val="000000"/>
          <w:sz w:val="20"/>
          <w:shd w:fill="FFFFFF" w:val="clear"/>
        </w:rPr>
        <w:t xml:space="preserve">Company is required to prepare and file a resale registration statement with the SEC by the later of (i) 45 days following the Financing Closing Date and (ii) the Form 8-K/A Filing Date. The </w:t>
      </w:r>
      <w:bookmarkStart w:id="61" w:name="z_9kMI9P6ZWu5997CJSIz1qpE"/>
      <w:bookmarkEnd w:id="61"/>
      <w:r>
        <w:rPr>
          <w:rFonts w:ascii="Times New Roman" w:hAnsi="Times New Roman"/>
          <w:color w:val="000000"/>
          <w:sz w:val="20"/>
          <w:shd w:fill="FFFFFF" w:val="clear"/>
        </w:rPr>
        <w:t xml:space="preserve">Company shall use its commercially reasonable efforts to cause this registration statement to be declared effective by the SEC within five business days of the date the </w:t>
      </w:r>
      <w:bookmarkStart w:id="62" w:name="z_9kMJ1G6ZWu5997CJSIz1qpE"/>
      <w:bookmarkEnd w:id="62"/>
      <w:r>
        <w:rPr>
          <w:rFonts w:ascii="Times New Roman" w:hAnsi="Times New Roman"/>
          <w:color w:val="000000"/>
          <w:sz w:val="20"/>
          <w:shd w:fill="FFFFFF" w:val="clear"/>
        </w:rPr>
        <w:t>Company is notified by the SEC that the registration statement will not be reviewed (or within 60 calendar days if the SEC reviews the registration statement).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w:t>
      </w:r>
      <w:bookmarkStart w:id="63" w:name="z_9kMJ2H6ZWu5997CJSIz1qpE"/>
      <w:bookmarkEnd w:id="63"/>
      <w:r>
        <w:rPr>
          <w:rFonts w:ascii="Times New Roman" w:hAnsi="Times New Roman"/>
          <w:color w:val="000000"/>
          <w:sz w:val="20"/>
          <w:shd w:fill="FFFFFF" w:val="clear"/>
        </w:rPr>
        <w:t xml:space="preserve">Company has also agreed to, among other things, indemnify the Investors, their officers, directors, members, employees, partners, managers, stockholders, affiliates, investment advisors and agents under the registration statement from certain liabilities and pay all fees and expenses (excluding any legal fees of the selling holder(s), and any underwriting discounts and selling commissions) incident to the </w:t>
      </w:r>
      <w:bookmarkStart w:id="64" w:name="z_9kMJ3I6ZWu5997CJSIz1qpE"/>
      <w:bookmarkEnd w:id="64"/>
      <w:r>
        <w:rPr>
          <w:rFonts w:ascii="Times New Roman" w:hAnsi="Times New Roman"/>
          <w:color w:val="000000"/>
          <w:sz w:val="20"/>
          <w:shd w:fill="FFFFFF" w:val="clear"/>
        </w:rPr>
        <w:t>Company’s obligations under the Registration Rights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summary of the Registration Rights Agreement does not purport to be complete and is qualified in its entirety by reference to the form of Registration Rights Agreement, which is filed as Exhibit 10.3 to this Current Report on Form 8-K and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212529"/>
          <w:sz w:val="20"/>
          <w:shd w:fill="FFFFFF" w:val="clear"/>
        </w:rPr>
        <w:t xml:space="preserve">Item 2.01 </w:t>
      </w:r>
      <w:r>
        <w:rPr>
          <w:rFonts w:ascii="Times New Roman" w:hAnsi="Times New Roman"/>
          <w:b/>
          <w:color w:val="000000"/>
          <w:sz w:val="20"/>
          <w:shd w:fill="FFFFFF" w:val="clear"/>
        </w:rPr>
        <w:t>–</w:t>
      </w:r>
      <w:r>
        <w:rPr>
          <w:rFonts w:ascii="Times New Roman" w:hAnsi="Times New Roman"/>
          <w:b/>
          <w:color w:val="212529"/>
          <w:sz w:val="20"/>
          <w:shd w:fill="FFFFFF" w:val="clear"/>
        </w:rPr>
        <w:t xml:space="preserve"> Completion of Acquisition or Disposition of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On September 17, 2026, the </w:t>
      </w:r>
      <w:bookmarkStart w:id="65" w:name="z_9kMJ4J6ZWu5997CJSIz1qpE"/>
      <w:bookmarkEnd w:id="65"/>
      <w:r>
        <w:rPr>
          <w:rFonts w:ascii="Times New Roman" w:hAnsi="Times New Roman"/>
          <w:color w:val="000000"/>
          <w:sz w:val="20"/>
          <w:shd w:fill="FFFFFF" w:val="clear"/>
        </w:rPr>
        <w:t>Company completed its acquisition of Marea pursuant to the Merger Agreement. The information contained in Item 1.01 of this Current Report on Form 8-K is incorporated by reference into this Item 2.01.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212529"/>
          <w:sz w:val="20"/>
          <w:shd w:fill="FFFFFF" w:val="clear"/>
        </w:rPr>
        <w:t xml:space="preserve">Item 3.02 </w:t>
      </w:r>
      <w:r>
        <w:rPr>
          <w:rFonts w:ascii="Times New Roman" w:hAnsi="Times New Roman"/>
          <w:b/>
          <w:color w:val="000000"/>
          <w:sz w:val="20"/>
          <w:shd w:fill="FFFFFF" w:val="clear"/>
        </w:rPr>
        <w:t>–</w:t>
      </w:r>
      <w:r>
        <w:rPr>
          <w:rFonts w:ascii="Times New Roman" w:hAnsi="Times New Roman"/>
          <w:b/>
          <w:color w:val="212529"/>
          <w:sz w:val="20"/>
          <w:shd w:fill="FFFFFF" w:val="clear"/>
        </w:rPr>
        <w:t xml:space="preserve"> Unregistered Sales of Equity Securities.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information contained in Item 1.01 of this Current Report on Form 8-K is incorporated by reference into this Item 3.02. The PIPE Securities were offered and sold in transactions exempt from registration under the Securities Act in reliance on Section 4(a)(2) thereof. Each of the Investors represented that it was an “accredited </w:t>
      </w:r>
      <w:bookmarkStart w:id="66" w:name="z_9kMJI5YVt46668IaM6ywC98D"/>
      <w:bookmarkEnd w:id="66"/>
      <w:r>
        <w:rPr>
          <w:rFonts w:ascii="Times New Roman" w:hAnsi="Times New Roman"/>
          <w:color w:val="000000"/>
          <w:sz w:val="20"/>
          <w:shd w:fill="FFFFFF" w:val="clear"/>
        </w:rPr>
        <w:t>investor,” as defined in Regulation D, and is acquiring the PIPE Securities for investment only and not with a view towards, or for resale in connection with, the public sale or distribution thereof. The PIPE Securities have not been registered under the Securities Act and may not be offered or sold in the United States absent registration or an exemption from registration under the Securities Act and any applicable state securities 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Pursuant to the Merger Agreement, the </w:t>
      </w:r>
      <w:bookmarkStart w:id="67" w:name="z_9kMJ6L6ZWu5997CJSIz1qpE"/>
      <w:bookmarkEnd w:id="67"/>
      <w:r>
        <w:rPr>
          <w:rFonts w:ascii="Times New Roman" w:hAnsi="Times New Roman"/>
          <w:color w:val="000000"/>
          <w:sz w:val="20"/>
          <w:shd w:fill="FFFFFF" w:val="clear"/>
        </w:rPr>
        <w:t>Company issued shares of Common Stock and Series C Preferred Stock. The information contained in Item 1.01 of this Current Report on Form 8-K is incorporated by reference into this Item 3.02. Such issuances were exempt from registration pursuant to Section 4(a)(2) of the Securities Act and Regulation D promulgated thereunder.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Neither this Current Report on Form 8-K nor any of the exhibits attached hereto is an offer to sell or the solicitation of an offer to buy shares of Common Stock or any other securities of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5.02 –</w:t>
      </w:r>
      <w:r>
        <w:rPr>
          <w:rFonts w:ascii="Times New Roman" w:hAnsi="Times New Roman"/>
          <w:color w:val="000000"/>
          <w:sz w:val="20"/>
          <w:shd w:fill="FFFFFF" w:val="clear"/>
        </w:rPr>
        <w:t> </w:t>
      </w:r>
      <w:r>
        <w:rPr>
          <w:rFonts w:ascii="Times New Roman" w:hAnsi="Times New Roman"/>
          <w:b/>
          <w:color w:val="000000"/>
          <w:sz w:val="20"/>
          <w:shd w:fill="FFFFFF" w:val="clear"/>
        </w:rPr>
        <w:t>Departure of Directors or Certain Officers; Election of Directors; Appointment of Certain Officers; Compensatory Arrangements of Certain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Appointment of Director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212529"/>
          <w:sz w:val="20"/>
          <w:shd w:fill="FFFFFF" w:val="clear"/>
        </w:rPr>
        <w:t xml:space="preserve">In accordance with the Merger Agreement, on </w:t>
      </w:r>
      <w:r>
        <w:rPr>
          <w:rFonts w:ascii="Times New Roman" w:hAnsi="Times New Roman"/>
          <w:color w:val="000000"/>
          <w:sz w:val="20"/>
          <w:shd w:fill="FFFFFF" w:val="clear"/>
        </w:rPr>
        <w:t>September 17, 2026</w:t>
      </w:r>
      <w:r>
        <w:rPr>
          <w:rFonts w:ascii="Times New Roman" w:hAnsi="Times New Roman"/>
          <w:color w:val="212529"/>
          <w:sz w:val="20"/>
          <w:shd w:fill="FFFFFF" w:val="clear"/>
        </w:rPr>
        <w:t xml:space="preserve">, effective immediately after the First Effective Time, </w:t>
      </w:r>
      <w:r>
        <w:rPr>
          <w:rFonts w:ascii="Times New Roman" w:hAnsi="Times New Roman"/>
          <w:color w:val="000000"/>
          <w:sz w:val="20"/>
          <w:shd w:fill="FFFFFF" w:val="clear"/>
        </w:rPr>
        <w:t>Ted W. Love, M.D. was</w:t>
      </w:r>
      <w:r>
        <w:rPr>
          <w:rFonts w:ascii="Times New Roman" w:hAnsi="Times New Roman"/>
          <w:color w:val="212529"/>
          <w:sz w:val="20"/>
          <w:shd w:fill="FFFFFF" w:val="clear"/>
        </w:rPr>
        <w:t xml:space="preserve"> appointed to the Board as a director.</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Ted W. Love, M.D.</w:t>
      </w:r>
      <w:r>
        <w:rPr>
          <w:rFonts w:ascii="Times New Roman" w:hAnsi="Times New Roman"/>
          <w:color w:val="000000"/>
          <w:sz w:val="20"/>
          <w:shd w:fill="FFFFFF" w:val="clear"/>
        </w:rPr>
        <w:t xml:space="preserve"> (Age 67).  Prior to the Merger, Dr. Love served as the Chairman of the board of directors of Marea since May 2023. Since June 2025, Dr. Love has served as the Immediate Past Chairman of the board of directors of the Biotechnology Innovation Organization, a trade association representing biotechnology companies, academic institutions, state biotechnology centers and related organizations across the United States and in more than 30 other countries. From June 2014 to October 2022, Dr. Love was the President and Chief Executive Officer of Global Blood Therapeutics, Inc. (formerly Nasdaq: GBT, a publicly traded biopharmaceutical company acquired by Pfizer, Inc.), where he led the company from a pre-clinical startup through its growth to a global commercial company with a pipeline of innovative therapies focused on sickle cell disease. Previously, he was Executive Vice President, Research and Development and Technical Operations at Onyx Pharmaceuticals, Inc. He also served as President, Chief Executive Officer and Chairman of Nuvelo, Inc., and Senior Vice President, Development at Theravance Biopharma, Inc. (Nasdaq:TBPH). He began his biotech career at Genentech, Inc., where he held several senior management positions in clinical science and product development, and ultimately as chair of Genentech’s Product Development Committee. Prior to Genentech, Dr. Love served as a consultant in medicine in the Department of Cardiology at the Massachusetts General Hospital. Dr. Love has served on the boards of directors of Jazz Pharmaceutics plc (Nasdaq: JAZZ) since December 2025, Gilead Sciences, Inc. (Nasdaq: GILD) as Chairman since 2024, Royalty Pharma plc (Nasdaq: RPRX) as Lead Independent Director since July 2020, and Structure Therapeutics Inc. (Nasdaq: GPCR) since August 2023. He previously served on the boards of directors of Seagen Inc. from 2020 to 2023, Global Blood Therapeutics from 2013 to 2022, Portola Pharmaceuticals, Inc. from 2019 to 2020, and Amicus Therapeutics, Inc. (Nasdaq: FOLD) from 2012 to 2020. He received his B.A. in Molecular Biology from Haverford College and his M.D. from Yale School of Medicine.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believe that Dr. Love is qualified to serve on our board of directors based on his leadership as Marea’s Chairman of the board of directors and extensive experience as a leader in the biopharmaceutical industry, including as a board member of multiple publicly traded biotechnology and biopharmaceutical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Dr. Love has no family relationships with any of the executive officers or directors of the Company. Except as described in the Merger Agreement, there are no arrangements or understandings between Dr. Love and any other person pursuant to which he was appointed as a director of the Company. Except as described below, Dr. Love is not a party to any transaction required to be disclosed pursuant to Item 404(a) of Regulation 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Appointment of Executive Officer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212529"/>
          <w:sz w:val="20"/>
          <w:shd w:fill="FFFFFF" w:val="clear"/>
        </w:rPr>
        <w:t xml:space="preserve">In accordance with the Merger Agreement, on </w:t>
      </w:r>
      <w:r>
        <w:rPr>
          <w:rFonts w:ascii="Times New Roman" w:hAnsi="Times New Roman"/>
          <w:color w:val="000000"/>
          <w:sz w:val="20"/>
          <w:shd w:fill="FFFFFF" w:val="clear"/>
        </w:rPr>
        <w:t>September 17, 2026</w:t>
      </w:r>
      <w:r>
        <w:rPr>
          <w:rFonts w:ascii="Times New Roman" w:hAnsi="Times New Roman"/>
          <w:color w:val="212529"/>
          <w:sz w:val="20"/>
          <w:shd w:fill="FFFFFF" w:val="clear"/>
        </w:rPr>
        <w:t xml:space="preserve">, effective immediately after the First Effective Time, </w:t>
      </w:r>
      <w:r>
        <w:rPr>
          <w:rFonts w:ascii="Times New Roman" w:hAnsi="Times New Roman"/>
          <w:color w:val="000000"/>
          <w:sz w:val="20"/>
          <w:shd w:fill="FFFFFF" w:val="clear"/>
        </w:rPr>
        <w:t>Josh Lehrer, M.D., M.Phil., FACC was</w:t>
      </w:r>
      <w:r>
        <w:rPr>
          <w:rFonts w:ascii="Times New Roman" w:hAnsi="Times New Roman"/>
          <w:color w:val="212529"/>
          <w:sz w:val="20"/>
          <w:shd w:fill="FFFFFF" w:val="clear"/>
        </w:rPr>
        <w:t xml:space="preserve"> appointed as the President and Chief Operating Officer of the Company. Immediately prior to such appointment, David J. Mazzo, Ph.D. resigned solely from the office of President, but he retained his position as Chief Executive Officer of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Josh Lehrer, M.D., M.Phil., FACC.</w:t>
      </w:r>
      <w:r>
        <w:rPr>
          <w:rFonts w:ascii="Times New Roman" w:hAnsi="Times New Roman"/>
          <w:color w:val="000000"/>
          <w:sz w:val="20"/>
          <w:shd w:fill="FFFFFF" w:val="clear"/>
        </w:rPr>
        <w:t xml:space="preserve"> (Age 53) Prior to the Merger, Dr. Lehrer served as the Chief Executive Officer of Marea since October 2023. Previously, Dr. Lehrer served as president and chief executive officer and as a member of the board of directors of Graphite Bio, Inc. (subsequently merged with LENZ Therapeutics, Inc.), a publicly traded clinical-stage biotechnology company, from April 2020 until September 2023. From October 2013 to April 2020, Dr. Lehrer held various leadership roles at Global Blood Therapeutics, Inc., including Chief Medical Officer where he oversaw the development and approval of Oxbryta® (voxelotor) for the treatment of sickle cell disease. From September 2009 to October 2013, Dr. Lehrer served in leadership roles at Genentech, Inc. in clinical development and business development. Dr. Lehrer has also held attending physician roles at Stanford University Medical Center and the Palo Alto Veteran’s Affairs Health System. Dr. Lehrer has served on the board of directors of Fulcrum Therapeutics, Inc. (Nasdaq: FULC) since April 2026. He holds an A.B. in Biochemical Sciences from Harvard University and a Master of Philosophy in Biological Sciences from the University of Cambridge. Dr. Lehrer earned his Doctor of Medicine at the University of California, San Francisco (UCSF), School of Medicine and completed his residency at UCSF in Internal Medicine. Dr. Lehrer served as a Clinical and Postdoctoral Fellow in cardiovascular medicine at Stanford University and attended the Institute for Entrepreneurship at the Stanford Graduate School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Dr. Lehrer has no family relationships with any of the executive officers or directors of the Company. Except as described in the Merger Agreement, there are no arrangements or understandings between Dr. Lehrer and any other person pursuant to which he was appointed as Chief Operating Officer of the Company. Except as described below, Dr. Lehrer is not a party to any transaction required to be disclosed pursuant to Item 404(a) of Regulation 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212529"/>
          <w:sz w:val="20"/>
          <w:shd w:fill="FFFFFF" w:val="clear"/>
        </w:rPr>
      </w:pPr>
      <w:r>
        <w:rPr>
          <w:rFonts w:ascii="Times New Roman" w:hAnsi="Times New Roman"/>
          <w:color w:val="212529"/>
          <w:sz w:val="20"/>
          <w:shd w:fill="FFFFFF" w:val="clear"/>
        </w:rPr>
        <w:t>In connection with the Closing, the Board approved certain compensation-related matters effective as of the First Effective Time, for Josh Lehrer, as described below, and consistent with his previous compensation as Chief Executive Officer of Marea as described in the Offer Letter, dated October 11, 2023, by and between Dr. Lehrer and Marea (the “Lehrer-Marea Offer Letter”).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212529"/>
          <w:sz w:val="20"/>
          <w:shd w:fill="FFFFFF" w:val="clear"/>
        </w:rPr>
        <w:t>Effective as of the Closing, Dr. Lehrer’s will receive an annual base salary of $475,000, subject to applicable deductions and withholdings and periodic review and adjustment at the Board’s discretion. Dr. Lehrer is eligible to receive an annual cash performance bonus targeted at 40% of his base salary, with the actual bonus amount being discretionary and subject to his continued employment through the applicable payment date. In the event Dr. Lehrer’s employment is terminated without Cause (as defined in the Lehrer-Marea Offer Letter) or he resigns for Good Reason (as defined in the Lehrer-Marea Offer Letter) outside of a Change in Control Period (as defined in the Lehrer-Marea Offer Letter), he will be entitled to receive a severance amount equal to 12 months of his base salary</w:t>
      </w:r>
      <w:r>
        <w:rPr>
          <w:rFonts w:ascii="Times New Roman" w:hAnsi="Times New Roman"/>
          <w:color w:val="000000"/>
          <w:sz w:val="20"/>
          <w:shd w:fill="FFFFFF" w:val="clear"/>
        </w:rPr>
        <w:t xml:space="preserve"> in addition to </w:t>
      </w:r>
      <w:r>
        <w:rPr>
          <w:rFonts w:ascii="Times New Roman" w:hAnsi="Times New Roman"/>
          <w:color w:val="212529"/>
          <w:sz w:val="20"/>
          <w:shd w:fill="FFFFFF" w:val="clear"/>
        </w:rPr>
        <w:t>reimbursement of premiums for continued health coverage pursuant to the Consolidated Omnibus Budget Reconciliation Act of 1985, as amended (“COBRA”), for up to 12 months following termination, in each case subject to his execution of a separation agreement and release. In the event Dr. Lehrer’s employment is terminated without Cause or he resigns for Good Reason within a Change in Control Period, he will be entitled to receive the severance pay and benefits described above plus his annual target bonus for the 12 months following such termination, and all of his time-based equity awards will immediately accelerate and become fully vested.</w:t>
      </w:r>
    </w:p>
    <w:p>
      <w:pPr>
        <w:pStyle w:val="TextBody"/>
        <w:bidi w:val="0"/>
        <w:spacing w:before="0" w:after="0"/>
        <w:jc w:val="both"/>
        <w:rPr>
          <w:rFonts w:ascii="Times New Roman" w:hAnsi="Times New Roman"/>
          <w:color w:val="212529"/>
          <w:sz w:val="20"/>
        </w:rPr>
      </w:pPr>
      <w:r>
        <w:rPr>
          <w:rFonts w:ascii="Times New Roman" w:hAnsi="Times New Roman"/>
          <w:color w:val="212529"/>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212529"/>
          <w:sz w:val="20"/>
          <w:shd w:fill="FFFFFF" w:val="clear"/>
        </w:rPr>
      </w:pPr>
      <w:r>
        <w:rPr>
          <w:rFonts w:ascii="Times New Roman" w:hAnsi="Times New Roman"/>
          <w:color w:val="212529"/>
          <w:sz w:val="20"/>
          <w:shd w:fill="FFFFFF" w:val="clear"/>
        </w:rPr>
        <w:t>The foregoing description of the Lehrer-Marea Offer Letter is not complete and is qualified in its entirety by the full text of the Lehrer-Marea Offer Letter, a copy of which the Company intends to file with the SEC as an exhibit to the Company’s Quarterly Report on Form 10-Q for the quarter ending September 30,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212529"/>
          <w:sz w:val="20"/>
          <w:shd w:fill="FFFFFF" w:val="clear"/>
        </w:rPr>
      </w:pPr>
      <w:r>
        <w:rPr>
          <w:rFonts w:ascii="Times New Roman" w:hAnsi="Times New Roman"/>
          <w:color w:val="212529"/>
          <w:sz w:val="20"/>
          <w:shd w:fill="FFFFFF" w:val="clear"/>
        </w:rPr>
        <w:t xml:space="preserve">Effective as of the Closing, Dr. Lehrer is also entitled to receive other customary benefits provided to the Company’s other executive officers pursuant to 2018 Equity Incentive Compensation Plan, as amended (the “Equity Incentive Plan”), which is filed as Exhibit 10.2 to the </w:t>
      </w:r>
      <w:bookmarkStart w:id="68" w:name="z_9kR3WTr26646EQFwynmBHUK4C0skY3EHNLGieN"/>
      <w:bookmarkEnd w:id="68"/>
      <w:r>
        <w:rPr>
          <w:rFonts w:ascii="Times New Roman" w:hAnsi="Times New Roman"/>
          <w:color w:val="212529"/>
          <w:sz w:val="20"/>
          <w:shd w:fill="FFFFFF" w:val="clear"/>
        </w:rPr>
        <w:t>Company’s Annual Report on Form 10-K for the fiscal year ended December 31,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Indemnification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Each of Dr. Love and Dr. Lehrer will enter into the Company’s standard form of indemnification agreement, a copy of which was filed as Exhibit 10.2 to the Company’s Current Report on Form 8-K, filed with the SEC on September 15,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Item 5.03 – </w:t>
      </w:r>
      <w:r>
        <w:rPr>
          <w:rFonts w:ascii="Times New Roman" w:hAnsi="Times New Roman"/>
          <w:b/>
          <w:color w:val="212529"/>
          <w:sz w:val="20"/>
          <w:shd w:fill="FFFFFF" w:val="clear"/>
        </w:rPr>
        <w:t>Amendments to Articles of Incorporation or Bylaws; Change in Fiscal Year</w:t>
      </w:r>
      <w:r>
        <w:rPr>
          <w:rFonts w:ascii="Times New Roman" w:hAnsi="Times New Roman"/>
          <w:b/>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 xml:space="preserve">On September 17, 2026, the </w:t>
      </w:r>
      <w:bookmarkStart w:id="69" w:name="z_9kMK8M6ZWu5997CJSIz1qpE"/>
      <w:bookmarkEnd w:id="69"/>
      <w:r>
        <w:rPr>
          <w:rFonts w:ascii="Times New Roman" w:hAnsi="Times New Roman"/>
          <w:color w:val="212529"/>
          <w:sz w:val="20"/>
          <w:shd w:fill="FFFFFF" w:val="clear"/>
        </w:rPr>
        <w:t xml:space="preserve">Company filed with the Secretary of State of the State of Delaware a </w:t>
      </w:r>
      <w:bookmarkStart w:id="70" w:name="z_9kMHG5YVt48869HS7t91opngy3z1RL7C1729IE"/>
      <w:bookmarkEnd w:id="70"/>
      <w:r>
        <w:rPr>
          <w:rFonts w:ascii="Times New Roman" w:hAnsi="Times New Roman"/>
          <w:color w:val="212529"/>
          <w:sz w:val="20"/>
          <w:shd w:fill="FFFFFF" w:val="clear"/>
        </w:rPr>
        <w:t xml:space="preserve">Certificate of Designation of </w:t>
      </w:r>
      <w:bookmarkStart w:id="71" w:name="z_9kR3WTr26647AYVrghuvsrj0"/>
      <w:bookmarkStart w:id="72" w:name="z_9kR3WTr266479XVrghuvsrj0"/>
      <w:bookmarkEnd w:id="71"/>
      <w:bookmarkEnd w:id="72"/>
      <w:r>
        <w:rPr>
          <w:rFonts w:ascii="Times New Roman" w:hAnsi="Times New Roman"/>
          <w:color w:val="212529"/>
          <w:sz w:val="20"/>
          <w:shd w:fill="FFFFFF" w:val="clear"/>
        </w:rPr>
        <w:t xml:space="preserve">Preferences, </w:t>
      </w:r>
      <w:bookmarkStart w:id="73" w:name="z_9kR3WTr26646AbOkkyAsosRRz0812B7DI"/>
      <w:bookmarkEnd w:id="73"/>
      <w:r>
        <w:rPr>
          <w:rFonts w:ascii="Times New Roman" w:hAnsi="Times New Roman"/>
          <w:color w:val="212529"/>
          <w:sz w:val="20"/>
          <w:shd w:fill="FFFFFF" w:val="clear"/>
        </w:rPr>
        <w:t>Rights and Limitations of the Series C Preferred Stock (the “</w:t>
      </w:r>
      <w:bookmarkStart w:id="74" w:name="z_9kMIH5YVt48869HS7t91opngy3z1RL7C1729IE"/>
      <w:bookmarkEnd w:id="74"/>
      <w:r>
        <w:rPr>
          <w:rFonts w:ascii="Times New Roman" w:hAnsi="Times New Roman"/>
          <w:color w:val="212529"/>
          <w:sz w:val="20"/>
          <w:shd w:fill="FFFFFF" w:val="clear"/>
        </w:rPr>
        <w:t xml:space="preserve">Certificate of </w:t>
      </w:r>
      <w:bookmarkStart w:id="75" w:name="z_9kMJI5YVt48869HS7t91opngy3z1RL7C1729IE"/>
      <w:bookmarkEnd w:id="75"/>
      <w:r>
        <w:rPr>
          <w:rFonts w:ascii="Times New Roman" w:hAnsi="Times New Roman"/>
          <w:color w:val="212529"/>
          <w:sz w:val="20"/>
          <w:shd w:fill="FFFFFF" w:val="clear"/>
        </w:rPr>
        <w:t xml:space="preserve">Designation”) in connection with the </w:t>
      </w:r>
      <w:bookmarkStart w:id="76" w:name="z_9kMH0H6ZWu59978HeIuxlx"/>
      <w:bookmarkEnd w:id="76"/>
      <w:r>
        <w:rPr>
          <w:rFonts w:ascii="Times New Roman" w:hAnsi="Times New Roman"/>
          <w:color w:val="212529"/>
          <w:sz w:val="20"/>
          <w:shd w:fill="FFFFFF" w:val="clear"/>
        </w:rPr>
        <w:t xml:space="preserve">Merger and the Financing referenced in Item 1.01 above. The </w:t>
      </w:r>
      <w:bookmarkStart w:id="77" w:name="z_9kMKJ5YVt48869HS7t91opngy3z1RL7C1729IE"/>
      <w:bookmarkEnd w:id="77"/>
      <w:r>
        <w:rPr>
          <w:rFonts w:ascii="Times New Roman" w:hAnsi="Times New Roman"/>
          <w:color w:val="212529"/>
          <w:sz w:val="20"/>
          <w:shd w:fill="FFFFFF" w:val="clear"/>
        </w:rPr>
        <w:t>Certificate of Designation provides for the issuance of shares of the Company’s Series C Preferred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 xml:space="preserve">Holders of Series C Preferred Stock are entitled to receive dividends on shares of Series C Preferred Stock, equal to, on an </w:t>
      </w:r>
      <w:bookmarkStart w:id="78" w:name="z_9kR3WTr26647Bknwkfp191yE2n3FZUBADFuvO8"/>
      <w:bookmarkEnd w:id="78"/>
      <w:r>
        <w:rPr>
          <w:rFonts w:ascii="Times New Roman" w:hAnsi="Times New Roman"/>
          <w:color w:val="212529"/>
          <w:sz w:val="20"/>
          <w:shd w:fill="FFFFFF" w:val="clear"/>
        </w:rPr>
        <w:t xml:space="preserve">as-if-converted-to-Common-Stock basis, and in the same form as dividends actually paid on shares of the Common Stock. Except as otherwise required by law, the Series C Preferred Stock does not have voting rights. However, as long as any shares of Series C Preferred Stock are outstanding, the </w:t>
      </w:r>
      <w:bookmarkStart w:id="79" w:name="z_9kMK9N6ZWu5997CJSIz1qpE"/>
      <w:bookmarkEnd w:id="79"/>
      <w:r>
        <w:rPr>
          <w:rFonts w:ascii="Times New Roman" w:hAnsi="Times New Roman"/>
          <w:color w:val="212529"/>
          <w:sz w:val="20"/>
          <w:shd w:fill="FFFFFF" w:val="clear"/>
        </w:rPr>
        <w:t xml:space="preserve">Company will not, without the affirmative vote of the holders of a majority of the then outstanding shares of Series C Preferred Stock, (a) alter or change adversely the powers, preferences or rights given to the Series C Preferred Stock, (b) alter or amend the </w:t>
      </w:r>
      <w:bookmarkStart w:id="80" w:name="z_9kMLK5YVt48869HS7t91opngy3z1RL7C1729IE"/>
      <w:bookmarkEnd w:id="80"/>
      <w:r>
        <w:rPr>
          <w:rFonts w:ascii="Times New Roman" w:hAnsi="Times New Roman"/>
          <w:color w:val="212529"/>
          <w:sz w:val="20"/>
          <w:shd w:fill="FFFFFF" w:val="clear"/>
        </w:rPr>
        <w:t xml:space="preserve">Certificate of Designation, (c) amend its certificate of incorporation or other charter documents in any manner that adversely affects any rights of the holders of Series C Preferred Stock, (d) issue additional shares of Series C Preferred Stock or increase or decrease (other than by conversion) the number of authorized shares of Series C Preferred Stock, (e) prior to the automatic conversion of the Series C Preferred Stock, consummate a Fundamental Transaction (as defined in the Certificate of Designation) or a Change of Control Transaction (as defined in the Certificate of Designation), (f) prior to the automatic conversion of the Series C Preferred Stock, authorize or issue any class or series of stock that is senior to the Series C Preferred Stock, (g) amend, waive or modify the Merger Agreement in a manner that would be reasonably likely to prevent, impede or materially delay the obtainment of stockholder approval of the Conversion Proposal or the automatic conversion of the Series C Preferred Stock or (h) enter into any agreement with respect to any of the foregoing. The Series C Preferred Stock ranks senior to the Common Stock upon any liquidation, dissolution or winding-up of the </w:t>
      </w:r>
      <w:bookmarkStart w:id="81" w:name="z_9kML6J6ZWu5997CJSIz1qpE"/>
      <w:bookmarkEnd w:id="81"/>
      <w:r>
        <w:rPr>
          <w:rFonts w:ascii="Times New Roman" w:hAnsi="Times New Roman"/>
          <w:color w:val="212529"/>
          <w:sz w:val="20"/>
          <w:shd w:fill="FFFFFF" w:val="clear"/>
        </w:rPr>
        <w:t>Company solely to the extent of a nominal liquidation amount of $0.01 per share, and on parity with the Common Stock in all other respects.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Following stockholder approval of the Conversion Proposal, each share of Series C Preferred Stock will automatically convert into 1,000 shares of Common Stock, subject to certain limitations, including that a holder of Series C Preferred Stock is prohibited from converting shares of Series C Preferred Stock into shares of Common Stock if, as a result of such conversion, such holder, together with its affiliates, would beneficially own more than a specified percentage (to be established by the holder between 4.99% and 19.99%, with a default of 9.99%) of the total number of shares of Common Stock issued and outstanding immediately after giving effect to such conversion.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If at any time after the earlier of (i) the Stockholder Approval or (ii) six months after the initial issuance of the Series C Preferred Stock, the Company fails to deliver to the holder of the Series C Preferred Stock shares of Common Stock underlying such shares of Series C Preferred Stock, then (other than in certain circumstances set forth in the Certificate of Designation), the Company will pay, at the request of such holder, an amount of cash by wire transfer of immediately available funds equal to the Fair Value (as defined in the Certificate of Designation) of such undelivered shares, provided that the Company has funds legally available for such payment.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 xml:space="preserve">The foregoing description of the Series C Preferred Stock does not purport to be complete and is qualified in its entirety by reference to the </w:t>
      </w:r>
      <w:bookmarkStart w:id="82" w:name="z_9kMML5YVt48869HS7t91opngy3z1RL7C1729IE"/>
      <w:bookmarkEnd w:id="82"/>
      <w:r>
        <w:rPr>
          <w:rFonts w:ascii="Times New Roman" w:hAnsi="Times New Roman"/>
          <w:color w:val="212529"/>
          <w:sz w:val="20"/>
          <w:shd w:fill="FFFFFF" w:val="clear"/>
        </w:rPr>
        <w:t>Certificate of Designation, a copy of which is filed as Exhibit 3.1 to this Current Report on Form 8-K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7.01 – Regulation FD Disclosure.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212529"/>
          <w:sz w:val="20"/>
          <w:shd w:fill="FFFFFF" w:val="clear"/>
        </w:rPr>
        <w:t xml:space="preserve">On </w:t>
      </w:r>
      <w:r>
        <w:rPr>
          <w:rFonts w:ascii="Times New Roman" w:hAnsi="Times New Roman"/>
          <w:color w:val="000000"/>
          <w:sz w:val="20"/>
          <w:shd w:fill="FFFFFF" w:val="clear"/>
        </w:rPr>
        <w:t>September 17, 2026</w:t>
      </w:r>
      <w:r>
        <w:rPr>
          <w:rFonts w:ascii="Times New Roman" w:hAnsi="Times New Roman"/>
          <w:color w:val="212529"/>
          <w:sz w:val="20"/>
          <w:shd w:fill="FFFFFF" w:val="clear"/>
        </w:rPr>
        <w:t xml:space="preserve">, the </w:t>
      </w:r>
      <w:bookmarkStart w:id="83" w:name="z_9kML7K6ZWu5997CJSIz1qpE"/>
      <w:bookmarkEnd w:id="83"/>
      <w:r>
        <w:rPr>
          <w:rFonts w:ascii="Times New Roman" w:hAnsi="Times New Roman"/>
          <w:color w:val="212529"/>
          <w:sz w:val="20"/>
          <w:shd w:fill="FFFFFF" w:val="clear"/>
        </w:rPr>
        <w:t xml:space="preserve">Company issued a press release related to the Merger and the Financing, and made available a presentation used with </w:t>
      </w:r>
      <w:bookmarkStart w:id="84" w:name="z_9kMKJ5YVt46668IaM6ywC98D"/>
      <w:bookmarkEnd w:id="84"/>
      <w:r>
        <w:rPr>
          <w:rFonts w:ascii="Times New Roman" w:hAnsi="Times New Roman"/>
          <w:color w:val="212529"/>
          <w:sz w:val="20"/>
          <w:shd w:fill="FFFFFF" w:val="clear"/>
        </w:rPr>
        <w:t xml:space="preserve">Investors to discuss the </w:t>
      </w:r>
      <w:bookmarkStart w:id="85" w:name="z_9kMH1I6ZWu59978HeIuxlx"/>
      <w:bookmarkEnd w:id="85"/>
      <w:r>
        <w:rPr>
          <w:rFonts w:ascii="Times New Roman" w:hAnsi="Times New Roman"/>
          <w:color w:val="212529"/>
          <w:sz w:val="20"/>
          <w:shd w:fill="FFFFFF" w:val="clear"/>
        </w:rPr>
        <w:t>Merger and the Financing. Copies of the press release and presentation are furnished as Exhibit 99.1 and Exhibit 99.2, respectively, to this Current Report on Form 8-K.</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 xml:space="preserve">The information in Item 7.01 of this Current Report on Form 8-K, including the information in the press release attached as Exhibit 99.1 and the presentation attached as Exhibit 99.2 to this Current Report on Form 8-K, is furnished pursuant to Item 7.01 of </w:t>
      </w:r>
      <w:bookmarkStart w:id="86" w:name="z_9kMHG5YVt48867DTK32Kg"/>
      <w:bookmarkEnd w:id="86"/>
      <w:r>
        <w:rPr>
          <w:rFonts w:ascii="Times New Roman" w:hAnsi="Times New Roman"/>
          <w:color w:val="212529"/>
          <w:sz w:val="20"/>
          <w:shd w:fill="FFFFFF" w:val="clear"/>
        </w:rPr>
        <w:t xml:space="preserve">Form 8-K and shall not be deemed “filed” for the purposes of Section 18 of the Securities Exchange Act of 1934, as amended, or otherwise subject to the liabilities of that section. Furthermore, the information in Item 7.01 of this Current Report on Form 8-K, including Exhibit 99.1 and Exhibit 99.2 to this Current Report on Form 8-K, shall not be deemed to be incorporated by reference in the filings of the </w:t>
      </w:r>
      <w:bookmarkStart w:id="87" w:name="z_9kML8L6ZWu5997CJSIz1qpE"/>
      <w:bookmarkEnd w:id="87"/>
      <w:r>
        <w:rPr>
          <w:rFonts w:ascii="Times New Roman" w:hAnsi="Times New Roman"/>
          <w:color w:val="212529"/>
          <w:sz w:val="20"/>
          <w:shd w:fill="FFFFFF" w:val="clear"/>
        </w:rPr>
        <w:t>Company under the Securities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Forward Looking Statements</w:t>
      </w:r>
    </w:p>
    <w:p>
      <w:pPr>
        <w:pStyle w:val="TextBody"/>
        <w:bidi w:val="0"/>
        <w:spacing w:before="0" w:after="0"/>
        <w:jc w:val="left"/>
        <w:rPr>
          <w:color w:val="000000"/>
          <w:shd w:fill="FFFFFF" w:val="clear"/>
        </w:rPr>
      </w:pPr>
      <w:r>
        <w:rPr>
          <w:color w:val="000000"/>
          <w:shd w:fill="FFFFFF" w:val="clear"/>
        </w:rPr>
        <w:t> </w:t>
      </w:r>
    </w:p>
    <w:p>
      <w:pPr>
        <w:pStyle w:val="TextBody"/>
        <w:bidi w:val="0"/>
        <w:jc w:val="left"/>
        <w:rPr>
          <w:rFonts w:ascii="Times New Roman" w:hAnsi="Times New Roman"/>
          <w:color w:val="212529"/>
          <w:sz w:val="20"/>
          <w:shd w:fill="FFFFFF" w:val="clear"/>
        </w:rPr>
      </w:pPr>
      <w:bookmarkStart w:id="88" w:name="z_9kMM5H6ZWu5997CJSIz1qpE"/>
      <w:bookmarkStart w:id="89" w:name="z_9kMM4G6ZWu5997CJSIz1qpE"/>
      <w:bookmarkStart w:id="90" w:name="z_9kMLCP6ZWu5997CJSIz1qpE"/>
      <w:bookmarkStart w:id="91" w:name="z_9kR3WTr26647DcZqo8wv3BsTy9CIKGCeaJITVv"/>
      <w:bookmarkStart w:id="92" w:name="z_9kR3WTr26647CLCw4skcQv69FD8aWFEPRl"/>
      <w:bookmarkStart w:id="93" w:name="z_9kMLBO6ZWu5997CJSIz1qpE"/>
      <w:bookmarkStart w:id="94" w:name="z_9kR3WTr26648BaOwzN8cw98D"/>
      <w:bookmarkStart w:id="95" w:name="z_9kMLAN6ZWu5997CJSIz1qpE"/>
      <w:bookmarkStart w:id="96" w:name="z_9kML9M6ZWu5997CJSIz1qpE"/>
      <w:bookmarkStart w:id="97" w:name="z_9kMIH5YVt4666AHREx50wv"/>
      <w:bookmarkEnd w:id="88"/>
      <w:bookmarkEnd w:id="89"/>
      <w:bookmarkEnd w:id="90"/>
      <w:bookmarkEnd w:id="91"/>
      <w:bookmarkEnd w:id="92"/>
      <w:bookmarkEnd w:id="93"/>
      <w:bookmarkEnd w:id="94"/>
      <w:bookmarkEnd w:id="95"/>
      <w:bookmarkEnd w:id="96"/>
      <w:bookmarkEnd w:id="97"/>
      <w:r>
        <w:rPr>
          <w:rFonts w:ascii="Times New Roman" w:hAnsi="Times New Roman"/>
          <w:color w:val="212529"/>
          <w:sz w:val="20"/>
          <w:shd w:fill="FFFFFF" w:val="clear"/>
        </w:rPr>
        <w:t>This Current Report on Form 8-K contains forward-looking statements within the meaning of the Private Securities Litigation Reform Act of 1995, including, but not limited to, statements regarding: stockholder approval of the Parent Stockholder Matters and the subsequent automatic conversion of the Series C Preferred Stock following stockholder approval of the Conversion Proposal, the filing of one or more resale registration statement(s) pursuant to the Marea Stockholders Registration Rights Agreement and the Registration Rights Agreement and the timing thereof, and the closing of the Financing, if at all. The use of words such as, but not limited to, “anticipate,” “believe,” “continue,” “could,”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the Company’s current beliefs, expectations and assumptions regarding the future of its business, future plans and strategies, its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our forward-looking statements, and you should not place undue reliance on forward-looking statements. Such forward-looking statements are subject to a number of material risks and uncertainties including but not limited to those set forth under the caption “Risk Factors” in the Company’s most recent Annual Report on Form 10-K filed with the SEC, as supplemented by its Quarterly Reports on Form 10-Q, as well as discussions of potential risks, uncertainties, and other important factors in the Company’s subsequent filings with the SEC. Any forward-looking statement speaks only as of the date on which it was made. Neither the Company, nor its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the Company’s views as of any date subsequent to the date hereof.</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9.01 – Financial Statements and Exhibits.</w:t>
      </w:r>
    </w:p>
    <w:p>
      <w:pPr>
        <w:pStyle w:val="TextBody"/>
        <w:bidi w:val="0"/>
        <w:spacing w:before="0" w:after="0"/>
        <w:jc w:val="left"/>
        <w:rPr>
          <w:rFonts w:ascii="Times New Roman" w:hAnsi="Times New Roman"/>
          <w:sz w:val="20"/>
        </w:rPr>
      </w:pPr>
      <w:r>
        <w:rPr>
          <w:rFonts w:ascii="Times New Roman" w:hAnsi="Times New Roman"/>
          <w:sz w:val="20"/>
        </w:rPr>
      </w:r>
    </w:p>
    <w:tbl>
      <w:tblPr>
        <w:tblW w:w="3745" w:type="dxa"/>
        <w:jc w:val="left"/>
        <w:tblInd w:w="0" w:type="dxa"/>
        <w:tblLayout w:type="fixed"/>
        <w:tblCellMar>
          <w:top w:w="0" w:type="dxa"/>
          <w:left w:w="0" w:type="dxa"/>
          <w:bottom w:w="0" w:type="dxa"/>
          <w:right w:w="0" w:type="dxa"/>
        </w:tblCellMar>
      </w:tblPr>
      <w:tblGrid>
        <w:gridCol w:w="245"/>
        <w:gridCol w:w="3500"/>
      </w:tblGrid>
      <w:tr>
        <w:trPr/>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35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Financial Statements of Business Acquired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financial statements required by this Item 9.01(a) are not included in this Current Report on Form 8-K. The Company intends to include such financial statements by amendment to this Current Report on Form 8-K no later than 71 calendar days after the date this Current Report on Form 8-K is required to be filed.</w:t>
      </w:r>
    </w:p>
    <w:p>
      <w:pPr>
        <w:pStyle w:val="TextBody"/>
        <w:bidi w:val="0"/>
        <w:spacing w:before="0" w:after="0"/>
        <w:jc w:val="left"/>
        <w:rPr>
          <w:rFonts w:ascii="Times New Roman" w:hAnsi="Times New Roman"/>
          <w:sz w:val="20"/>
        </w:rPr>
      </w:pPr>
      <w:r>
        <w:rPr>
          <w:rFonts w:ascii="Times New Roman" w:hAnsi="Times New Roman"/>
          <w:sz w:val="20"/>
        </w:rPr>
      </w:r>
    </w:p>
    <w:tbl>
      <w:tblPr>
        <w:tblW w:w="2935" w:type="dxa"/>
        <w:jc w:val="left"/>
        <w:tblInd w:w="0" w:type="dxa"/>
        <w:tblLayout w:type="fixed"/>
        <w:tblCellMar>
          <w:top w:w="0" w:type="dxa"/>
          <w:left w:w="0" w:type="dxa"/>
          <w:bottom w:w="0" w:type="dxa"/>
          <w:right w:w="0" w:type="dxa"/>
        </w:tblCellMar>
      </w:tblPr>
      <w:tblGrid>
        <w:gridCol w:w="260"/>
        <w:gridCol w:w="267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2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 Forma Financial Information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pro forma financial information required by this Item 9.01(b) is not included in this Current Report on Form 8-K. The Company intends to include such pro forma financial information by amendment to this Current Report on Form 8-K no later than 71 calendar days after the date this Current Report on Form 8-K is required to be filed.</w:t>
      </w:r>
    </w:p>
    <w:p>
      <w:pPr>
        <w:pStyle w:val="TextBody"/>
        <w:bidi w:val="0"/>
        <w:spacing w:before="0" w:after="0"/>
        <w:jc w:val="left"/>
        <w:rPr>
          <w:rFonts w:ascii="Times New Roman" w:hAnsi="Times New Roman"/>
          <w:sz w:val="20"/>
        </w:rPr>
      </w:pPr>
      <w:r>
        <w:rPr>
          <w:rFonts w:ascii="Times New Roman" w:hAnsi="Times New Roman"/>
          <w:sz w:val="20"/>
        </w:rPr>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_9kR3WTr26648HXKuqtqb3y9"/>
      <w:bookmarkStart w:id="99" w:name="z_9kR3WTr26648IfEchKO6yxug07A7QH45SV85"/>
      <w:bookmarkStart w:id="100" w:name="z_9kMHG5YVt48869GhNevB034q1nkJ2ts49SPDC0"/>
      <w:bookmarkStart w:id="101" w:name="z_9kR3WTr26648EbPhkzsRLx0o0"/>
      <w:bookmarkStart w:id="102" w:name="z_9kR3WTr26648HXKuqtqb3y9"/>
      <w:bookmarkStart w:id="103" w:name="z_9kR3WTr26648IfEchKO6yxug07A7QH45SV85"/>
      <w:bookmarkStart w:id="104" w:name="z_9kMHG5YVt48869GhNevB034q1nkJ2ts49SPDC0"/>
      <w:bookmarkStart w:id="105" w:name="z_9kR3WTr26648EbPhkzsRLx0o0"/>
      <w:bookmarkEnd w:id="102"/>
      <w:bookmarkEnd w:id="103"/>
      <w:bookmarkEnd w:id="104"/>
      <w:bookmarkEnd w:id="105"/>
    </w:p>
    <w:tbl>
      <w:tblPr>
        <w:tblW w:w="10205" w:type="dxa"/>
        <w:jc w:val="left"/>
        <w:tblInd w:w="0" w:type="dxa"/>
        <w:tblLayout w:type="fixed"/>
        <w:tblCellMar>
          <w:top w:w="0" w:type="dxa"/>
          <w:left w:w="0" w:type="dxa"/>
          <w:bottom w:w="28" w:type="dxa"/>
          <w:right w:w="0" w:type="dxa"/>
        </w:tblCellMar>
      </w:tblPr>
      <w:tblGrid>
        <w:gridCol w:w="680"/>
        <w:gridCol w:w="60"/>
        <w:gridCol w:w="9465"/>
      </w:tblGrid>
      <w:tr>
        <w:trPr/>
        <w:tc>
          <w:tcPr>
            <w:tcW w:w="68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Number</w:t>
            </w:r>
          </w:p>
        </w:tc>
        <w:tc>
          <w:tcPr>
            <w:tcW w:w="60" w:type="dxa"/>
            <w:tcBorders/>
            <w:tcMar>
              <w:bottom w:w="0" w:type="dxa"/>
            </w:tcMar>
            <w:vAlign w:val="center"/>
          </w:tcPr>
          <w:p>
            <w:pPr>
              <w:pStyle w:val="TableContents"/>
              <w:bidi w:val="0"/>
              <w:spacing w:before="0" w:after="283"/>
              <w:jc w:val="left"/>
              <w:rPr/>
            </w:pPr>
            <w:r>
              <w:rPr/>
              <w:t> </w:t>
            </w:r>
          </w:p>
        </w:tc>
        <w:tc>
          <w:tcPr>
            <w:tcW w:w="9465"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Description</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2-1.htm">
              <w:r>
                <w:rPr>
                  <w:rStyle w:val="InternetLink"/>
                  <w:rFonts w:ascii="Times New Roman" w:hAnsi="Times New Roman"/>
                  <w:color w:val="000000"/>
                  <w:sz w:val="20"/>
                </w:rPr>
                <w:t>2.1</w:t>
              </w:r>
            </w:hyperlink>
            <w:hyperlink w:anchor="ef20082158_ex2-1.htm">
              <w:r>
                <w:rPr>
                  <w:rStyle w:val="InternetLink"/>
                  <w:rFonts w:ascii="Times New Roman" w:hAnsi="Times New Roman"/>
                  <w:color w:val="000000"/>
                  <w:position w:val="7"/>
                  <w:sz w:val="16"/>
                  <w:sz w:val="20"/>
                </w:rPr>
                <w:t>(1)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September 17, 2026, by and among Lisata Therapeutics, Inc., Mariner Merger Sub I, Inc., Mariner Merger Sub II, LLC and Marea Therapeutics, Inc.</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3-1.htm">
              <w:r>
                <w:rPr>
                  <w:rStyle w:val="InternetLink"/>
                  <w:rFonts w:ascii="Times New Roman" w:hAnsi="Times New Roman"/>
                  <w:color w:val="000000"/>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Certificate of Designation of Series C Non-Voting Convertible Preferred Stock</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10-1.htm">
              <w:r>
                <w:rPr>
                  <w:rStyle w:val="InternetLink"/>
                  <w:rFonts w:ascii="Times New Roman" w:hAnsi="Times New Roman"/>
                  <w:color w:val="000000"/>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Marea Stockholders Registration Rights Agreement, by and among Lisata Therapeutics, Inc. and certain Marea stockholders</w:t>
            </w:r>
          </w:p>
          <w:p>
            <w:pPr>
              <w:pStyle w:val="TableContents"/>
              <w:bidi w:val="0"/>
              <w:spacing w:before="0" w:after="0"/>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10-2.htm">
              <w:r>
                <w:rPr>
                  <w:rStyle w:val="InternetLink"/>
                  <w:rFonts w:ascii="Times New Roman" w:hAnsi="Times New Roman"/>
                  <w:color w:val="000000"/>
                  <w:sz w:val="20"/>
                </w:rPr>
                <w:t>10.2</w:t>
              </w:r>
            </w:hyperlink>
            <w:hyperlink w:anchor="ef20082158_ex10-2.htm">
              <w:r>
                <w:rPr>
                  <w:rStyle w:val="InternetLink"/>
                  <w:rFonts w:ascii="Times New Roman" w:hAnsi="Times New Roman"/>
                  <w:color w:val="000000"/>
                  <w:position w:val="7"/>
                  <w:sz w:val="16"/>
                  <w:sz w:val="20"/>
                </w:rPr>
                <w:t>(1)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Securities Purchase Agreement, dated as of September 17, 2026, by and among Lisata Therapeutics, Inc. and each investor listed on Exhibit A thereto</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10-3.htm">
              <w:r>
                <w:rPr>
                  <w:rStyle w:val="InternetLink"/>
                  <w:rFonts w:ascii="Times New Roman" w:hAnsi="Times New Roman"/>
                  <w:color w:val="000000"/>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Registration Rights Agreement, by and among Lisata Therapeutics, Inc. and certain investors signatory thereto</w:t>
            </w:r>
          </w:p>
          <w:p>
            <w:pPr>
              <w:pStyle w:val="TableContents"/>
              <w:bidi w:val="0"/>
              <w:spacing w:before="0" w:after="0"/>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issued on September 17, 2026</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center"/>
              <w:rPr/>
            </w:pPr>
            <w:hyperlink w:anchor="ef20082158_ex99-2.htm">
              <w:r>
                <w:rPr>
                  <w:rStyle w:val="InternetLink"/>
                  <w:rFonts w:ascii="Times New Roman" w:hAnsi="Times New Roman"/>
                  <w:color w:val="000000"/>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Presentation made available to the Investors by Lisata Therapeutics, Inc. and Marea Therapeutics, Inc. on September 17, 2026</w:t>
            </w:r>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(1) 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spacing w:before="0" w:after="0"/>
        <w:jc w:val="left"/>
        <w:rPr>
          <w:color w:val="212529"/>
        </w:rPr>
      </w:pPr>
      <w:r>
        <w:rPr>
          <w:color w:val="212529"/>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6" w:name="z_9kMHG5YVt48867AO4rw"/>
      <w:bookmarkStart w:id="107" w:name="z_9kMHG5YVt48867AO4rw"/>
      <w:bookmarkEnd w:id="107"/>
    </w:p>
    <w:tbl>
      <w:tblPr>
        <w:tblW w:w="4485" w:type="dxa"/>
        <w:jc w:val="left"/>
        <w:tblInd w:w="0" w:type="dxa"/>
        <w:tblLayout w:type="fixed"/>
        <w:tblCellMar>
          <w:top w:w="0" w:type="dxa"/>
          <w:left w:w="0" w:type="dxa"/>
          <w:bottom w:w="0" w:type="dxa"/>
          <w:right w:w="0" w:type="dxa"/>
        </w:tblCellMar>
      </w:tblPr>
      <w:tblGrid>
        <w:gridCol w:w="2120"/>
        <w:gridCol w:w="320"/>
        <w:gridCol w:w="2045"/>
      </w:tblGrid>
      <w:tr>
        <w:trPr/>
        <w:tc>
          <w:tcPr>
            <w:tcW w:w="2120"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Lisata Therapeutics, Inc.</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September 17,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04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David J. Mazzo, Ph.D.</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David J. Mazzo, Ph.D.</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108" w:name="ef20082158_ex2-1.htm"/>
      <w:bookmarkStart w:id="109" w:name="ksef20082158_ex21"/>
      <w:bookmarkStart w:id="110" w:name="ef20082158_ex2-1.htm"/>
      <w:bookmarkStart w:id="111" w:name="ksef20082158_ex21"/>
      <w:bookmarkEnd w:id="110"/>
      <w:bookmarkEnd w:id="1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and among:</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MARINER MERGER SUB I,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MARINER MERGER SUB II, LLC,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limited liability company;</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MAREA THERAPEUTICS,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September 17,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center"/>
        <w:rPr>
          <w:b/>
        </w:rPr>
      </w:pPr>
      <w:r>
        <w:rPr>
          <w:b/>
        </w:rPr>
      </w:r>
    </w:p>
    <w:p>
      <w:pPr>
        <w:pStyle w:val="Normal"/>
        <w:bidi w:val="0"/>
        <w:spacing w:before="0" w:after="0"/>
        <w:jc w:val="left"/>
        <w:rPr>
          <w:sz w:val="4"/>
          <w:szCs w:val="4"/>
        </w:rPr>
      </w:pPr>
      <w:r>
        <w:rPr>
          <w:sz w:val="4"/>
          <w:szCs w:val="4"/>
        </w:rPr>
      </w:r>
      <w:bookmarkStart w:id="112" w:name="z56ee9ff0eb8b4b7abe1ad199d7cf9167"/>
      <w:bookmarkStart w:id="113" w:name="z56ee9ff0eb8b4b7abe1ad199d7cf9167"/>
      <w:bookmarkEnd w:id="113"/>
    </w:p>
    <w:tbl>
      <w:tblPr>
        <w:tblW w:w="5235" w:type="dxa"/>
        <w:jc w:val="left"/>
        <w:tblInd w:w="0" w:type="dxa"/>
        <w:tblLayout w:type="fixed"/>
        <w:tblCellMar>
          <w:top w:w="0" w:type="dxa"/>
          <w:left w:w="0" w:type="dxa"/>
          <w:bottom w:w="0" w:type="dxa"/>
          <w:right w:w="0" w:type="dxa"/>
        </w:tblCellMar>
      </w:tblPr>
      <w:tblGrid>
        <w:gridCol w:w="965"/>
        <w:gridCol w:w="3785"/>
        <w:gridCol w:w="485"/>
      </w:tblGrid>
      <w:tr>
        <w:trPr/>
        <w:tc>
          <w:tcPr>
            <w:tcW w:w="96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right"/>
              <w:rPr/>
            </w:pPr>
            <w:r>
              <w:rPr/>
              <w:t>Page</w:t>
            </w:r>
          </w:p>
        </w:tc>
      </w:tr>
      <w:tr>
        <w:trPr/>
        <w:tc>
          <w:tcPr>
            <w:tcW w:w="96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pPr>
            <w:r>
              <w:rPr/>
              <w:t>Section 1.</w:t>
            </w:r>
          </w:p>
        </w:tc>
        <w:tc>
          <w:tcPr>
            <w:tcW w:w="3785" w:type="dxa"/>
            <w:tcBorders/>
            <w:shd w:fill="CCEEFF" w:val="clear"/>
            <w:vAlign w:val="center"/>
          </w:tcPr>
          <w:p>
            <w:pPr>
              <w:pStyle w:val="TableContents"/>
              <w:bidi w:val="0"/>
              <w:spacing w:before="0" w:after="0"/>
              <w:jc w:val="left"/>
              <w:rPr/>
            </w:pPr>
            <w:r>
              <w:rPr/>
              <w:t>DESCRIPTION OF TRANSACTION</w:t>
            </w:r>
          </w:p>
        </w:tc>
        <w:tc>
          <w:tcPr>
            <w:tcW w:w="485" w:type="dxa"/>
            <w:tcBorders/>
            <w:shd w:fill="CCEEFF" w:val="clear"/>
            <w:vAlign w:val="center"/>
          </w:tcPr>
          <w:p>
            <w:pPr>
              <w:pStyle w:val="TableContents"/>
              <w:bidi w:val="0"/>
              <w:spacing w:before="0" w:after="0"/>
              <w:jc w:val="right"/>
              <w:rPr/>
            </w:pPr>
            <w:r>
              <w:rPr/>
              <w:t>3</w:t>
            </w:r>
          </w:p>
        </w:tc>
      </w:tr>
    </w:tbl>
    <w:p>
      <w:pPr>
        <w:pStyle w:val="Normal"/>
        <w:bidi w:val="0"/>
        <w:spacing w:before="0" w:after="0"/>
        <w:jc w:val="left"/>
        <w:rPr>
          <w:sz w:val="4"/>
          <w:szCs w:val="4"/>
        </w:rPr>
      </w:pPr>
      <w:r>
        <w:rPr>
          <w:sz w:val="4"/>
          <w:szCs w:val="4"/>
        </w:rPr>
      </w:r>
      <w:bookmarkStart w:id="114" w:name="z814a4e72472d4f6cb8c3cebb96c11138"/>
      <w:bookmarkStart w:id="115" w:name="z814a4e72472d4f6cb8c3cebb96c11138"/>
      <w:bookmarkEnd w:id="115"/>
    </w:p>
    <w:tbl>
      <w:tblPr>
        <w:tblW w:w="10155" w:type="dxa"/>
        <w:jc w:val="left"/>
        <w:tblInd w:w="0" w:type="dxa"/>
        <w:tblLayout w:type="fixed"/>
        <w:tblCellMar>
          <w:top w:w="0" w:type="dxa"/>
          <w:left w:w="0" w:type="dxa"/>
          <w:bottom w:w="0" w:type="dxa"/>
          <w:right w:w="0" w:type="dxa"/>
        </w:tblCellMar>
      </w:tblPr>
      <w:tblGrid>
        <w:gridCol w:w="440"/>
        <w:gridCol w:w="9455"/>
        <w:gridCol w:w="260"/>
      </w:tblGrid>
      <w:tr>
        <w:trPr/>
        <w:tc>
          <w:tcPr>
            <w:tcW w:w="44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1.1</w:t>
            </w:r>
          </w:p>
        </w:tc>
        <w:tc>
          <w:tcPr>
            <w:tcW w:w="9455" w:type="dxa"/>
            <w:tcBorders/>
            <w:shd w:fill="CCEEFF" w:val="clear"/>
            <w:vAlign w:val="center"/>
          </w:tcPr>
          <w:p>
            <w:pPr>
              <w:pStyle w:val="TableContents"/>
              <w:bidi w:val="0"/>
              <w:spacing w:before="0" w:after="0"/>
              <w:jc w:val="left"/>
              <w:rPr/>
            </w:pPr>
            <w:r>
              <w:rPr/>
              <w:t>The Merger</w:t>
            </w:r>
          </w:p>
        </w:tc>
        <w:tc>
          <w:tcPr>
            <w:tcW w:w="260" w:type="dxa"/>
            <w:tcBorders/>
            <w:shd w:fill="CCEEFF" w:val="clear"/>
            <w:vAlign w:val="center"/>
          </w:tcPr>
          <w:p>
            <w:pPr>
              <w:pStyle w:val="TableContents"/>
              <w:bidi w:val="0"/>
              <w:spacing w:before="0" w:after="0"/>
              <w:jc w:val="right"/>
              <w:rPr/>
            </w:pPr>
            <w:r>
              <w:rPr/>
              <w:t>3</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1.2</w:t>
            </w:r>
          </w:p>
        </w:tc>
        <w:tc>
          <w:tcPr>
            <w:tcW w:w="9455" w:type="dxa"/>
            <w:tcBorders/>
            <w:shd w:fill="CCEEFF" w:val="clear"/>
            <w:vAlign w:val="center"/>
          </w:tcPr>
          <w:p>
            <w:pPr>
              <w:pStyle w:val="TableContents"/>
              <w:bidi w:val="0"/>
              <w:spacing w:before="0" w:after="0"/>
              <w:jc w:val="left"/>
              <w:rPr/>
            </w:pPr>
            <w:r>
              <w:rPr/>
              <w:t>Effects of the Merger</w:t>
            </w:r>
          </w:p>
        </w:tc>
        <w:tc>
          <w:tcPr>
            <w:tcW w:w="260" w:type="dxa"/>
            <w:tcBorders/>
            <w:shd w:fill="CCEEFF" w:val="clear"/>
            <w:vAlign w:val="center"/>
          </w:tcPr>
          <w:p>
            <w:pPr>
              <w:pStyle w:val="TableContents"/>
              <w:bidi w:val="0"/>
              <w:spacing w:before="0" w:after="0"/>
              <w:jc w:val="right"/>
              <w:rPr/>
            </w:pPr>
            <w:r>
              <w:rPr/>
              <w:t>3</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1.3</w:t>
            </w:r>
          </w:p>
        </w:tc>
        <w:tc>
          <w:tcPr>
            <w:tcW w:w="9455" w:type="dxa"/>
            <w:tcBorders/>
            <w:shd w:fill="CCEEFF" w:val="clear"/>
            <w:vAlign w:val="center"/>
          </w:tcPr>
          <w:p>
            <w:pPr>
              <w:pStyle w:val="TableContents"/>
              <w:bidi w:val="0"/>
              <w:spacing w:before="0" w:after="0"/>
              <w:jc w:val="left"/>
              <w:rPr/>
            </w:pPr>
            <w:r>
              <w:rPr/>
              <w:t>Closing; First Effective Time; Second Effective Time</w:t>
            </w:r>
          </w:p>
        </w:tc>
        <w:tc>
          <w:tcPr>
            <w:tcW w:w="260" w:type="dxa"/>
            <w:tcBorders/>
            <w:shd w:fill="CCEEFF" w:val="clear"/>
            <w:vAlign w:val="center"/>
          </w:tcPr>
          <w:p>
            <w:pPr>
              <w:pStyle w:val="TableContents"/>
              <w:bidi w:val="0"/>
              <w:spacing w:before="0" w:after="0"/>
              <w:jc w:val="right"/>
              <w:rPr/>
            </w:pPr>
            <w:r>
              <w:rPr/>
              <w:t>4</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1.4</w:t>
            </w:r>
          </w:p>
        </w:tc>
        <w:tc>
          <w:tcPr>
            <w:tcW w:w="9455" w:type="dxa"/>
            <w:tcBorders/>
            <w:shd w:fill="CCEEFF" w:val="clear"/>
            <w:vAlign w:val="center"/>
          </w:tcPr>
          <w:p>
            <w:pPr>
              <w:pStyle w:val="TableContents"/>
              <w:bidi w:val="0"/>
              <w:spacing w:before="0" w:after="0"/>
              <w:jc w:val="left"/>
              <w:rPr/>
            </w:pPr>
            <w:r>
              <w:rPr/>
              <w:t>Series C Certificate of Designation; Certificate of Incorporation and Bylaws; Directors and Officers.</w:t>
            </w:r>
          </w:p>
        </w:tc>
        <w:tc>
          <w:tcPr>
            <w:tcW w:w="260" w:type="dxa"/>
            <w:tcBorders/>
            <w:shd w:fill="CCEEFF" w:val="clear"/>
            <w:vAlign w:val="center"/>
          </w:tcPr>
          <w:p>
            <w:pPr>
              <w:pStyle w:val="TableContents"/>
              <w:bidi w:val="0"/>
              <w:spacing w:before="0" w:after="0"/>
              <w:jc w:val="right"/>
              <w:rPr/>
            </w:pPr>
            <w:r>
              <w:rPr/>
              <w:t>4</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1.5</w:t>
            </w:r>
          </w:p>
        </w:tc>
        <w:tc>
          <w:tcPr>
            <w:tcW w:w="9455" w:type="dxa"/>
            <w:tcBorders/>
            <w:shd w:fill="CCEEFF" w:val="clear"/>
            <w:vAlign w:val="center"/>
          </w:tcPr>
          <w:p>
            <w:pPr>
              <w:pStyle w:val="TableContents"/>
              <w:bidi w:val="0"/>
              <w:spacing w:before="0" w:after="0"/>
              <w:jc w:val="left"/>
              <w:rPr/>
            </w:pPr>
            <w:r>
              <w:rPr/>
              <w:t>Merger Consideration; Effect of Merger on Company Capital Stock</w:t>
            </w:r>
          </w:p>
        </w:tc>
        <w:tc>
          <w:tcPr>
            <w:tcW w:w="260" w:type="dxa"/>
            <w:tcBorders/>
            <w:shd w:fill="CCEEFF" w:val="clear"/>
            <w:vAlign w:val="center"/>
          </w:tcPr>
          <w:p>
            <w:pPr>
              <w:pStyle w:val="TableContents"/>
              <w:bidi w:val="0"/>
              <w:spacing w:before="0" w:after="0"/>
              <w:jc w:val="right"/>
              <w:rPr/>
            </w:pPr>
            <w:r>
              <w:rPr/>
              <w:t>5</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1.6</w:t>
            </w:r>
          </w:p>
        </w:tc>
        <w:tc>
          <w:tcPr>
            <w:tcW w:w="9455" w:type="dxa"/>
            <w:tcBorders/>
            <w:shd w:fill="CCEEFF" w:val="clear"/>
            <w:vAlign w:val="center"/>
          </w:tcPr>
          <w:p>
            <w:pPr>
              <w:pStyle w:val="TableContents"/>
              <w:bidi w:val="0"/>
              <w:spacing w:before="0" w:after="0"/>
              <w:jc w:val="left"/>
              <w:rPr/>
            </w:pPr>
            <w:r>
              <w:rPr/>
              <w:t>Conversion of Shares of Company Capital Stock.</w:t>
            </w:r>
          </w:p>
        </w:tc>
        <w:tc>
          <w:tcPr>
            <w:tcW w:w="260" w:type="dxa"/>
            <w:tcBorders/>
            <w:shd w:fill="CCEEFF" w:val="clear"/>
            <w:vAlign w:val="center"/>
          </w:tcPr>
          <w:p>
            <w:pPr>
              <w:pStyle w:val="TableContents"/>
              <w:bidi w:val="0"/>
              <w:spacing w:before="0" w:after="0"/>
              <w:jc w:val="right"/>
              <w:rPr/>
            </w:pPr>
            <w:r>
              <w:rPr/>
              <w:t>6</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1.7</w:t>
            </w:r>
          </w:p>
        </w:tc>
        <w:tc>
          <w:tcPr>
            <w:tcW w:w="9455" w:type="dxa"/>
            <w:tcBorders/>
            <w:shd w:fill="CCEEFF" w:val="clear"/>
            <w:vAlign w:val="center"/>
          </w:tcPr>
          <w:p>
            <w:pPr>
              <w:pStyle w:val="TableContents"/>
              <w:bidi w:val="0"/>
              <w:spacing w:before="0" w:after="0"/>
              <w:jc w:val="left"/>
              <w:rPr/>
            </w:pPr>
            <w:r>
              <w:rPr/>
              <w:t>Closing of the Company’s Transfer Books</w:t>
            </w:r>
          </w:p>
        </w:tc>
        <w:tc>
          <w:tcPr>
            <w:tcW w:w="260" w:type="dxa"/>
            <w:tcBorders/>
            <w:shd w:fill="CCEEFF" w:val="clear"/>
            <w:vAlign w:val="center"/>
          </w:tcPr>
          <w:p>
            <w:pPr>
              <w:pStyle w:val="TableContents"/>
              <w:bidi w:val="0"/>
              <w:spacing w:before="0" w:after="0"/>
              <w:jc w:val="right"/>
              <w:rPr/>
            </w:pPr>
            <w:r>
              <w:rPr/>
              <w:t>7</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1.8</w:t>
            </w:r>
          </w:p>
        </w:tc>
        <w:tc>
          <w:tcPr>
            <w:tcW w:w="9455" w:type="dxa"/>
            <w:tcBorders/>
            <w:shd w:fill="CCEEFF" w:val="clear"/>
            <w:vAlign w:val="center"/>
          </w:tcPr>
          <w:p>
            <w:pPr>
              <w:pStyle w:val="TableContents"/>
              <w:bidi w:val="0"/>
              <w:spacing w:before="0" w:after="0"/>
              <w:jc w:val="left"/>
              <w:rPr/>
            </w:pPr>
            <w:r>
              <w:rPr/>
              <w:t>Exchange of Shares.</w:t>
            </w:r>
          </w:p>
        </w:tc>
        <w:tc>
          <w:tcPr>
            <w:tcW w:w="260" w:type="dxa"/>
            <w:tcBorders/>
            <w:shd w:fill="CCEEFF" w:val="clear"/>
            <w:vAlign w:val="center"/>
          </w:tcPr>
          <w:p>
            <w:pPr>
              <w:pStyle w:val="TableContents"/>
              <w:bidi w:val="0"/>
              <w:spacing w:before="0" w:after="0"/>
              <w:jc w:val="right"/>
              <w:rPr/>
            </w:pPr>
            <w:r>
              <w:rPr/>
              <w:t>8</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1.9</w:t>
            </w:r>
          </w:p>
        </w:tc>
        <w:tc>
          <w:tcPr>
            <w:tcW w:w="9455" w:type="dxa"/>
            <w:tcBorders/>
            <w:shd w:fill="CCEEFF" w:val="clear"/>
            <w:vAlign w:val="center"/>
          </w:tcPr>
          <w:p>
            <w:pPr>
              <w:pStyle w:val="TableContents"/>
              <w:bidi w:val="0"/>
              <w:spacing w:before="0" w:after="0"/>
              <w:jc w:val="left"/>
              <w:rPr/>
            </w:pPr>
            <w:r>
              <w:rPr/>
              <w:t>Company Options.</w:t>
            </w:r>
          </w:p>
        </w:tc>
        <w:tc>
          <w:tcPr>
            <w:tcW w:w="260" w:type="dxa"/>
            <w:tcBorders/>
            <w:shd w:fill="CCEEFF" w:val="clear"/>
            <w:vAlign w:val="center"/>
          </w:tcPr>
          <w:p>
            <w:pPr>
              <w:pStyle w:val="TableContents"/>
              <w:bidi w:val="0"/>
              <w:spacing w:before="0" w:after="283"/>
              <w:jc w:val="right"/>
              <w:rPr/>
            </w:pPr>
            <w:r>
              <w:rPr/>
              <w:t>9</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1.10</w:t>
            </w:r>
          </w:p>
        </w:tc>
        <w:tc>
          <w:tcPr>
            <w:tcW w:w="9455" w:type="dxa"/>
            <w:tcBorders/>
            <w:shd w:fill="CCEEFF" w:val="clear"/>
            <w:vAlign w:val="center"/>
          </w:tcPr>
          <w:p>
            <w:pPr>
              <w:pStyle w:val="TableContents"/>
              <w:bidi w:val="0"/>
              <w:spacing w:before="0" w:after="0"/>
              <w:jc w:val="left"/>
              <w:rPr/>
            </w:pPr>
            <w:r>
              <w:rPr/>
              <w:t>Company SAFEs</w:t>
            </w:r>
          </w:p>
        </w:tc>
        <w:tc>
          <w:tcPr>
            <w:tcW w:w="260" w:type="dxa"/>
            <w:tcBorders/>
            <w:shd w:fill="CCEEFF" w:val="clear"/>
            <w:vAlign w:val="center"/>
          </w:tcPr>
          <w:p>
            <w:pPr>
              <w:pStyle w:val="TableContents"/>
              <w:bidi w:val="0"/>
              <w:spacing w:before="0" w:after="0"/>
              <w:jc w:val="right"/>
              <w:rPr/>
            </w:pPr>
            <w:r>
              <w:rPr/>
              <w:t>10</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1.11</w:t>
            </w:r>
          </w:p>
        </w:tc>
        <w:tc>
          <w:tcPr>
            <w:tcW w:w="9455" w:type="dxa"/>
            <w:tcBorders/>
            <w:shd w:fill="CCEEFF" w:val="clear"/>
            <w:vAlign w:val="center"/>
          </w:tcPr>
          <w:p>
            <w:pPr>
              <w:pStyle w:val="TableContents"/>
              <w:bidi w:val="0"/>
              <w:spacing w:before="0" w:after="0"/>
              <w:jc w:val="left"/>
              <w:rPr/>
            </w:pPr>
            <w:r>
              <w:rPr/>
              <w:t>Appraisal Rights</w:t>
            </w:r>
          </w:p>
        </w:tc>
        <w:tc>
          <w:tcPr>
            <w:tcW w:w="260" w:type="dxa"/>
            <w:tcBorders/>
            <w:shd w:fill="CCEEFF" w:val="clear"/>
            <w:vAlign w:val="center"/>
          </w:tcPr>
          <w:p>
            <w:pPr>
              <w:pStyle w:val="TableContents"/>
              <w:bidi w:val="0"/>
              <w:spacing w:before="0" w:after="0"/>
              <w:jc w:val="right"/>
              <w:rPr/>
            </w:pPr>
            <w:r>
              <w:rPr/>
              <w:t>10</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1.12</w:t>
            </w:r>
          </w:p>
        </w:tc>
        <w:tc>
          <w:tcPr>
            <w:tcW w:w="9455" w:type="dxa"/>
            <w:tcBorders/>
            <w:shd w:fill="CCEEFF" w:val="clear"/>
            <w:vAlign w:val="center"/>
          </w:tcPr>
          <w:p>
            <w:pPr>
              <w:pStyle w:val="TableContents"/>
              <w:bidi w:val="0"/>
              <w:spacing w:before="0" w:after="0"/>
              <w:jc w:val="left"/>
              <w:rPr/>
            </w:pPr>
            <w:r>
              <w:rPr/>
              <w:t>Further Action</w:t>
            </w:r>
          </w:p>
        </w:tc>
        <w:tc>
          <w:tcPr>
            <w:tcW w:w="260" w:type="dxa"/>
            <w:tcBorders/>
            <w:shd w:fill="CCEEFF" w:val="clear"/>
            <w:vAlign w:val="center"/>
          </w:tcPr>
          <w:p>
            <w:pPr>
              <w:pStyle w:val="TableContents"/>
              <w:bidi w:val="0"/>
              <w:spacing w:before="0" w:after="0"/>
              <w:jc w:val="right"/>
              <w:rPr/>
            </w:pPr>
            <w:r>
              <w:rPr/>
              <w:t>11</w:t>
            </w:r>
          </w:p>
        </w:tc>
      </w:tr>
      <w:tr>
        <w:trPr/>
        <w:tc>
          <w:tcPr>
            <w:tcW w:w="440" w:type="dxa"/>
            <w:tcBorders/>
            <w:vAlign w:val="center"/>
          </w:tcPr>
          <w:p>
            <w:pPr>
              <w:pStyle w:val="TableContents"/>
              <w:bidi w:val="0"/>
              <w:spacing w:before="0" w:after="283"/>
              <w:jc w:val="center"/>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1.13</w:t>
            </w:r>
          </w:p>
        </w:tc>
        <w:tc>
          <w:tcPr>
            <w:tcW w:w="9455" w:type="dxa"/>
            <w:tcBorders/>
            <w:shd w:fill="CCEEFF" w:val="clear"/>
            <w:vAlign w:val="center"/>
          </w:tcPr>
          <w:p>
            <w:pPr>
              <w:pStyle w:val="TableContents"/>
              <w:bidi w:val="0"/>
              <w:spacing w:before="0" w:after="0"/>
              <w:jc w:val="left"/>
              <w:rPr/>
            </w:pPr>
            <w:r>
              <w:rPr/>
              <w:t>Withholding</w:t>
            </w:r>
          </w:p>
        </w:tc>
        <w:tc>
          <w:tcPr>
            <w:tcW w:w="260" w:type="dxa"/>
            <w:tcBorders/>
            <w:shd w:fill="CCEEFF" w:val="clear"/>
            <w:vAlign w:val="center"/>
          </w:tcPr>
          <w:p>
            <w:pPr>
              <w:pStyle w:val="TableContents"/>
              <w:bidi w:val="0"/>
              <w:spacing w:before="0" w:after="0"/>
              <w:jc w:val="right"/>
              <w:rPr/>
            </w:pPr>
            <w:r>
              <w:rPr/>
              <w:t>11</w:t>
            </w:r>
          </w:p>
        </w:tc>
      </w:tr>
      <w:tr>
        <w:trPr/>
        <w:tc>
          <w:tcPr>
            <w:tcW w:w="44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bl>
    <w:p>
      <w:pPr>
        <w:pStyle w:val="Normal"/>
        <w:bidi w:val="0"/>
        <w:spacing w:before="0" w:after="0"/>
        <w:jc w:val="left"/>
        <w:rPr>
          <w:sz w:val="4"/>
          <w:szCs w:val="4"/>
        </w:rPr>
      </w:pPr>
      <w:r>
        <w:rPr>
          <w:sz w:val="4"/>
          <w:szCs w:val="4"/>
        </w:rPr>
      </w:r>
      <w:bookmarkStart w:id="116" w:name="z73c5f7540cd1485693b1fb9669cffa0d"/>
      <w:bookmarkStart w:id="117" w:name="z73c5f7540cd1485693b1fb9669cffa0d"/>
      <w:bookmarkEnd w:id="117"/>
    </w:p>
    <w:tbl>
      <w:tblPr>
        <w:tblW w:w="7995" w:type="dxa"/>
        <w:jc w:val="left"/>
        <w:tblInd w:w="0" w:type="dxa"/>
        <w:tblLayout w:type="fixed"/>
        <w:tblCellMar>
          <w:top w:w="0" w:type="dxa"/>
          <w:left w:w="0" w:type="dxa"/>
          <w:bottom w:w="0" w:type="dxa"/>
          <w:right w:w="0" w:type="dxa"/>
        </w:tblCellMar>
      </w:tblPr>
      <w:tblGrid>
        <w:gridCol w:w="965"/>
        <w:gridCol w:w="6770"/>
        <w:gridCol w:w="260"/>
      </w:tblGrid>
      <w:tr>
        <w:trPr/>
        <w:tc>
          <w:tcPr>
            <w:tcW w:w="965" w:type="dxa"/>
            <w:tcBorders/>
            <w:shd w:fill="CCEEFF" w:val="clear"/>
            <w:vAlign w:val="center"/>
          </w:tcPr>
          <w:p>
            <w:pPr>
              <w:pStyle w:val="TableContents"/>
              <w:bidi w:val="0"/>
              <w:spacing w:before="0" w:after="0"/>
              <w:jc w:val="left"/>
              <w:rPr/>
            </w:pPr>
            <w:r>
              <w:rPr/>
              <w:t>Section 2.</w:t>
            </w:r>
          </w:p>
        </w:tc>
        <w:tc>
          <w:tcPr>
            <w:tcW w:w="6770" w:type="dxa"/>
            <w:tcBorders/>
            <w:shd w:fill="CCEEFF" w:val="clear"/>
            <w:vAlign w:val="center"/>
          </w:tcPr>
          <w:p>
            <w:pPr>
              <w:pStyle w:val="TableContents"/>
              <w:bidi w:val="0"/>
              <w:spacing w:before="0" w:after="0"/>
              <w:jc w:val="left"/>
              <w:rPr/>
            </w:pPr>
            <w:r>
              <w:rPr/>
              <w:t>REPRESENTATIONS AND WARRANTIES OF THE COMPANY</w:t>
            </w:r>
          </w:p>
        </w:tc>
        <w:tc>
          <w:tcPr>
            <w:tcW w:w="260" w:type="dxa"/>
            <w:tcBorders/>
            <w:shd w:fill="CCEEFF" w:val="clear"/>
            <w:vAlign w:val="center"/>
          </w:tcPr>
          <w:p>
            <w:pPr>
              <w:pStyle w:val="TableContents"/>
              <w:bidi w:val="0"/>
              <w:spacing w:before="0" w:after="0"/>
              <w:jc w:val="right"/>
              <w:rPr/>
            </w:pPr>
            <w:r>
              <w:rPr/>
              <w:t>11</w:t>
            </w:r>
          </w:p>
        </w:tc>
      </w:tr>
    </w:tbl>
    <w:p>
      <w:pPr>
        <w:pStyle w:val="Normal"/>
        <w:bidi w:val="0"/>
        <w:spacing w:before="0" w:after="0"/>
        <w:jc w:val="left"/>
        <w:rPr>
          <w:sz w:val="4"/>
          <w:szCs w:val="4"/>
        </w:rPr>
      </w:pPr>
      <w:r>
        <w:rPr>
          <w:sz w:val="4"/>
          <w:szCs w:val="4"/>
        </w:rPr>
      </w:r>
      <w:bookmarkStart w:id="118" w:name="zfe15347862244b62aa0e6a1c574323fe"/>
      <w:bookmarkStart w:id="119" w:name="zfe15347862244b62aa0e6a1c574323fe"/>
      <w:bookmarkEnd w:id="119"/>
    </w:p>
    <w:tbl>
      <w:tblPr>
        <w:tblW w:w="4920" w:type="dxa"/>
        <w:jc w:val="left"/>
        <w:tblInd w:w="0" w:type="dxa"/>
        <w:tblLayout w:type="fixed"/>
        <w:tblCellMar>
          <w:top w:w="0" w:type="dxa"/>
          <w:left w:w="0" w:type="dxa"/>
          <w:bottom w:w="0" w:type="dxa"/>
          <w:right w:w="0" w:type="dxa"/>
        </w:tblCellMar>
      </w:tblPr>
      <w:tblGrid>
        <w:gridCol w:w="440"/>
        <w:gridCol w:w="4220"/>
        <w:gridCol w:w="260"/>
      </w:tblGrid>
      <w:tr>
        <w:trPr/>
        <w:tc>
          <w:tcPr>
            <w:tcW w:w="44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w:t>
            </w:r>
          </w:p>
        </w:tc>
        <w:tc>
          <w:tcPr>
            <w:tcW w:w="4220" w:type="dxa"/>
            <w:tcBorders/>
            <w:shd w:fill="CCEEFF" w:val="clear"/>
            <w:vAlign w:val="center"/>
          </w:tcPr>
          <w:p>
            <w:pPr>
              <w:pStyle w:val="TableContents"/>
              <w:bidi w:val="0"/>
              <w:spacing w:before="0" w:after="0"/>
              <w:jc w:val="left"/>
              <w:rPr/>
            </w:pPr>
            <w:r>
              <w:rPr/>
              <w:t>Due Organization; Subsidiaries.</w:t>
            </w:r>
          </w:p>
        </w:tc>
        <w:tc>
          <w:tcPr>
            <w:tcW w:w="260" w:type="dxa"/>
            <w:tcBorders/>
            <w:shd w:fill="CCEEFF" w:val="clear"/>
            <w:vAlign w:val="center"/>
          </w:tcPr>
          <w:p>
            <w:pPr>
              <w:pStyle w:val="TableContents"/>
              <w:bidi w:val="0"/>
              <w:spacing w:before="0" w:after="0"/>
              <w:jc w:val="right"/>
              <w:rPr/>
            </w:pPr>
            <w:r>
              <w:rPr/>
              <w:t>11</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2.2</w:t>
            </w:r>
          </w:p>
        </w:tc>
        <w:tc>
          <w:tcPr>
            <w:tcW w:w="4220" w:type="dxa"/>
            <w:tcBorders/>
            <w:shd w:fill="CCEEFF" w:val="clear"/>
            <w:vAlign w:val="center"/>
          </w:tcPr>
          <w:p>
            <w:pPr>
              <w:pStyle w:val="TableContents"/>
              <w:bidi w:val="0"/>
              <w:spacing w:before="0" w:after="0"/>
              <w:jc w:val="left"/>
              <w:rPr/>
            </w:pPr>
            <w:r>
              <w:rPr/>
              <w:t>Organizational Documents</w:t>
            </w:r>
          </w:p>
        </w:tc>
        <w:tc>
          <w:tcPr>
            <w:tcW w:w="260" w:type="dxa"/>
            <w:tcBorders/>
            <w:shd w:fill="CCEEFF" w:val="clear"/>
            <w:vAlign w:val="center"/>
          </w:tcPr>
          <w:p>
            <w:pPr>
              <w:pStyle w:val="TableContents"/>
              <w:bidi w:val="0"/>
              <w:spacing w:before="0" w:after="0"/>
              <w:jc w:val="right"/>
              <w:rPr/>
            </w:pPr>
            <w:r>
              <w:rPr/>
              <w:t>12</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2.3</w:t>
            </w:r>
          </w:p>
        </w:tc>
        <w:tc>
          <w:tcPr>
            <w:tcW w:w="4220" w:type="dxa"/>
            <w:tcBorders/>
            <w:shd w:fill="CCEEFF" w:val="clear"/>
            <w:vAlign w:val="center"/>
          </w:tcPr>
          <w:p>
            <w:pPr>
              <w:pStyle w:val="TableContents"/>
              <w:bidi w:val="0"/>
              <w:spacing w:before="0" w:after="0"/>
              <w:jc w:val="left"/>
              <w:rPr/>
            </w:pPr>
            <w:r>
              <w:rPr/>
              <w:t>Authority; Binding Nature of Agreement.</w:t>
            </w:r>
          </w:p>
        </w:tc>
        <w:tc>
          <w:tcPr>
            <w:tcW w:w="260" w:type="dxa"/>
            <w:tcBorders/>
            <w:shd w:fill="CCEEFF" w:val="clear"/>
            <w:vAlign w:val="center"/>
          </w:tcPr>
          <w:p>
            <w:pPr>
              <w:pStyle w:val="TableContents"/>
              <w:bidi w:val="0"/>
              <w:spacing w:before="0" w:after="0"/>
              <w:jc w:val="right"/>
              <w:rPr/>
            </w:pPr>
            <w:r>
              <w:rPr/>
              <w:t>12</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2.4</w:t>
            </w:r>
          </w:p>
        </w:tc>
        <w:tc>
          <w:tcPr>
            <w:tcW w:w="4220" w:type="dxa"/>
            <w:tcBorders/>
            <w:shd w:fill="CCEEFF" w:val="clear"/>
            <w:vAlign w:val="center"/>
          </w:tcPr>
          <w:p>
            <w:pPr>
              <w:pStyle w:val="TableContents"/>
              <w:bidi w:val="0"/>
              <w:spacing w:before="0" w:after="0"/>
              <w:jc w:val="left"/>
              <w:rPr/>
            </w:pPr>
            <w:r>
              <w:rPr/>
              <w:t>Vote Required</w:t>
            </w:r>
          </w:p>
        </w:tc>
        <w:tc>
          <w:tcPr>
            <w:tcW w:w="260" w:type="dxa"/>
            <w:tcBorders/>
            <w:shd w:fill="CCEEFF" w:val="clear"/>
            <w:vAlign w:val="center"/>
          </w:tcPr>
          <w:p>
            <w:pPr>
              <w:pStyle w:val="TableContents"/>
              <w:bidi w:val="0"/>
              <w:spacing w:before="0" w:after="0"/>
              <w:jc w:val="right"/>
              <w:rPr/>
            </w:pPr>
            <w:r>
              <w:rPr/>
              <w:t>13</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2.5</w:t>
            </w:r>
          </w:p>
        </w:tc>
        <w:tc>
          <w:tcPr>
            <w:tcW w:w="4220" w:type="dxa"/>
            <w:tcBorders/>
            <w:shd w:fill="CCEEFF" w:val="clear"/>
            <w:vAlign w:val="center"/>
          </w:tcPr>
          <w:p>
            <w:pPr>
              <w:pStyle w:val="TableContents"/>
              <w:bidi w:val="0"/>
              <w:spacing w:before="0" w:after="0"/>
              <w:jc w:val="left"/>
              <w:rPr/>
            </w:pPr>
            <w:r>
              <w:rPr/>
              <w:t>Non-Contravention; Consents</w:t>
            </w:r>
          </w:p>
        </w:tc>
        <w:tc>
          <w:tcPr>
            <w:tcW w:w="260" w:type="dxa"/>
            <w:tcBorders/>
            <w:shd w:fill="CCEEFF" w:val="clear"/>
            <w:vAlign w:val="center"/>
          </w:tcPr>
          <w:p>
            <w:pPr>
              <w:pStyle w:val="TableContents"/>
              <w:bidi w:val="0"/>
              <w:spacing w:before="0" w:after="0"/>
              <w:jc w:val="right"/>
              <w:rPr/>
            </w:pPr>
            <w:r>
              <w:rPr/>
              <w:t>13</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2.6</w:t>
            </w:r>
          </w:p>
        </w:tc>
        <w:tc>
          <w:tcPr>
            <w:tcW w:w="4220" w:type="dxa"/>
            <w:tcBorders/>
            <w:shd w:fill="CCEEFF" w:val="clear"/>
            <w:vAlign w:val="center"/>
          </w:tcPr>
          <w:p>
            <w:pPr>
              <w:pStyle w:val="TableContents"/>
              <w:bidi w:val="0"/>
              <w:spacing w:before="0" w:after="0"/>
              <w:jc w:val="left"/>
              <w:rPr/>
            </w:pPr>
            <w:r>
              <w:rPr/>
              <w:t>Capitalization.</w:t>
            </w:r>
          </w:p>
        </w:tc>
        <w:tc>
          <w:tcPr>
            <w:tcW w:w="260" w:type="dxa"/>
            <w:tcBorders/>
            <w:shd w:fill="CCEEFF" w:val="clear"/>
            <w:vAlign w:val="center"/>
          </w:tcPr>
          <w:p>
            <w:pPr>
              <w:pStyle w:val="TableContents"/>
              <w:bidi w:val="0"/>
              <w:spacing w:before="0" w:after="0"/>
              <w:jc w:val="right"/>
              <w:rPr/>
            </w:pPr>
            <w:r>
              <w:rPr/>
              <w:t>14</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2.7</w:t>
            </w:r>
          </w:p>
        </w:tc>
        <w:tc>
          <w:tcPr>
            <w:tcW w:w="4220" w:type="dxa"/>
            <w:tcBorders/>
            <w:shd w:fill="CCEEFF" w:val="clear"/>
            <w:vAlign w:val="center"/>
          </w:tcPr>
          <w:p>
            <w:pPr>
              <w:pStyle w:val="TableContents"/>
              <w:bidi w:val="0"/>
              <w:spacing w:before="0" w:after="0"/>
              <w:jc w:val="left"/>
              <w:rPr/>
            </w:pPr>
            <w:r>
              <w:rPr/>
              <w:t>Financial Statements.</w:t>
            </w:r>
          </w:p>
        </w:tc>
        <w:tc>
          <w:tcPr>
            <w:tcW w:w="260" w:type="dxa"/>
            <w:tcBorders/>
            <w:shd w:fill="CCEEFF" w:val="clear"/>
            <w:vAlign w:val="center"/>
          </w:tcPr>
          <w:p>
            <w:pPr>
              <w:pStyle w:val="TableContents"/>
              <w:bidi w:val="0"/>
              <w:spacing w:before="0" w:after="0"/>
              <w:jc w:val="right"/>
              <w:rPr/>
            </w:pPr>
            <w:r>
              <w:rPr/>
              <w:t>16</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2.8</w:t>
            </w:r>
          </w:p>
        </w:tc>
        <w:tc>
          <w:tcPr>
            <w:tcW w:w="4220" w:type="dxa"/>
            <w:tcBorders/>
            <w:shd w:fill="CCEEFF" w:val="clear"/>
            <w:vAlign w:val="center"/>
          </w:tcPr>
          <w:p>
            <w:pPr>
              <w:pStyle w:val="TableContents"/>
              <w:bidi w:val="0"/>
              <w:spacing w:before="0" w:after="0"/>
              <w:jc w:val="left"/>
              <w:rPr/>
            </w:pPr>
            <w:r>
              <w:rPr/>
              <w:t>Absence of Changes</w:t>
            </w:r>
          </w:p>
        </w:tc>
        <w:tc>
          <w:tcPr>
            <w:tcW w:w="260" w:type="dxa"/>
            <w:tcBorders/>
            <w:shd w:fill="CCEEFF" w:val="clear"/>
            <w:vAlign w:val="center"/>
          </w:tcPr>
          <w:p>
            <w:pPr>
              <w:pStyle w:val="TableContents"/>
              <w:bidi w:val="0"/>
              <w:spacing w:before="0" w:after="0"/>
              <w:jc w:val="right"/>
              <w:rPr/>
            </w:pPr>
            <w:r>
              <w:rPr/>
              <w:t>17</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2.9</w:t>
            </w:r>
          </w:p>
        </w:tc>
        <w:tc>
          <w:tcPr>
            <w:tcW w:w="4220" w:type="dxa"/>
            <w:tcBorders/>
            <w:shd w:fill="CCEEFF" w:val="clear"/>
            <w:vAlign w:val="center"/>
          </w:tcPr>
          <w:p>
            <w:pPr>
              <w:pStyle w:val="TableContents"/>
              <w:bidi w:val="0"/>
              <w:spacing w:before="0" w:after="0"/>
              <w:jc w:val="left"/>
              <w:rPr/>
            </w:pPr>
            <w:r>
              <w:rPr/>
              <w:t>Absence of Undisclosed Liabilities</w:t>
            </w:r>
          </w:p>
        </w:tc>
        <w:tc>
          <w:tcPr>
            <w:tcW w:w="260" w:type="dxa"/>
            <w:tcBorders/>
            <w:shd w:fill="CCEEFF" w:val="clear"/>
            <w:vAlign w:val="center"/>
          </w:tcPr>
          <w:p>
            <w:pPr>
              <w:pStyle w:val="TableContents"/>
              <w:bidi w:val="0"/>
              <w:spacing w:before="0" w:after="0"/>
              <w:jc w:val="right"/>
              <w:rPr/>
            </w:pPr>
            <w:r>
              <w:rPr/>
              <w:t>19</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2.10</w:t>
            </w:r>
          </w:p>
        </w:tc>
        <w:tc>
          <w:tcPr>
            <w:tcW w:w="4220" w:type="dxa"/>
            <w:tcBorders/>
            <w:shd w:fill="CCEEFF" w:val="clear"/>
            <w:vAlign w:val="center"/>
          </w:tcPr>
          <w:p>
            <w:pPr>
              <w:pStyle w:val="TableContents"/>
              <w:bidi w:val="0"/>
              <w:spacing w:before="0" w:after="0"/>
              <w:jc w:val="left"/>
              <w:rPr/>
            </w:pPr>
            <w:r>
              <w:rPr/>
              <w:t>Title to Assets</w:t>
            </w:r>
          </w:p>
        </w:tc>
        <w:tc>
          <w:tcPr>
            <w:tcW w:w="260" w:type="dxa"/>
            <w:tcBorders/>
            <w:shd w:fill="CCEEFF" w:val="clear"/>
            <w:vAlign w:val="center"/>
          </w:tcPr>
          <w:p>
            <w:pPr>
              <w:pStyle w:val="TableContents"/>
              <w:bidi w:val="0"/>
              <w:spacing w:before="0" w:after="0"/>
              <w:jc w:val="right"/>
              <w:rPr/>
            </w:pPr>
            <w:r>
              <w:rPr/>
              <w:t>19</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2.11</w:t>
            </w:r>
          </w:p>
        </w:tc>
        <w:tc>
          <w:tcPr>
            <w:tcW w:w="4220" w:type="dxa"/>
            <w:tcBorders/>
            <w:shd w:fill="CCEEFF" w:val="clear"/>
            <w:vAlign w:val="center"/>
          </w:tcPr>
          <w:p>
            <w:pPr>
              <w:pStyle w:val="TableContents"/>
              <w:bidi w:val="0"/>
              <w:spacing w:before="0" w:after="0"/>
              <w:jc w:val="left"/>
              <w:rPr/>
            </w:pPr>
            <w:r>
              <w:rPr/>
              <w:t>Real Property; Leasehold</w:t>
            </w:r>
          </w:p>
        </w:tc>
        <w:tc>
          <w:tcPr>
            <w:tcW w:w="260" w:type="dxa"/>
            <w:tcBorders/>
            <w:shd w:fill="CCEEFF" w:val="clear"/>
            <w:vAlign w:val="center"/>
          </w:tcPr>
          <w:p>
            <w:pPr>
              <w:pStyle w:val="TableContents"/>
              <w:bidi w:val="0"/>
              <w:spacing w:before="0" w:after="0"/>
              <w:jc w:val="right"/>
              <w:rPr/>
            </w:pPr>
            <w:r>
              <w:rPr/>
              <w:t>19</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2.12</w:t>
            </w:r>
          </w:p>
        </w:tc>
        <w:tc>
          <w:tcPr>
            <w:tcW w:w="4220" w:type="dxa"/>
            <w:tcBorders/>
            <w:shd w:fill="CCEEFF" w:val="clear"/>
            <w:vAlign w:val="center"/>
          </w:tcPr>
          <w:p>
            <w:pPr>
              <w:pStyle w:val="TableContents"/>
              <w:bidi w:val="0"/>
              <w:spacing w:before="0" w:after="0"/>
              <w:jc w:val="left"/>
              <w:rPr/>
            </w:pPr>
            <w:r>
              <w:rPr/>
              <w:t>Intellectual Property; Privacy.</w:t>
            </w:r>
          </w:p>
        </w:tc>
        <w:tc>
          <w:tcPr>
            <w:tcW w:w="260" w:type="dxa"/>
            <w:tcBorders/>
            <w:shd w:fill="CCEEFF" w:val="clear"/>
            <w:vAlign w:val="center"/>
          </w:tcPr>
          <w:p>
            <w:pPr>
              <w:pStyle w:val="TableContents"/>
              <w:bidi w:val="0"/>
              <w:spacing w:before="0" w:after="283"/>
              <w:jc w:val="right"/>
              <w:rPr/>
            </w:pPr>
            <w:r>
              <w:rPr/>
              <w:t>20</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2.13</w:t>
            </w:r>
          </w:p>
        </w:tc>
        <w:tc>
          <w:tcPr>
            <w:tcW w:w="4220" w:type="dxa"/>
            <w:tcBorders/>
            <w:shd w:fill="CCEEFF" w:val="clear"/>
            <w:vAlign w:val="center"/>
          </w:tcPr>
          <w:p>
            <w:pPr>
              <w:pStyle w:val="TableContents"/>
              <w:bidi w:val="0"/>
              <w:spacing w:before="0" w:after="0"/>
              <w:jc w:val="left"/>
              <w:rPr/>
            </w:pPr>
            <w:r>
              <w:rPr/>
              <w:t>Agreements, Contracts and Commitments.</w:t>
            </w:r>
          </w:p>
        </w:tc>
        <w:tc>
          <w:tcPr>
            <w:tcW w:w="260" w:type="dxa"/>
            <w:tcBorders/>
            <w:shd w:fill="CCEEFF" w:val="clear"/>
            <w:vAlign w:val="center"/>
          </w:tcPr>
          <w:p>
            <w:pPr>
              <w:pStyle w:val="TableContents"/>
              <w:bidi w:val="0"/>
              <w:spacing w:before="0" w:after="0"/>
              <w:jc w:val="right"/>
              <w:rPr/>
            </w:pPr>
            <w:r>
              <w:rPr/>
              <w:t>22</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2.14</w:t>
            </w:r>
          </w:p>
        </w:tc>
        <w:tc>
          <w:tcPr>
            <w:tcW w:w="4220" w:type="dxa"/>
            <w:tcBorders/>
            <w:shd w:fill="CCEEFF" w:val="clear"/>
            <w:vAlign w:val="center"/>
          </w:tcPr>
          <w:p>
            <w:pPr>
              <w:pStyle w:val="TableContents"/>
              <w:bidi w:val="0"/>
              <w:spacing w:before="0" w:after="0"/>
              <w:jc w:val="left"/>
              <w:rPr/>
            </w:pPr>
            <w:r>
              <w:rPr/>
              <w:t>Compliance; Permits</w:t>
            </w:r>
          </w:p>
        </w:tc>
        <w:tc>
          <w:tcPr>
            <w:tcW w:w="260" w:type="dxa"/>
            <w:tcBorders/>
            <w:shd w:fill="CCEEFF" w:val="clear"/>
            <w:vAlign w:val="center"/>
          </w:tcPr>
          <w:p>
            <w:pPr>
              <w:pStyle w:val="TableContents"/>
              <w:bidi w:val="0"/>
              <w:spacing w:before="0" w:after="0"/>
              <w:jc w:val="right"/>
              <w:rPr/>
            </w:pPr>
            <w:r>
              <w:rPr/>
              <w:t>24</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2.15</w:t>
            </w:r>
          </w:p>
        </w:tc>
        <w:tc>
          <w:tcPr>
            <w:tcW w:w="4220" w:type="dxa"/>
            <w:tcBorders/>
            <w:shd w:fill="CCEEFF" w:val="clear"/>
            <w:vAlign w:val="center"/>
          </w:tcPr>
          <w:p>
            <w:pPr>
              <w:pStyle w:val="TableContents"/>
              <w:bidi w:val="0"/>
              <w:spacing w:before="0" w:after="0"/>
              <w:jc w:val="left"/>
              <w:rPr/>
            </w:pPr>
            <w:r>
              <w:rPr/>
              <w:t>Legal Proceedings; Orders.</w:t>
            </w:r>
          </w:p>
        </w:tc>
        <w:tc>
          <w:tcPr>
            <w:tcW w:w="260" w:type="dxa"/>
            <w:tcBorders/>
            <w:shd w:fill="CCEEFF" w:val="clear"/>
            <w:vAlign w:val="center"/>
          </w:tcPr>
          <w:p>
            <w:pPr>
              <w:pStyle w:val="TableContents"/>
              <w:bidi w:val="0"/>
              <w:spacing w:before="0" w:after="0"/>
              <w:jc w:val="right"/>
              <w:rPr/>
            </w:pPr>
            <w:r>
              <w:rPr/>
              <w:t>25</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2.16</w:t>
            </w:r>
          </w:p>
        </w:tc>
        <w:tc>
          <w:tcPr>
            <w:tcW w:w="4220" w:type="dxa"/>
            <w:tcBorders/>
            <w:shd w:fill="CCEEFF" w:val="clear"/>
            <w:vAlign w:val="center"/>
          </w:tcPr>
          <w:p>
            <w:pPr>
              <w:pStyle w:val="TableContents"/>
              <w:bidi w:val="0"/>
              <w:spacing w:before="0" w:after="0"/>
              <w:jc w:val="left"/>
              <w:rPr/>
            </w:pPr>
            <w:r>
              <w:rPr/>
              <w:t>Tax Matters.</w:t>
            </w:r>
          </w:p>
        </w:tc>
        <w:tc>
          <w:tcPr>
            <w:tcW w:w="260" w:type="dxa"/>
            <w:tcBorders/>
            <w:shd w:fill="CCEEFF" w:val="clear"/>
            <w:vAlign w:val="center"/>
          </w:tcPr>
          <w:p>
            <w:pPr>
              <w:pStyle w:val="TableContents"/>
              <w:bidi w:val="0"/>
              <w:spacing w:before="0" w:after="0"/>
              <w:jc w:val="right"/>
              <w:rPr/>
            </w:pPr>
            <w:r>
              <w:rPr/>
              <w:t>25</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2.17</w:t>
            </w:r>
          </w:p>
        </w:tc>
        <w:tc>
          <w:tcPr>
            <w:tcW w:w="4220" w:type="dxa"/>
            <w:tcBorders/>
            <w:shd w:fill="CCEEFF" w:val="clear"/>
            <w:vAlign w:val="center"/>
          </w:tcPr>
          <w:p>
            <w:pPr>
              <w:pStyle w:val="TableContents"/>
              <w:bidi w:val="0"/>
              <w:spacing w:before="0" w:after="0"/>
              <w:jc w:val="left"/>
              <w:rPr/>
            </w:pPr>
            <w:r>
              <w:rPr/>
              <w:t>Employee and Labor Matters; Benefit Plans.</w:t>
            </w:r>
          </w:p>
        </w:tc>
        <w:tc>
          <w:tcPr>
            <w:tcW w:w="260" w:type="dxa"/>
            <w:tcBorders/>
            <w:shd w:fill="CCEEFF" w:val="clear"/>
            <w:vAlign w:val="center"/>
          </w:tcPr>
          <w:p>
            <w:pPr>
              <w:pStyle w:val="TableContents"/>
              <w:bidi w:val="0"/>
              <w:spacing w:before="0" w:after="0"/>
              <w:jc w:val="right"/>
              <w:rPr/>
            </w:pPr>
            <w:r>
              <w:rPr/>
              <w:t>28</w:t>
            </w:r>
          </w:p>
        </w:tc>
      </w:tr>
      <w:tr>
        <w:trPr/>
        <w:tc>
          <w:tcPr>
            <w:tcW w:w="440" w:type="dxa"/>
            <w:tcBorders/>
            <w:vAlign w:val="center"/>
          </w:tcPr>
          <w:p>
            <w:pPr>
              <w:pStyle w:val="TableContents"/>
              <w:bidi w:val="0"/>
              <w:spacing w:before="0" w:after="283"/>
              <w:jc w:val="center"/>
              <w:rPr/>
            </w:pPr>
            <w:r>
              <w:rPr/>
              <w:t> </w:t>
            </w:r>
          </w:p>
        </w:tc>
        <w:tc>
          <w:tcPr>
            <w:tcW w:w="4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440" w:type="dxa"/>
            <w:tcBorders/>
            <w:shd w:fill="CCEEFF" w:val="clear"/>
            <w:vAlign w:val="center"/>
          </w:tcPr>
          <w:p>
            <w:pPr>
              <w:pStyle w:val="TableContents"/>
              <w:bidi w:val="0"/>
              <w:spacing w:before="0" w:after="0"/>
              <w:jc w:val="center"/>
              <w:rPr/>
            </w:pPr>
            <w:r>
              <w:rPr/>
              <w:t>2.18</w:t>
            </w:r>
          </w:p>
        </w:tc>
        <w:tc>
          <w:tcPr>
            <w:tcW w:w="4220" w:type="dxa"/>
            <w:tcBorders/>
            <w:shd w:fill="CCEEFF" w:val="clear"/>
            <w:vAlign w:val="center"/>
          </w:tcPr>
          <w:p>
            <w:pPr>
              <w:pStyle w:val="TableContents"/>
              <w:bidi w:val="0"/>
              <w:spacing w:before="0" w:after="0"/>
              <w:jc w:val="left"/>
              <w:rPr/>
            </w:pPr>
            <w:r>
              <w:rPr/>
              <w:t>Environmental Matters</w:t>
            </w:r>
          </w:p>
        </w:tc>
        <w:tc>
          <w:tcPr>
            <w:tcW w:w="260" w:type="dxa"/>
            <w:tcBorders/>
            <w:shd w:fill="CCEEFF" w:val="clear"/>
            <w:vAlign w:val="center"/>
          </w:tcPr>
          <w:p>
            <w:pPr>
              <w:pStyle w:val="TableContents"/>
              <w:bidi w:val="0"/>
              <w:spacing w:before="0" w:after="0"/>
              <w:jc w:val="right"/>
              <w:rPr/>
            </w:pPr>
            <w:r>
              <w:rPr/>
              <w:t>31</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TABLE OF CONTENTS</w:t>
      </w:r>
      <w:r>
        <w:rPr>
          <w:rFonts w:ascii="Times New Roman" w:hAnsi="Times New Roman"/>
          <w:color w:val="000000"/>
          <w:sz w:val="20"/>
        </w:rPr>
        <w:br/>
        <w:t>(continued)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0d6a1167d96940e29db6346f45cf829f"/>
      <w:bookmarkStart w:id="121" w:name="z0d6a1167d96940e29db6346f45cf829f"/>
      <w:bookmarkEnd w:id="121"/>
    </w:p>
    <w:tbl>
      <w:tblPr>
        <w:tblW w:w="5805" w:type="dxa"/>
        <w:jc w:val="left"/>
        <w:tblInd w:w="0" w:type="dxa"/>
        <w:tblLayout w:type="fixed"/>
        <w:tblCellMar>
          <w:top w:w="0" w:type="dxa"/>
          <w:left w:w="0" w:type="dxa"/>
          <w:bottom w:w="0" w:type="dxa"/>
          <w:right w:w="0" w:type="dxa"/>
        </w:tblCellMar>
      </w:tblPr>
      <w:tblGrid>
        <w:gridCol w:w="455"/>
        <w:gridCol w:w="4850"/>
        <w:gridCol w:w="500"/>
      </w:tblGrid>
      <w:tr>
        <w:trPr/>
        <w:tc>
          <w:tcPr>
            <w:tcW w:w="45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Page</w:t>
            </w:r>
          </w:p>
        </w:tc>
      </w:tr>
      <w:tr>
        <w:trPr/>
        <w:tc>
          <w:tcPr>
            <w:tcW w:w="45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center"/>
              <w:rPr/>
            </w:pPr>
            <w:r>
              <w:rPr/>
              <w:t>2.19</w:t>
            </w:r>
          </w:p>
        </w:tc>
        <w:tc>
          <w:tcPr>
            <w:tcW w:w="4850" w:type="dxa"/>
            <w:tcBorders/>
            <w:shd w:fill="CCEEFF" w:val="clear"/>
            <w:vAlign w:val="center"/>
          </w:tcPr>
          <w:p>
            <w:pPr>
              <w:pStyle w:val="TableContents"/>
              <w:bidi w:val="0"/>
              <w:spacing w:before="0" w:after="0"/>
              <w:jc w:val="left"/>
              <w:rPr/>
            </w:pPr>
            <w:r>
              <w:rPr/>
              <w:t>Insurance</w:t>
            </w:r>
          </w:p>
        </w:tc>
        <w:tc>
          <w:tcPr>
            <w:tcW w:w="500" w:type="dxa"/>
            <w:tcBorders/>
            <w:shd w:fill="CCEEFF" w:val="clear"/>
            <w:vAlign w:val="center"/>
          </w:tcPr>
          <w:p>
            <w:pPr>
              <w:pStyle w:val="TableContents"/>
              <w:bidi w:val="0"/>
              <w:spacing w:before="0" w:after="0"/>
              <w:jc w:val="right"/>
              <w:rPr/>
            </w:pPr>
            <w:r>
              <w:rPr/>
              <w:t>31</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2.20</w:t>
            </w:r>
          </w:p>
        </w:tc>
        <w:tc>
          <w:tcPr>
            <w:tcW w:w="4850" w:type="dxa"/>
            <w:tcBorders/>
            <w:shd w:fill="CCEEFF" w:val="clear"/>
            <w:vAlign w:val="center"/>
          </w:tcPr>
          <w:p>
            <w:pPr>
              <w:pStyle w:val="TableContents"/>
              <w:bidi w:val="0"/>
              <w:spacing w:before="0" w:after="0"/>
              <w:jc w:val="left"/>
              <w:rPr/>
            </w:pPr>
            <w:r>
              <w:rPr/>
              <w:t>No Financial Advisors</w:t>
            </w:r>
          </w:p>
        </w:tc>
        <w:tc>
          <w:tcPr>
            <w:tcW w:w="500" w:type="dxa"/>
            <w:tcBorders/>
            <w:shd w:fill="CCEEFF" w:val="clear"/>
            <w:vAlign w:val="center"/>
          </w:tcPr>
          <w:p>
            <w:pPr>
              <w:pStyle w:val="TableContents"/>
              <w:bidi w:val="0"/>
              <w:spacing w:before="0" w:after="0"/>
              <w:jc w:val="right"/>
              <w:rPr/>
            </w:pPr>
            <w:r>
              <w:rPr/>
              <w:t>32</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2.21</w:t>
            </w:r>
          </w:p>
        </w:tc>
        <w:tc>
          <w:tcPr>
            <w:tcW w:w="4850" w:type="dxa"/>
            <w:tcBorders/>
            <w:shd w:fill="CCEEFF" w:val="clear"/>
            <w:vAlign w:val="center"/>
          </w:tcPr>
          <w:p>
            <w:pPr>
              <w:pStyle w:val="TableContents"/>
              <w:bidi w:val="0"/>
              <w:spacing w:before="0" w:after="0"/>
              <w:jc w:val="left"/>
              <w:rPr/>
            </w:pPr>
            <w:r>
              <w:rPr/>
              <w:t>Transactions with Affiliates.</w:t>
            </w:r>
          </w:p>
        </w:tc>
        <w:tc>
          <w:tcPr>
            <w:tcW w:w="500" w:type="dxa"/>
            <w:tcBorders/>
            <w:shd w:fill="CCEEFF" w:val="clear"/>
            <w:vAlign w:val="center"/>
          </w:tcPr>
          <w:p>
            <w:pPr>
              <w:pStyle w:val="TableContents"/>
              <w:bidi w:val="0"/>
              <w:spacing w:before="0" w:after="0"/>
              <w:jc w:val="right"/>
              <w:rPr/>
            </w:pPr>
            <w:r>
              <w:rPr/>
              <w:t>32</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2.22</w:t>
            </w:r>
          </w:p>
        </w:tc>
        <w:tc>
          <w:tcPr>
            <w:tcW w:w="4850" w:type="dxa"/>
            <w:tcBorders/>
            <w:shd w:fill="CCEEFF" w:val="clear"/>
            <w:vAlign w:val="center"/>
          </w:tcPr>
          <w:p>
            <w:pPr>
              <w:pStyle w:val="TableContents"/>
              <w:bidi w:val="0"/>
              <w:spacing w:before="0" w:after="0"/>
              <w:jc w:val="left"/>
              <w:rPr/>
            </w:pPr>
            <w:r>
              <w:rPr/>
              <w:t>Anti-Bribery</w:t>
            </w:r>
          </w:p>
        </w:tc>
        <w:tc>
          <w:tcPr>
            <w:tcW w:w="500" w:type="dxa"/>
            <w:tcBorders/>
            <w:shd w:fill="CCEEFF" w:val="clear"/>
            <w:vAlign w:val="center"/>
          </w:tcPr>
          <w:p>
            <w:pPr>
              <w:pStyle w:val="TableContents"/>
              <w:bidi w:val="0"/>
              <w:spacing w:before="0" w:after="0"/>
              <w:jc w:val="right"/>
              <w:rPr/>
            </w:pPr>
            <w:r>
              <w:rPr/>
              <w:t>32</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2.23</w:t>
            </w:r>
          </w:p>
        </w:tc>
        <w:tc>
          <w:tcPr>
            <w:tcW w:w="4850" w:type="dxa"/>
            <w:tcBorders/>
            <w:shd w:fill="CCEEFF" w:val="clear"/>
            <w:vAlign w:val="center"/>
          </w:tcPr>
          <w:p>
            <w:pPr>
              <w:pStyle w:val="TableContents"/>
              <w:bidi w:val="0"/>
              <w:spacing w:before="0" w:after="0"/>
              <w:jc w:val="left"/>
              <w:rPr/>
            </w:pPr>
            <w:r>
              <w:rPr/>
              <w:t>Export Control and Sanctions Compliance</w:t>
            </w:r>
          </w:p>
        </w:tc>
        <w:tc>
          <w:tcPr>
            <w:tcW w:w="500" w:type="dxa"/>
            <w:tcBorders/>
            <w:shd w:fill="CCEEFF" w:val="clear"/>
            <w:vAlign w:val="center"/>
          </w:tcPr>
          <w:p>
            <w:pPr>
              <w:pStyle w:val="TableContents"/>
              <w:bidi w:val="0"/>
              <w:spacing w:before="0" w:after="0"/>
              <w:jc w:val="right"/>
              <w:rPr/>
            </w:pPr>
            <w:r>
              <w:rPr/>
              <w:t>32</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2.24</w:t>
            </w:r>
          </w:p>
        </w:tc>
        <w:tc>
          <w:tcPr>
            <w:tcW w:w="4850" w:type="dxa"/>
            <w:tcBorders/>
            <w:shd w:fill="CCEEFF" w:val="clear"/>
            <w:vAlign w:val="center"/>
          </w:tcPr>
          <w:p>
            <w:pPr>
              <w:pStyle w:val="TableContents"/>
              <w:bidi w:val="0"/>
              <w:spacing w:before="0" w:after="0"/>
              <w:jc w:val="left"/>
              <w:rPr/>
            </w:pPr>
            <w:r>
              <w:rPr/>
              <w:t>Disclaimer of Other Representations or Warranties.</w:t>
            </w:r>
          </w:p>
        </w:tc>
        <w:tc>
          <w:tcPr>
            <w:tcW w:w="500" w:type="dxa"/>
            <w:tcBorders/>
            <w:shd w:fill="CCEEFF" w:val="clear"/>
            <w:vAlign w:val="center"/>
          </w:tcPr>
          <w:p>
            <w:pPr>
              <w:pStyle w:val="TableContents"/>
              <w:bidi w:val="0"/>
              <w:spacing w:before="0" w:after="0"/>
              <w:jc w:val="right"/>
              <w:rPr/>
            </w:pPr>
            <w:r>
              <w:rPr/>
              <w:t>33</w:t>
            </w:r>
          </w:p>
        </w:tc>
      </w:tr>
      <w:tr>
        <w:trPr/>
        <w:tc>
          <w:tcPr>
            <w:tcW w:w="45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r>
    </w:tbl>
    <w:p>
      <w:pPr>
        <w:pStyle w:val="Normal"/>
        <w:bidi w:val="0"/>
        <w:spacing w:before="0" w:after="0"/>
        <w:jc w:val="left"/>
        <w:rPr>
          <w:sz w:val="4"/>
          <w:szCs w:val="4"/>
        </w:rPr>
      </w:pPr>
      <w:r>
        <w:rPr>
          <w:sz w:val="4"/>
          <w:szCs w:val="4"/>
        </w:rPr>
      </w:r>
      <w:bookmarkStart w:id="122" w:name="ze5afc5647eee45e5802e12561c859f25"/>
      <w:bookmarkStart w:id="123" w:name="ze5afc5647eee45e5802e12561c859f25"/>
      <w:bookmarkEnd w:id="123"/>
    </w:p>
    <w:tbl>
      <w:tblPr>
        <w:tblW w:w="9570" w:type="dxa"/>
        <w:jc w:val="left"/>
        <w:tblInd w:w="0" w:type="dxa"/>
        <w:tblLayout w:type="fixed"/>
        <w:tblCellMar>
          <w:top w:w="0" w:type="dxa"/>
          <w:left w:w="0" w:type="dxa"/>
          <w:bottom w:w="0" w:type="dxa"/>
          <w:right w:w="0" w:type="dxa"/>
        </w:tblCellMar>
      </w:tblPr>
      <w:tblGrid>
        <w:gridCol w:w="980"/>
        <w:gridCol w:w="8315"/>
        <w:gridCol w:w="275"/>
      </w:tblGrid>
      <w:tr>
        <w:trPr/>
        <w:tc>
          <w:tcPr>
            <w:tcW w:w="980" w:type="dxa"/>
            <w:tcBorders/>
            <w:shd w:fill="CCEEFF" w:val="clear"/>
            <w:vAlign w:val="center"/>
          </w:tcPr>
          <w:p>
            <w:pPr>
              <w:pStyle w:val="TableContents"/>
              <w:bidi w:val="0"/>
              <w:spacing w:before="0" w:after="0"/>
              <w:jc w:val="left"/>
              <w:rPr/>
            </w:pPr>
            <w:r>
              <w:rPr/>
              <w:t>Section 3.</w:t>
            </w:r>
          </w:p>
        </w:tc>
        <w:tc>
          <w:tcPr>
            <w:tcW w:w="8315" w:type="dxa"/>
            <w:tcBorders/>
            <w:shd w:fill="CCEEFF" w:val="clear"/>
            <w:vAlign w:val="center"/>
          </w:tcPr>
          <w:p>
            <w:pPr>
              <w:pStyle w:val="TableContents"/>
              <w:bidi w:val="0"/>
              <w:spacing w:before="0" w:after="0"/>
              <w:jc w:val="left"/>
              <w:rPr/>
            </w:pPr>
            <w:r>
              <w:rPr/>
              <w:t>REPRESENTATIONS AND WARRANTIES OF PARENT AND MERGER SUBS</w:t>
            </w:r>
          </w:p>
        </w:tc>
        <w:tc>
          <w:tcPr>
            <w:tcW w:w="275" w:type="dxa"/>
            <w:tcBorders/>
            <w:shd w:fill="CCEEFF" w:val="clear"/>
            <w:vAlign w:val="center"/>
          </w:tcPr>
          <w:p>
            <w:pPr>
              <w:pStyle w:val="TableContents"/>
              <w:bidi w:val="0"/>
              <w:spacing w:before="0" w:after="0"/>
              <w:jc w:val="right"/>
              <w:rPr/>
            </w:pPr>
            <w:r>
              <w:rPr/>
              <w:t>33</w:t>
            </w:r>
          </w:p>
        </w:tc>
      </w:tr>
    </w:tbl>
    <w:p>
      <w:pPr>
        <w:pStyle w:val="Normal"/>
        <w:bidi w:val="0"/>
        <w:spacing w:before="0" w:after="0"/>
        <w:jc w:val="left"/>
        <w:rPr>
          <w:sz w:val="4"/>
          <w:szCs w:val="4"/>
        </w:rPr>
      </w:pPr>
      <w:r>
        <w:rPr>
          <w:sz w:val="4"/>
          <w:szCs w:val="4"/>
        </w:rPr>
      </w:r>
      <w:bookmarkStart w:id="124" w:name="zdad3d9ba7e864deca875fdb685fa5c51"/>
      <w:bookmarkStart w:id="125" w:name="zdad3d9ba7e864deca875fdb685fa5c51"/>
      <w:bookmarkEnd w:id="125"/>
    </w:p>
    <w:tbl>
      <w:tblPr>
        <w:tblW w:w="5580" w:type="dxa"/>
        <w:jc w:val="left"/>
        <w:tblInd w:w="0" w:type="dxa"/>
        <w:tblLayout w:type="fixed"/>
        <w:tblCellMar>
          <w:top w:w="0" w:type="dxa"/>
          <w:left w:w="0" w:type="dxa"/>
          <w:bottom w:w="0" w:type="dxa"/>
          <w:right w:w="0" w:type="dxa"/>
        </w:tblCellMar>
      </w:tblPr>
      <w:tblGrid>
        <w:gridCol w:w="455"/>
        <w:gridCol w:w="4850"/>
        <w:gridCol w:w="275"/>
      </w:tblGrid>
      <w:tr>
        <w:trPr/>
        <w:tc>
          <w:tcPr>
            <w:tcW w:w="45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w:t>
            </w:r>
          </w:p>
        </w:tc>
        <w:tc>
          <w:tcPr>
            <w:tcW w:w="4850" w:type="dxa"/>
            <w:tcBorders/>
            <w:shd w:fill="CCEEFF" w:val="clear"/>
            <w:vAlign w:val="center"/>
          </w:tcPr>
          <w:p>
            <w:pPr>
              <w:pStyle w:val="TableContents"/>
              <w:bidi w:val="0"/>
              <w:spacing w:before="0" w:after="0"/>
              <w:jc w:val="left"/>
              <w:rPr/>
            </w:pPr>
            <w:r>
              <w:rPr/>
              <w:t>Due Organization; Subsidiaries.</w:t>
            </w:r>
          </w:p>
        </w:tc>
        <w:tc>
          <w:tcPr>
            <w:tcW w:w="275" w:type="dxa"/>
            <w:tcBorders/>
            <w:shd w:fill="CCEEFF" w:val="clear"/>
            <w:vAlign w:val="center"/>
          </w:tcPr>
          <w:p>
            <w:pPr>
              <w:pStyle w:val="TableContents"/>
              <w:bidi w:val="0"/>
              <w:spacing w:before="0" w:after="0"/>
              <w:jc w:val="right"/>
              <w:rPr/>
            </w:pPr>
            <w:r>
              <w:rPr/>
              <w:t>34</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w:t>
            </w:r>
          </w:p>
        </w:tc>
        <w:tc>
          <w:tcPr>
            <w:tcW w:w="4850" w:type="dxa"/>
            <w:tcBorders/>
            <w:shd w:fill="CCEEFF" w:val="clear"/>
            <w:vAlign w:val="center"/>
          </w:tcPr>
          <w:p>
            <w:pPr>
              <w:pStyle w:val="TableContents"/>
              <w:bidi w:val="0"/>
              <w:spacing w:before="0" w:after="0"/>
              <w:jc w:val="left"/>
              <w:rPr/>
            </w:pPr>
            <w:r>
              <w:rPr/>
              <w:t>Organizational Documents</w:t>
            </w:r>
          </w:p>
        </w:tc>
        <w:tc>
          <w:tcPr>
            <w:tcW w:w="275" w:type="dxa"/>
            <w:tcBorders/>
            <w:shd w:fill="CCEEFF" w:val="clear"/>
            <w:vAlign w:val="center"/>
          </w:tcPr>
          <w:p>
            <w:pPr>
              <w:pStyle w:val="TableContents"/>
              <w:bidi w:val="0"/>
              <w:spacing w:before="0" w:after="0"/>
              <w:jc w:val="right"/>
              <w:rPr/>
            </w:pPr>
            <w:r>
              <w:rPr/>
              <w:t>34</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3.3</w:t>
            </w:r>
          </w:p>
        </w:tc>
        <w:tc>
          <w:tcPr>
            <w:tcW w:w="4850" w:type="dxa"/>
            <w:tcBorders/>
            <w:shd w:fill="CCEEFF" w:val="clear"/>
            <w:vAlign w:val="center"/>
          </w:tcPr>
          <w:p>
            <w:pPr>
              <w:pStyle w:val="TableContents"/>
              <w:bidi w:val="0"/>
              <w:spacing w:before="0" w:after="0"/>
              <w:jc w:val="left"/>
              <w:rPr/>
            </w:pPr>
            <w:r>
              <w:rPr/>
              <w:t>Authority; Binding Nature of Agreement.</w:t>
            </w:r>
          </w:p>
        </w:tc>
        <w:tc>
          <w:tcPr>
            <w:tcW w:w="275" w:type="dxa"/>
            <w:tcBorders/>
            <w:shd w:fill="CCEEFF" w:val="clear"/>
            <w:vAlign w:val="center"/>
          </w:tcPr>
          <w:p>
            <w:pPr>
              <w:pStyle w:val="TableContents"/>
              <w:bidi w:val="0"/>
              <w:spacing w:before="0" w:after="0"/>
              <w:jc w:val="right"/>
              <w:rPr/>
            </w:pPr>
            <w:r>
              <w:rPr/>
              <w:t>35</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3.4</w:t>
            </w:r>
          </w:p>
        </w:tc>
        <w:tc>
          <w:tcPr>
            <w:tcW w:w="4850" w:type="dxa"/>
            <w:tcBorders/>
            <w:shd w:fill="CCEEFF" w:val="clear"/>
            <w:vAlign w:val="center"/>
          </w:tcPr>
          <w:p>
            <w:pPr>
              <w:pStyle w:val="TableContents"/>
              <w:bidi w:val="0"/>
              <w:spacing w:before="0" w:after="0"/>
              <w:jc w:val="left"/>
              <w:rPr/>
            </w:pPr>
            <w:r>
              <w:rPr/>
              <w:t>Vote Required</w:t>
            </w:r>
          </w:p>
        </w:tc>
        <w:tc>
          <w:tcPr>
            <w:tcW w:w="275" w:type="dxa"/>
            <w:tcBorders/>
            <w:shd w:fill="CCEEFF" w:val="clear"/>
            <w:vAlign w:val="center"/>
          </w:tcPr>
          <w:p>
            <w:pPr>
              <w:pStyle w:val="TableContents"/>
              <w:bidi w:val="0"/>
              <w:spacing w:before="0" w:after="0"/>
              <w:jc w:val="right"/>
              <w:rPr/>
            </w:pPr>
            <w:r>
              <w:rPr/>
              <w:t>35</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3.5</w:t>
            </w:r>
          </w:p>
        </w:tc>
        <w:tc>
          <w:tcPr>
            <w:tcW w:w="4850" w:type="dxa"/>
            <w:tcBorders/>
            <w:shd w:fill="CCEEFF" w:val="clear"/>
            <w:vAlign w:val="center"/>
          </w:tcPr>
          <w:p>
            <w:pPr>
              <w:pStyle w:val="TableContents"/>
              <w:bidi w:val="0"/>
              <w:spacing w:before="0" w:after="0"/>
              <w:jc w:val="left"/>
              <w:rPr/>
            </w:pPr>
            <w:r>
              <w:rPr/>
              <w:t>Non-Contravention; Consents</w:t>
            </w:r>
          </w:p>
        </w:tc>
        <w:tc>
          <w:tcPr>
            <w:tcW w:w="275" w:type="dxa"/>
            <w:tcBorders/>
            <w:shd w:fill="CCEEFF" w:val="clear"/>
            <w:vAlign w:val="center"/>
          </w:tcPr>
          <w:p>
            <w:pPr>
              <w:pStyle w:val="TableContents"/>
              <w:bidi w:val="0"/>
              <w:spacing w:before="0" w:after="0"/>
              <w:jc w:val="right"/>
              <w:rPr/>
            </w:pPr>
            <w:r>
              <w:rPr/>
              <w:t>35</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3.6</w:t>
            </w:r>
          </w:p>
        </w:tc>
        <w:tc>
          <w:tcPr>
            <w:tcW w:w="4850" w:type="dxa"/>
            <w:tcBorders/>
            <w:shd w:fill="CCEEFF" w:val="clear"/>
            <w:vAlign w:val="center"/>
          </w:tcPr>
          <w:p>
            <w:pPr>
              <w:pStyle w:val="TableContents"/>
              <w:bidi w:val="0"/>
              <w:spacing w:before="0" w:after="0"/>
              <w:jc w:val="left"/>
              <w:rPr/>
            </w:pPr>
            <w:r>
              <w:rPr/>
              <w:t>Capitalization.</w:t>
            </w:r>
          </w:p>
        </w:tc>
        <w:tc>
          <w:tcPr>
            <w:tcW w:w="275" w:type="dxa"/>
            <w:tcBorders/>
            <w:shd w:fill="CCEEFF" w:val="clear"/>
            <w:vAlign w:val="center"/>
          </w:tcPr>
          <w:p>
            <w:pPr>
              <w:pStyle w:val="TableContents"/>
              <w:bidi w:val="0"/>
              <w:spacing w:before="0" w:after="0"/>
              <w:jc w:val="right"/>
              <w:rPr/>
            </w:pPr>
            <w:r>
              <w:rPr/>
              <w:t>37</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3.7</w:t>
            </w:r>
          </w:p>
        </w:tc>
        <w:tc>
          <w:tcPr>
            <w:tcW w:w="4850" w:type="dxa"/>
            <w:tcBorders/>
            <w:shd w:fill="CCEEFF" w:val="clear"/>
            <w:vAlign w:val="center"/>
          </w:tcPr>
          <w:p>
            <w:pPr>
              <w:pStyle w:val="TableContents"/>
              <w:bidi w:val="0"/>
              <w:spacing w:before="0" w:after="0"/>
              <w:jc w:val="left"/>
              <w:rPr/>
            </w:pPr>
            <w:r>
              <w:rPr/>
              <w:t>SEC Filings; Financial Statements.</w:t>
            </w:r>
          </w:p>
        </w:tc>
        <w:tc>
          <w:tcPr>
            <w:tcW w:w="275" w:type="dxa"/>
            <w:tcBorders/>
            <w:shd w:fill="CCEEFF" w:val="clear"/>
            <w:vAlign w:val="center"/>
          </w:tcPr>
          <w:p>
            <w:pPr>
              <w:pStyle w:val="TableContents"/>
              <w:bidi w:val="0"/>
              <w:spacing w:before="0" w:after="0"/>
              <w:jc w:val="right"/>
              <w:rPr/>
            </w:pPr>
            <w:r>
              <w:rPr/>
              <w:t>39</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3.8</w:t>
            </w:r>
          </w:p>
        </w:tc>
        <w:tc>
          <w:tcPr>
            <w:tcW w:w="4850" w:type="dxa"/>
            <w:tcBorders/>
            <w:shd w:fill="CCEEFF" w:val="clear"/>
            <w:vAlign w:val="center"/>
          </w:tcPr>
          <w:p>
            <w:pPr>
              <w:pStyle w:val="TableContents"/>
              <w:bidi w:val="0"/>
              <w:spacing w:before="0" w:after="0"/>
              <w:jc w:val="left"/>
              <w:rPr/>
            </w:pPr>
            <w:r>
              <w:rPr/>
              <w:t>Absence of Changes</w:t>
            </w:r>
          </w:p>
        </w:tc>
        <w:tc>
          <w:tcPr>
            <w:tcW w:w="275" w:type="dxa"/>
            <w:tcBorders/>
            <w:shd w:fill="CCEEFF" w:val="clear"/>
            <w:vAlign w:val="center"/>
          </w:tcPr>
          <w:p>
            <w:pPr>
              <w:pStyle w:val="TableContents"/>
              <w:bidi w:val="0"/>
              <w:spacing w:before="0" w:after="0"/>
              <w:jc w:val="right"/>
              <w:rPr/>
            </w:pPr>
            <w:r>
              <w:rPr/>
              <w:t>41</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3.9</w:t>
            </w:r>
          </w:p>
        </w:tc>
        <w:tc>
          <w:tcPr>
            <w:tcW w:w="4850" w:type="dxa"/>
            <w:tcBorders/>
            <w:shd w:fill="CCEEFF" w:val="clear"/>
            <w:vAlign w:val="center"/>
          </w:tcPr>
          <w:p>
            <w:pPr>
              <w:pStyle w:val="TableContents"/>
              <w:bidi w:val="0"/>
              <w:spacing w:before="0" w:after="0"/>
              <w:jc w:val="left"/>
              <w:rPr/>
            </w:pPr>
            <w:r>
              <w:rPr/>
              <w:t>Absence of Undisclosed Liabilities</w:t>
            </w:r>
          </w:p>
        </w:tc>
        <w:tc>
          <w:tcPr>
            <w:tcW w:w="275" w:type="dxa"/>
            <w:tcBorders/>
            <w:shd w:fill="CCEEFF" w:val="clear"/>
            <w:vAlign w:val="center"/>
          </w:tcPr>
          <w:p>
            <w:pPr>
              <w:pStyle w:val="TableContents"/>
              <w:bidi w:val="0"/>
              <w:spacing w:before="0" w:after="0"/>
              <w:jc w:val="right"/>
              <w:rPr/>
            </w:pPr>
            <w:r>
              <w:rPr/>
              <w:t>43</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3.10</w:t>
            </w:r>
          </w:p>
        </w:tc>
        <w:tc>
          <w:tcPr>
            <w:tcW w:w="4850" w:type="dxa"/>
            <w:tcBorders/>
            <w:shd w:fill="CCEEFF" w:val="clear"/>
            <w:vAlign w:val="center"/>
          </w:tcPr>
          <w:p>
            <w:pPr>
              <w:pStyle w:val="TableContents"/>
              <w:bidi w:val="0"/>
              <w:spacing w:before="0" w:after="0"/>
              <w:jc w:val="left"/>
              <w:rPr/>
            </w:pPr>
            <w:r>
              <w:rPr/>
              <w:t>Title to Assets</w:t>
            </w:r>
          </w:p>
        </w:tc>
        <w:tc>
          <w:tcPr>
            <w:tcW w:w="275" w:type="dxa"/>
            <w:tcBorders/>
            <w:shd w:fill="CCEEFF" w:val="clear"/>
            <w:vAlign w:val="center"/>
          </w:tcPr>
          <w:p>
            <w:pPr>
              <w:pStyle w:val="TableContents"/>
              <w:bidi w:val="0"/>
              <w:spacing w:before="0" w:after="0"/>
              <w:jc w:val="right"/>
              <w:rPr/>
            </w:pPr>
            <w:r>
              <w:rPr/>
              <w:t>43</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3.11</w:t>
            </w:r>
          </w:p>
        </w:tc>
        <w:tc>
          <w:tcPr>
            <w:tcW w:w="4850" w:type="dxa"/>
            <w:tcBorders/>
            <w:shd w:fill="CCEEFF" w:val="clear"/>
            <w:vAlign w:val="center"/>
          </w:tcPr>
          <w:p>
            <w:pPr>
              <w:pStyle w:val="TableContents"/>
              <w:bidi w:val="0"/>
              <w:spacing w:before="0" w:after="0"/>
              <w:jc w:val="left"/>
              <w:rPr/>
            </w:pPr>
            <w:r>
              <w:rPr/>
              <w:t>Real Property; Leasehold</w:t>
            </w:r>
          </w:p>
        </w:tc>
        <w:tc>
          <w:tcPr>
            <w:tcW w:w="275" w:type="dxa"/>
            <w:tcBorders/>
            <w:shd w:fill="CCEEFF" w:val="clear"/>
            <w:vAlign w:val="center"/>
          </w:tcPr>
          <w:p>
            <w:pPr>
              <w:pStyle w:val="TableContents"/>
              <w:bidi w:val="0"/>
              <w:spacing w:before="0" w:after="0"/>
              <w:jc w:val="right"/>
              <w:rPr/>
            </w:pPr>
            <w:r>
              <w:rPr/>
              <w:t>43</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3.12</w:t>
            </w:r>
          </w:p>
        </w:tc>
        <w:tc>
          <w:tcPr>
            <w:tcW w:w="4850" w:type="dxa"/>
            <w:tcBorders/>
            <w:shd w:fill="CCEEFF" w:val="clear"/>
            <w:vAlign w:val="center"/>
          </w:tcPr>
          <w:p>
            <w:pPr>
              <w:pStyle w:val="TableContents"/>
              <w:bidi w:val="0"/>
              <w:spacing w:before="0" w:after="0"/>
              <w:jc w:val="left"/>
              <w:rPr/>
            </w:pPr>
            <w:r>
              <w:rPr/>
              <w:t>Intellectual Property; Privacy.</w:t>
            </w:r>
          </w:p>
        </w:tc>
        <w:tc>
          <w:tcPr>
            <w:tcW w:w="275" w:type="dxa"/>
            <w:tcBorders/>
            <w:shd w:fill="CCEEFF" w:val="clear"/>
            <w:vAlign w:val="center"/>
          </w:tcPr>
          <w:p>
            <w:pPr>
              <w:pStyle w:val="TableContents"/>
              <w:bidi w:val="0"/>
              <w:spacing w:before="0" w:after="0"/>
              <w:jc w:val="right"/>
              <w:rPr/>
            </w:pPr>
            <w:r>
              <w:rPr/>
              <w:t>44</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3.13</w:t>
            </w:r>
          </w:p>
        </w:tc>
        <w:tc>
          <w:tcPr>
            <w:tcW w:w="4850" w:type="dxa"/>
            <w:tcBorders/>
            <w:shd w:fill="CCEEFF" w:val="clear"/>
            <w:vAlign w:val="center"/>
          </w:tcPr>
          <w:p>
            <w:pPr>
              <w:pStyle w:val="TableContents"/>
              <w:bidi w:val="0"/>
              <w:spacing w:before="0" w:after="0"/>
              <w:jc w:val="left"/>
              <w:rPr/>
            </w:pPr>
            <w:r>
              <w:rPr/>
              <w:t>Agreements, Contracts and Commitments.</w:t>
            </w:r>
          </w:p>
        </w:tc>
        <w:tc>
          <w:tcPr>
            <w:tcW w:w="275" w:type="dxa"/>
            <w:tcBorders/>
            <w:shd w:fill="CCEEFF" w:val="clear"/>
            <w:vAlign w:val="center"/>
          </w:tcPr>
          <w:p>
            <w:pPr>
              <w:pStyle w:val="TableContents"/>
              <w:bidi w:val="0"/>
              <w:spacing w:before="0" w:after="0"/>
              <w:jc w:val="right"/>
              <w:rPr/>
            </w:pPr>
            <w:r>
              <w:rPr/>
              <w:t>46</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3.14</w:t>
            </w:r>
          </w:p>
        </w:tc>
        <w:tc>
          <w:tcPr>
            <w:tcW w:w="4850" w:type="dxa"/>
            <w:tcBorders/>
            <w:shd w:fill="CCEEFF" w:val="clear"/>
            <w:vAlign w:val="center"/>
          </w:tcPr>
          <w:p>
            <w:pPr>
              <w:pStyle w:val="TableContents"/>
              <w:bidi w:val="0"/>
              <w:spacing w:before="0" w:after="0"/>
              <w:jc w:val="left"/>
              <w:rPr/>
            </w:pPr>
            <w:r>
              <w:rPr/>
              <w:t>Compliance; Permits</w:t>
            </w:r>
          </w:p>
        </w:tc>
        <w:tc>
          <w:tcPr>
            <w:tcW w:w="275" w:type="dxa"/>
            <w:tcBorders/>
            <w:shd w:fill="CCEEFF" w:val="clear"/>
            <w:vAlign w:val="center"/>
          </w:tcPr>
          <w:p>
            <w:pPr>
              <w:pStyle w:val="TableContents"/>
              <w:bidi w:val="0"/>
              <w:spacing w:before="0" w:after="0"/>
              <w:jc w:val="right"/>
              <w:rPr/>
            </w:pPr>
            <w:r>
              <w:rPr/>
              <w:t>48</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3.15</w:t>
            </w:r>
          </w:p>
        </w:tc>
        <w:tc>
          <w:tcPr>
            <w:tcW w:w="4850" w:type="dxa"/>
            <w:tcBorders/>
            <w:shd w:fill="CCEEFF" w:val="clear"/>
            <w:vAlign w:val="center"/>
          </w:tcPr>
          <w:p>
            <w:pPr>
              <w:pStyle w:val="TableContents"/>
              <w:bidi w:val="0"/>
              <w:spacing w:before="0" w:after="0"/>
              <w:jc w:val="left"/>
              <w:rPr/>
            </w:pPr>
            <w:r>
              <w:rPr/>
              <w:t>Legal Proceedings; Orders.</w:t>
            </w:r>
          </w:p>
        </w:tc>
        <w:tc>
          <w:tcPr>
            <w:tcW w:w="275" w:type="dxa"/>
            <w:tcBorders/>
            <w:shd w:fill="CCEEFF" w:val="clear"/>
            <w:vAlign w:val="center"/>
          </w:tcPr>
          <w:p>
            <w:pPr>
              <w:pStyle w:val="TableContents"/>
              <w:bidi w:val="0"/>
              <w:spacing w:before="0" w:after="0"/>
              <w:jc w:val="right"/>
              <w:rPr/>
            </w:pPr>
            <w:r>
              <w:rPr/>
              <w:t>49</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3.16</w:t>
            </w:r>
          </w:p>
        </w:tc>
        <w:tc>
          <w:tcPr>
            <w:tcW w:w="4850" w:type="dxa"/>
            <w:tcBorders/>
            <w:shd w:fill="CCEEFF" w:val="clear"/>
            <w:vAlign w:val="center"/>
          </w:tcPr>
          <w:p>
            <w:pPr>
              <w:pStyle w:val="TableContents"/>
              <w:bidi w:val="0"/>
              <w:spacing w:before="0" w:after="0"/>
              <w:jc w:val="left"/>
              <w:rPr/>
            </w:pPr>
            <w:r>
              <w:rPr/>
              <w:t>Tax Matters.</w:t>
            </w:r>
          </w:p>
        </w:tc>
        <w:tc>
          <w:tcPr>
            <w:tcW w:w="275" w:type="dxa"/>
            <w:tcBorders/>
            <w:shd w:fill="CCEEFF" w:val="clear"/>
            <w:vAlign w:val="center"/>
          </w:tcPr>
          <w:p>
            <w:pPr>
              <w:pStyle w:val="TableContents"/>
              <w:bidi w:val="0"/>
              <w:spacing w:before="0" w:after="0"/>
              <w:jc w:val="right"/>
              <w:rPr/>
            </w:pPr>
            <w:r>
              <w:rPr/>
              <w:t>49</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3.17</w:t>
            </w:r>
          </w:p>
        </w:tc>
        <w:tc>
          <w:tcPr>
            <w:tcW w:w="4850" w:type="dxa"/>
            <w:tcBorders/>
            <w:shd w:fill="CCEEFF" w:val="clear"/>
            <w:vAlign w:val="center"/>
          </w:tcPr>
          <w:p>
            <w:pPr>
              <w:pStyle w:val="TableContents"/>
              <w:bidi w:val="0"/>
              <w:spacing w:before="0" w:after="0"/>
              <w:jc w:val="left"/>
              <w:rPr/>
            </w:pPr>
            <w:r>
              <w:rPr/>
              <w:t>Employee and Labor Matters; Benefit Plans.</w:t>
            </w:r>
          </w:p>
        </w:tc>
        <w:tc>
          <w:tcPr>
            <w:tcW w:w="275" w:type="dxa"/>
            <w:tcBorders/>
            <w:shd w:fill="CCEEFF" w:val="clear"/>
            <w:vAlign w:val="center"/>
          </w:tcPr>
          <w:p>
            <w:pPr>
              <w:pStyle w:val="TableContents"/>
              <w:bidi w:val="0"/>
              <w:spacing w:before="0" w:after="0"/>
              <w:jc w:val="right"/>
              <w:rPr/>
            </w:pPr>
            <w:r>
              <w:rPr/>
              <w:t>52</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3.18</w:t>
            </w:r>
          </w:p>
        </w:tc>
        <w:tc>
          <w:tcPr>
            <w:tcW w:w="4850" w:type="dxa"/>
            <w:tcBorders/>
            <w:shd w:fill="CCEEFF" w:val="clear"/>
            <w:vAlign w:val="center"/>
          </w:tcPr>
          <w:p>
            <w:pPr>
              <w:pStyle w:val="TableContents"/>
              <w:bidi w:val="0"/>
              <w:spacing w:before="0" w:after="0"/>
              <w:jc w:val="left"/>
              <w:rPr/>
            </w:pPr>
            <w:r>
              <w:rPr/>
              <w:t>Environmental Matters</w:t>
            </w:r>
          </w:p>
        </w:tc>
        <w:tc>
          <w:tcPr>
            <w:tcW w:w="275" w:type="dxa"/>
            <w:tcBorders/>
            <w:shd w:fill="CCEEFF" w:val="clear"/>
            <w:vAlign w:val="center"/>
          </w:tcPr>
          <w:p>
            <w:pPr>
              <w:pStyle w:val="TableContents"/>
              <w:bidi w:val="0"/>
              <w:spacing w:before="0" w:after="0"/>
              <w:jc w:val="right"/>
              <w:rPr/>
            </w:pPr>
            <w:r>
              <w:rPr/>
              <w:t>55</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3.19</w:t>
            </w:r>
          </w:p>
        </w:tc>
        <w:tc>
          <w:tcPr>
            <w:tcW w:w="4850" w:type="dxa"/>
            <w:tcBorders/>
            <w:shd w:fill="CCEEFF" w:val="clear"/>
            <w:vAlign w:val="center"/>
          </w:tcPr>
          <w:p>
            <w:pPr>
              <w:pStyle w:val="TableContents"/>
              <w:bidi w:val="0"/>
              <w:spacing w:before="0" w:after="0"/>
              <w:jc w:val="left"/>
              <w:rPr/>
            </w:pPr>
            <w:r>
              <w:rPr/>
              <w:t>Transactions with Affiliates</w:t>
            </w:r>
          </w:p>
        </w:tc>
        <w:tc>
          <w:tcPr>
            <w:tcW w:w="275" w:type="dxa"/>
            <w:tcBorders/>
            <w:shd w:fill="CCEEFF" w:val="clear"/>
            <w:vAlign w:val="center"/>
          </w:tcPr>
          <w:p>
            <w:pPr>
              <w:pStyle w:val="TableContents"/>
              <w:bidi w:val="0"/>
              <w:spacing w:before="0" w:after="0"/>
              <w:jc w:val="right"/>
              <w:rPr/>
            </w:pPr>
            <w:r>
              <w:rPr/>
              <w:t>55</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3.20</w:t>
            </w:r>
          </w:p>
        </w:tc>
        <w:tc>
          <w:tcPr>
            <w:tcW w:w="4850" w:type="dxa"/>
            <w:tcBorders/>
            <w:shd w:fill="CCEEFF" w:val="clear"/>
            <w:vAlign w:val="center"/>
          </w:tcPr>
          <w:p>
            <w:pPr>
              <w:pStyle w:val="TableContents"/>
              <w:bidi w:val="0"/>
              <w:spacing w:before="0" w:after="0"/>
              <w:jc w:val="left"/>
              <w:rPr/>
            </w:pPr>
            <w:r>
              <w:rPr/>
              <w:t>Insurance</w:t>
            </w:r>
          </w:p>
        </w:tc>
        <w:tc>
          <w:tcPr>
            <w:tcW w:w="275" w:type="dxa"/>
            <w:tcBorders/>
            <w:shd w:fill="CCEEFF" w:val="clear"/>
            <w:vAlign w:val="center"/>
          </w:tcPr>
          <w:p>
            <w:pPr>
              <w:pStyle w:val="TableContents"/>
              <w:bidi w:val="0"/>
              <w:spacing w:before="0" w:after="0"/>
              <w:jc w:val="right"/>
              <w:rPr/>
            </w:pPr>
            <w:r>
              <w:rPr/>
              <w:t>55</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3.21</w:t>
            </w:r>
          </w:p>
        </w:tc>
        <w:tc>
          <w:tcPr>
            <w:tcW w:w="4850" w:type="dxa"/>
            <w:tcBorders/>
            <w:shd w:fill="CCEEFF" w:val="clear"/>
            <w:vAlign w:val="center"/>
          </w:tcPr>
          <w:p>
            <w:pPr>
              <w:pStyle w:val="TableContents"/>
              <w:bidi w:val="0"/>
              <w:spacing w:before="0" w:after="0"/>
              <w:jc w:val="left"/>
              <w:rPr/>
            </w:pPr>
            <w:r>
              <w:rPr/>
              <w:t>Opinion of Financial Advisor</w:t>
            </w:r>
          </w:p>
        </w:tc>
        <w:tc>
          <w:tcPr>
            <w:tcW w:w="275" w:type="dxa"/>
            <w:tcBorders/>
            <w:shd w:fill="CCEEFF" w:val="clear"/>
            <w:vAlign w:val="center"/>
          </w:tcPr>
          <w:p>
            <w:pPr>
              <w:pStyle w:val="TableContents"/>
              <w:bidi w:val="0"/>
              <w:spacing w:before="0" w:after="0"/>
              <w:jc w:val="right"/>
              <w:rPr/>
            </w:pPr>
            <w:r>
              <w:rPr/>
              <w:t>56</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3.22</w:t>
            </w:r>
          </w:p>
        </w:tc>
        <w:tc>
          <w:tcPr>
            <w:tcW w:w="4850" w:type="dxa"/>
            <w:tcBorders/>
            <w:shd w:fill="CCEEFF" w:val="clear"/>
            <w:vAlign w:val="center"/>
          </w:tcPr>
          <w:p>
            <w:pPr>
              <w:pStyle w:val="TableContents"/>
              <w:bidi w:val="0"/>
              <w:spacing w:before="0" w:after="0"/>
              <w:jc w:val="left"/>
              <w:rPr/>
            </w:pPr>
            <w:r>
              <w:rPr/>
              <w:t>No Financial Advisors</w:t>
            </w:r>
          </w:p>
        </w:tc>
        <w:tc>
          <w:tcPr>
            <w:tcW w:w="275" w:type="dxa"/>
            <w:tcBorders/>
            <w:shd w:fill="CCEEFF" w:val="clear"/>
            <w:vAlign w:val="center"/>
          </w:tcPr>
          <w:p>
            <w:pPr>
              <w:pStyle w:val="TableContents"/>
              <w:bidi w:val="0"/>
              <w:spacing w:before="0" w:after="0"/>
              <w:jc w:val="right"/>
              <w:rPr/>
            </w:pPr>
            <w:r>
              <w:rPr/>
              <w:t>56</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3.23</w:t>
            </w:r>
          </w:p>
        </w:tc>
        <w:tc>
          <w:tcPr>
            <w:tcW w:w="4850" w:type="dxa"/>
            <w:tcBorders/>
            <w:shd w:fill="CCEEFF" w:val="clear"/>
            <w:vAlign w:val="center"/>
          </w:tcPr>
          <w:p>
            <w:pPr>
              <w:pStyle w:val="TableContents"/>
              <w:bidi w:val="0"/>
              <w:spacing w:before="0" w:after="0"/>
              <w:jc w:val="left"/>
              <w:rPr/>
            </w:pPr>
            <w:r>
              <w:rPr/>
              <w:t>Anti-Bribery</w:t>
            </w:r>
          </w:p>
        </w:tc>
        <w:tc>
          <w:tcPr>
            <w:tcW w:w="275" w:type="dxa"/>
            <w:tcBorders/>
            <w:shd w:fill="CCEEFF" w:val="clear"/>
            <w:vAlign w:val="center"/>
          </w:tcPr>
          <w:p>
            <w:pPr>
              <w:pStyle w:val="TableContents"/>
              <w:bidi w:val="0"/>
              <w:spacing w:before="0" w:after="0"/>
              <w:jc w:val="right"/>
              <w:rPr/>
            </w:pPr>
            <w:r>
              <w:rPr/>
              <w:t>56</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3.24</w:t>
            </w:r>
          </w:p>
        </w:tc>
        <w:tc>
          <w:tcPr>
            <w:tcW w:w="4850" w:type="dxa"/>
            <w:tcBorders/>
            <w:shd w:fill="CCEEFF" w:val="clear"/>
            <w:vAlign w:val="center"/>
          </w:tcPr>
          <w:p>
            <w:pPr>
              <w:pStyle w:val="TableContents"/>
              <w:bidi w:val="0"/>
              <w:spacing w:before="0" w:after="0"/>
              <w:jc w:val="left"/>
              <w:rPr/>
            </w:pPr>
            <w:r>
              <w:rPr/>
              <w:t>Valid Issuance</w:t>
            </w:r>
          </w:p>
        </w:tc>
        <w:tc>
          <w:tcPr>
            <w:tcW w:w="275" w:type="dxa"/>
            <w:tcBorders/>
            <w:shd w:fill="CCEEFF" w:val="clear"/>
            <w:vAlign w:val="center"/>
          </w:tcPr>
          <w:p>
            <w:pPr>
              <w:pStyle w:val="TableContents"/>
              <w:bidi w:val="0"/>
              <w:spacing w:before="0" w:after="0"/>
              <w:jc w:val="right"/>
              <w:rPr/>
            </w:pPr>
            <w:r>
              <w:rPr/>
              <w:t>56</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3.25</w:t>
            </w:r>
          </w:p>
        </w:tc>
        <w:tc>
          <w:tcPr>
            <w:tcW w:w="4850" w:type="dxa"/>
            <w:tcBorders/>
            <w:shd w:fill="CCEEFF" w:val="clear"/>
            <w:vAlign w:val="center"/>
          </w:tcPr>
          <w:p>
            <w:pPr>
              <w:pStyle w:val="TableContents"/>
              <w:bidi w:val="0"/>
              <w:spacing w:before="0" w:after="0"/>
              <w:jc w:val="left"/>
              <w:rPr/>
            </w:pPr>
            <w:r>
              <w:rPr/>
              <w:t>Export Control and Sanctions Compliance</w:t>
            </w:r>
          </w:p>
        </w:tc>
        <w:tc>
          <w:tcPr>
            <w:tcW w:w="275" w:type="dxa"/>
            <w:tcBorders/>
            <w:shd w:fill="CCEEFF" w:val="clear"/>
            <w:vAlign w:val="center"/>
          </w:tcPr>
          <w:p>
            <w:pPr>
              <w:pStyle w:val="TableContents"/>
              <w:bidi w:val="0"/>
              <w:spacing w:before="0" w:after="0"/>
              <w:jc w:val="right"/>
              <w:rPr/>
            </w:pPr>
            <w:r>
              <w:rPr/>
              <w:t>57</w:t>
            </w:r>
          </w:p>
        </w:tc>
      </w:tr>
      <w:tr>
        <w:trPr/>
        <w:tc>
          <w:tcPr>
            <w:tcW w:w="455" w:type="dxa"/>
            <w:tcBorders/>
            <w:vAlign w:val="center"/>
          </w:tcPr>
          <w:p>
            <w:pPr>
              <w:pStyle w:val="TableContents"/>
              <w:bidi w:val="0"/>
              <w:spacing w:before="0" w:after="283"/>
              <w:jc w:val="center"/>
              <w:rPr/>
            </w:pPr>
            <w:r>
              <w:rPr/>
              <w:t> </w:t>
            </w:r>
          </w:p>
        </w:tc>
        <w:tc>
          <w:tcPr>
            <w:tcW w:w="48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3.26</w:t>
            </w:r>
          </w:p>
        </w:tc>
        <w:tc>
          <w:tcPr>
            <w:tcW w:w="4850" w:type="dxa"/>
            <w:tcBorders/>
            <w:shd w:fill="CCEEFF" w:val="clear"/>
            <w:vAlign w:val="center"/>
          </w:tcPr>
          <w:p>
            <w:pPr>
              <w:pStyle w:val="TableContents"/>
              <w:bidi w:val="0"/>
              <w:spacing w:before="0" w:after="0"/>
              <w:jc w:val="left"/>
              <w:rPr/>
            </w:pPr>
            <w:r>
              <w:rPr/>
              <w:t>Disclaimer of Other Representations or Warranties.</w:t>
            </w:r>
          </w:p>
        </w:tc>
        <w:tc>
          <w:tcPr>
            <w:tcW w:w="275" w:type="dxa"/>
            <w:tcBorders/>
            <w:shd w:fill="CCEEFF" w:val="clear"/>
            <w:vAlign w:val="center"/>
          </w:tcPr>
          <w:p>
            <w:pPr>
              <w:pStyle w:val="TableContents"/>
              <w:bidi w:val="0"/>
              <w:spacing w:before="0" w:after="0"/>
              <w:jc w:val="right"/>
              <w:rPr/>
            </w:pPr>
            <w:r>
              <w:rPr/>
              <w:t>57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TABLE OF CONTENTS</w:t>
      </w:r>
      <w:r>
        <w:rPr>
          <w:rFonts w:ascii="Times New Roman" w:hAnsi="Times New Roman"/>
          <w:color w:val="000000"/>
          <w:sz w:val="20"/>
        </w:rPr>
        <w:br/>
        <w:t>(continued)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 w:name="z7d1abf5075254e0489f5bb4a7f4d5ed3"/>
      <w:bookmarkStart w:id="127" w:name="z7d1abf5075254e0489f5bb4a7f4d5ed3"/>
      <w:bookmarkEnd w:id="127"/>
    </w:p>
    <w:tbl>
      <w:tblPr>
        <w:tblW w:w="6705" w:type="dxa"/>
        <w:jc w:val="left"/>
        <w:tblInd w:w="0" w:type="dxa"/>
        <w:tblLayout w:type="fixed"/>
        <w:tblCellMar>
          <w:top w:w="0" w:type="dxa"/>
          <w:left w:w="0" w:type="dxa"/>
          <w:bottom w:w="0" w:type="dxa"/>
          <w:right w:w="0" w:type="dxa"/>
        </w:tblCellMar>
      </w:tblPr>
      <w:tblGrid>
        <w:gridCol w:w="980"/>
        <w:gridCol w:w="5225"/>
        <w:gridCol w:w="500"/>
      </w:tblGrid>
      <w:tr>
        <w:trPr/>
        <w:tc>
          <w:tcPr>
            <w:tcW w:w="98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right"/>
              <w:rPr/>
            </w:pPr>
            <w:r>
              <w:rPr/>
              <w:t>Page</w:t>
            </w:r>
          </w:p>
        </w:tc>
      </w:tr>
      <w:tr>
        <w:trPr/>
        <w:tc>
          <w:tcPr>
            <w:tcW w:w="98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pPr>
            <w:r>
              <w:rPr/>
              <w:t>Section 4.</w:t>
            </w:r>
          </w:p>
        </w:tc>
        <w:tc>
          <w:tcPr>
            <w:tcW w:w="5225" w:type="dxa"/>
            <w:tcBorders/>
            <w:shd w:fill="CCEEFF" w:val="clear"/>
            <w:vAlign w:val="center"/>
          </w:tcPr>
          <w:p>
            <w:pPr>
              <w:pStyle w:val="TableContents"/>
              <w:bidi w:val="0"/>
              <w:spacing w:before="0" w:after="0"/>
              <w:jc w:val="left"/>
              <w:rPr/>
            </w:pPr>
            <w:r>
              <w:rPr/>
              <w:t>ADDITIONAL AGREEMENTS OF THE PARTIES</w:t>
            </w:r>
          </w:p>
        </w:tc>
        <w:tc>
          <w:tcPr>
            <w:tcW w:w="500" w:type="dxa"/>
            <w:tcBorders/>
            <w:shd w:fill="CCEEFF" w:val="clear"/>
            <w:vAlign w:val="center"/>
          </w:tcPr>
          <w:p>
            <w:pPr>
              <w:pStyle w:val="TableContents"/>
              <w:bidi w:val="0"/>
              <w:spacing w:before="0" w:after="0"/>
              <w:jc w:val="right"/>
              <w:rPr/>
            </w:pPr>
            <w:r>
              <w:rPr/>
              <w:t>57</w:t>
            </w:r>
          </w:p>
        </w:tc>
      </w:tr>
    </w:tbl>
    <w:p>
      <w:pPr>
        <w:pStyle w:val="Normal"/>
        <w:bidi w:val="0"/>
        <w:spacing w:before="0" w:after="0"/>
        <w:jc w:val="left"/>
        <w:rPr>
          <w:sz w:val="4"/>
          <w:szCs w:val="4"/>
        </w:rPr>
      </w:pPr>
      <w:r>
        <w:rPr>
          <w:sz w:val="4"/>
          <w:szCs w:val="4"/>
        </w:rPr>
      </w:r>
      <w:bookmarkStart w:id="128" w:name="z4b38f5f64890461a8863754984755223"/>
      <w:bookmarkStart w:id="129" w:name="z4b38f5f64890461a8863754984755223"/>
      <w:bookmarkEnd w:id="129"/>
    </w:p>
    <w:tbl>
      <w:tblPr>
        <w:tblW w:w="8670" w:type="dxa"/>
        <w:jc w:val="left"/>
        <w:tblInd w:w="0" w:type="dxa"/>
        <w:tblLayout w:type="fixed"/>
        <w:tblCellMar>
          <w:top w:w="0" w:type="dxa"/>
          <w:left w:w="0" w:type="dxa"/>
          <w:bottom w:w="0" w:type="dxa"/>
          <w:right w:w="0" w:type="dxa"/>
        </w:tblCellMar>
      </w:tblPr>
      <w:tblGrid>
        <w:gridCol w:w="455"/>
        <w:gridCol w:w="7940"/>
        <w:gridCol w:w="275"/>
      </w:tblGrid>
      <w:tr>
        <w:trPr/>
        <w:tc>
          <w:tcPr>
            <w:tcW w:w="455"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w:t>
            </w:r>
          </w:p>
        </w:tc>
        <w:tc>
          <w:tcPr>
            <w:tcW w:w="7940" w:type="dxa"/>
            <w:tcBorders/>
            <w:shd w:fill="CCEEFF" w:val="clear"/>
            <w:vAlign w:val="center"/>
          </w:tcPr>
          <w:p>
            <w:pPr>
              <w:pStyle w:val="TableContents"/>
              <w:bidi w:val="0"/>
              <w:spacing w:before="0" w:after="0"/>
              <w:jc w:val="left"/>
              <w:rPr/>
            </w:pPr>
            <w:r>
              <w:rPr/>
              <w:t>Parent Stockholders’ Meeting.</w:t>
            </w:r>
          </w:p>
        </w:tc>
        <w:tc>
          <w:tcPr>
            <w:tcW w:w="275" w:type="dxa"/>
            <w:tcBorders/>
            <w:shd w:fill="CCEEFF" w:val="clear"/>
            <w:vAlign w:val="center"/>
          </w:tcPr>
          <w:p>
            <w:pPr>
              <w:pStyle w:val="TableContents"/>
              <w:bidi w:val="0"/>
              <w:spacing w:before="0" w:after="0"/>
              <w:jc w:val="right"/>
              <w:rPr/>
            </w:pPr>
            <w:r>
              <w:rPr/>
              <w:t>57</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4.2</w:t>
            </w:r>
          </w:p>
        </w:tc>
        <w:tc>
          <w:tcPr>
            <w:tcW w:w="7940" w:type="dxa"/>
            <w:tcBorders/>
            <w:shd w:fill="CCEEFF" w:val="clear"/>
            <w:vAlign w:val="center"/>
          </w:tcPr>
          <w:p>
            <w:pPr>
              <w:pStyle w:val="TableContents"/>
              <w:bidi w:val="0"/>
              <w:spacing w:before="0" w:after="0"/>
              <w:jc w:val="left"/>
              <w:rPr/>
            </w:pPr>
            <w:r>
              <w:rPr/>
              <w:t>Proxy Statement.</w:t>
            </w:r>
          </w:p>
        </w:tc>
        <w:tc>
          <w:tcPr>
            <w:tcW w:w="275" w:type="dxa"/>
            <w:tcBorders/>
            <w:shd w:fill="CCEEFF" w:val="clear"/>
            <w:vAlign w:val="center"/>
          </w:tcPr>
          <w:p>
            <w:pPr>
              <w:pStyle w:val="TableContents"/>
              <w:bidi w:val="0"/>
              <w:spacing w:before="0" w:after="0"/>
              <w:jc w:val="right"/>
              <w:rPr/>
            </w:pPr>
            <w:r>
              <w:rPr/>
              <w:t>59</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4.3</w:t>
            </w:r>
          </w:p>
        </w:tc>
        <w:tc>
          <w:tcPr>
            <w:tcW w:w="7940" w:type="dxa"/>
            <w:tcBorders/>
            <w:shd w:fill="CCEEFF" w:val="clear"/>
            <w:vAlign w:val="center"/>
          </w:tcPr>
          <w:p>
            <w:pPr>
              <w:pStyle w:val="TableContents"/>
              <w:bidi w:val="0"/>
              <w:spacing w:before="0" w:after="0"/>
              <w:jc w:val="left"/>
              <w:rPr/>
            </w:pPr>
            <w:r>
              <w:rPr/>
              <w:t>Reservation of Parent Common Stock; Issuance of Shares of Parent Common Stock</w:t>
            </w:r>
          </w:p>
        </w:tc>
        <w:tc>
          <w:tcPr>
            <w:tcW w:w="275" w:type="dxa"/>
            <w:tcBorders/>
            <w:shd w:fill="CCEEFF" w:val="clear"/>
            <w:vAlign w:val="center"/>
          </w:tcPr>
          <w:p>
            <w:pPr>
              <w:pStyle w:val="TableContents"/>
              <w:bidi w:val="0"/>
              <w:spacing w:before="0" w:after="0"/>
              <w:jc w:val="right"/>
              <w:rPr/>
            </w:pPr>
            <w:r>
              <w:rPr/>
              <w:t>60</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4.4</w:t>
            </w:r>
          </w:p>
        </w:tc>
        <w:tc>
          <w:tcPr>
            <w:tcW w:w="7940" w:type="dxa"/>
            <w:tcBorders/>
            <w:shd w:fill="CCEEFF" w:val="clear"/>
            <w:vAlign w:val="center"/>
          </w:tcPr>
          <w:p>
            <w:pPr>
              <w:pStyle w:val="TableContents"/>
              <w:bidi w:val="0"/>
              <w:spacing w:before="0" w:after="0"/>
              <w:jc w:val="left"/>
              <w:rPr/>
            </w:pPr>
            <w:r>
              <w:rPr/>
              <w:t>Employee Benefits.</w:t>
            </w:r>
          </w:p>
        </w:tc>
        <w:tc>
          <w:tcPr>
            <w:tcW w:w="275" w:type="dxa"/>
            <w:tcBorders/>
            <w:shd w:fill="CCEEFF" w:val="clear"/>
            <w:vAlign w:val="center"/>
          </w:tcPr>
          <w:p>
            <w:pPr>
              <w:pStyle w:val="TableContents"/>
              <w:bidi w:val="0"/>
              <w:spacing w:before="0" w:after="0"/>
              <w:jc w:val="right"/>
              <w:rPr/>
            </w:pPr>
            <w:r>
              <w:rPr/>
              <w:t>60</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4.5</w:t>
            </w:r>
          </w:p>
        </w:tc>
        <w:tc>
          <w:tcPr>
            <w:tcW w:w="7940" w:type="dxa"/>
            <w:tcBorders/>
            <w:shd w:fill="CCEEFF" w:val="clear"/>
            <w:vAlign w:val="center"/>
          </w:tcPr>
          <w:p>
            <w:pPr>
              <w:pStyle w:val="TableContents"/>
              <w:bidi w:val="0"/>
              <w:spacing w:before="0" w:after="0"/>
              <w:jc w:val="left"/>
              <w:rPr/>
            </w:pPr>
            <w:r>
              <w:rPr/>
              <w:t>Indemnification of Officers and Directors.</w:t>
            </w:r>
          </w:p>
        </w:tc>
        <w:tc>
          <w:tcPr>
            <w:tcW w:w="275" w:type="dxa"/>
            <w:tcBorders/>
            <w:shd w:fill="CCEEFF" w:val="clear"/>
            <w:vAlign w:val="center"/>
          </w:tcPr>
          <w:p>
            <w:pPr>
              <w:pStyle w:val="TableContents"/>
              <w:bidi w:val="0"/>
              <w:spacing w:before="0" w:after="0"/>
              <w:jc w:val="right"/>
              <w:rPr/>
            </w:pPr>
            <w:r>
              <w:rPr/>
              <w:t>61</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4.6</w:t>
            </w:r>
          </w:p>
        </w:tc>
        <w:tc>
          <w:tcPr>
            <w:tcW w:w="7940" w:type="dxa"/>
            <w:tcBorders/>
            <w:shd w:fill="CCEEFF" w:val="clear"/>
            <w:vAlign w:val="center"/>
          </w:tcPr>
          <w:p>
            <w:pPr>
              <w:pStyle w:val="TableContents"/>
              <w:bidi w:val="0"/>
              <w:spacing w:before="0" w:after="0"/>
              <w:jc w:val="left"/>
              <w:rPr/>
            </w:pPr>
            <w:r>
              <w:rPr/>
              <w:t>Additional Agreements</w:t>
            </w:r>
          </w:p>
        </w:tc>
        <w:tc>
          <w:tcPr>
            <w:tcW w:w="275" w:type="dxa"/>
            <w:tcBorders/>
            <w:shd w:fill="CCEEFF" w:val="clear"/>
            <w:vAlign w:val="center"/>
          </w:tcPr>
          <w:p>
            <w:pPr>
              <w:pStyle w:val="TableContents"/>
              <w:bidi w:val="0"/>
              <w:spacing w:before="0" w:after="0"/>
              <w:jc w:val="right"/>
              <w:rPr/>
            </w:pPr>
            <w:r>
              <w:rPr/>
              <w:t>63</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4.7</w:t>
            </w:r>
          </w:p>
        </w:tc>
        <w:tc>
          <w:tcPr>
            <w:tcW w:w="7940" w:type="dxa"/>
            <w:tcBorders/>
            <w:shd w:fill="CCEEFF" w:val="clear"/>
            <w:vAlign w:val="center"/>
          </w:tcPr>
          <w:p>
            <w:pPr>
              <w:pStyle w:val="TableContents"/>
              <w:bidi w:val="0"/>
              <w:spacing w:before="0" w:after="0"/>
              <w:jc w:val="left"/>
              <w:rPr/>
            </w:pPr>
            <w:r>
              <w:rPr/>
              <w:t>Listing</w:t>
            </w:r>
          </w:p>
        </w:tc>
        <w:tc>
          <w:tcPr>
            <w:tcW w:w="275" w:type="dxa"/>
            <w:tcBorders/>
            <w:shd w:fill="CCEEFF" w:val="clear"/>
            <w:vAlign w:val="center"/>
          </w:tcPr>
          <w:p>
            <w:pPr>
              <w:pStyle w:val="TableContents"/>
              <w:bidi w:val="0"/>
              <w:spacing w:before="0" w:after="0"/>
              <w:jc w:val="right"/>
              <w:rPr/>
            </w:pPr>
            <w:r>
              <w:rPr/>
              <w:t>63</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4.8</w:t>
            </w:r>
          </w:p>
        </w:tc>
        <w:tc>
          <w:tcPr>
            <w:tcW w:w="7940" w:type="dxa"/>
            <w:tcBorders/>
            <w:shd w:fill="CCEEFF" w:val="clear"/>
            <w:vAlign w:val="center"/>
          </w:tcPr>
          <w:p>
            <w:pPr>
              <w:pStyle w:val="TableContents"/>
              <w:bidi w:val="0"/>
              <w:spacing w:before="0" w:after="0"/>
              <w:jc w:val="left"/>
              <w:rPr/>
            </w:pPr>
            <w:r>
              <w:rPr/>
              <w:t>Tax Matters</w:t>
            </w:r>
          </w:p>
        </w:tc>
        <w:tc>
          <w:tcPr>
            <w:tcW w:w="275" w:type="dxa"/>
            <w:tcBorders/>
            <w:shd w:fill="CCEEFF" w:val="clear"/>
            <w:vAlign w:val="center"/>
          </w:tcPr>
          <w:p>
            <w:pPr>
              <w:pStyle w:val="TableContents"/>
              <w:bidi w:val="0"/>
              <w:spacing w:before="0" w:after="0"/>
              <w:jc w:val="right"/>
              <w:rPr/>
            </w:pPr>
            <w:r>
              <w:rPr/>
              <w:t>63</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4.9</w:t>
            </w:r>
          </w:p>
        </w:tc>
        <w:tc>
          <w:tcPr>
            <w:tcW w:w="7940" w:type="dxa"/>
            <w:tcBorders/>
            <w:shd w:fill="CCEEFF" w:val="clear"/>
            <w:vAlign w:val="center"/>
          </w:tcPr>
          <w:p>
            <w:pPr>
              <w:pStyle w:val="TableContents"/>
              <w:bidi w:val="0"/>
              <w:spacing w:before="0" w:after="0"/>
              <w:jc w:val="left"/>
              <w:rPr/>
            </w:pPr>
            <w:r>
              <w:rPr/>
              <w:t>Legends</w:t>
            </w:r>
          </w:p>
        </w:tc>
        <w:tc>
          <w:tcPr>
            <w:tcW w:w="275" w:type="dxa"/>
            <w:tcBorders/>
            <w:shd w:fill="CCEEFF" w:val="clear"/>
            <w:vAlign w:val="center"/>
          </w:tcPr>
          <w:p>
            <w:pPr>
              <w:pStyle w:val="TableContents"/>
              <w:bidi w:val="0"/>
              <w:spacing w:before="0" w:after="0"/>
              <w:jc w:val="right"/>
              <w:rPr/>
            </w:pPr>
            <w:r>
              <w:rPr/>
              <w:t>64</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4.10</w:t>
            </w:r>
          </w:p>
        </w:tc>
        <w:tc>
          <w:tcPr>
            <w:tcW w:w="7940" w:type="dxa"/>
            <w:tcBorders/>
            <w:shd w:fill="CCEEFF" w:val="clear"/>
            <w:vAlign w:val="center"/>
          </w:tcPr>
          <w:p>
            <w:pPr>
              <w:pStyle w:val="TableContents"/>
              <w:bidi w:val="0"/>
              <w:spacing w:before="0" w:after="0"/>
              <w:jc w:val="left"/>
              <w:rPr/>
            </w:pPr>
            <w:r>
              <w:rPr/>
              <w:t>Directors and Officers</w:t>
            </w:r>
          </w:p>
        </w:tc>
        <w:tc>
          <w:tcPr>
            <w:tcW w:w="275" w:type="dxa"/>
            <w:tcBorders/>
            <w:shd w:fill="CCEEFF" w:val="clear"/>
            <w:vAlign w:val="center"/>
          </w:tcPr>
          <w:p>
            <w:pPr>
              <w:pStyle w:val="TableContents"/>
              <w:bidi w:val="0"/>
              <w:spacing w:before="0" w:after="0"/>
              <w:jc w:val="right"/>
              <w:rPr/>
            </w:pPr>
            <w:r>
              <w:rPr/>
              <w:t>64</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4.11</w:t>
            </w:r>
          </w:p>
        </w:tc>
        <w:tc>
          <w:tcPr>
            <w:tcW w:w="7940" w:type="dxa"/>
            <w:tcBorders/>
            <w:shd w:fill="CCEEFF" w:val="clear"/>
            <w:vAlign w:val="center"/>
          </w:tcPr>
          <w:p>
            <w:pPr>
              <w:pStyle w:val="TableContents"/>
              <w:bidi w:val="0"/>
              <w:spacing w:before="0" w:after="0"/>
              <w:jc w:val="left"/>
              <w:rPr/>
            </w:pPr>
            <w:r>
              <w:rPr/>
              <w:t>Section 16 Matters</w:t>
            </w:r>
          </w:p>
        </w:tc>
        <w:tc>
          <w:tcPr>
            <w:tcW w:w="275" w:type="dxa"/>
            <w:tcBorders/>
            <w:shd w:fill="CCEEFF" w:val="clear"/>
            <w:vAlign w:val="center"/>
          </w:tcPr>
          <w:p>
            <w:pPr>
              <w:pStyle w:val="TableContents"/>
              <w:bidi w:val="0"/>
              <w:spacing w:before="0" w:after="0"/>
              <w:jc w:val="right"/>
              <w:rPr/>
            </w:pPr>
            <w:r>
              <w:rPr/>
              <w:t>64</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4.12</w:t>
            </w:r>
          </w:p>
        </w:tc>
        <w:tc>
          <w:tcPr>
            <w:tcW w:w="7940" w:type="dxa"/>
            <w:tcBorders/>
            <w:shd w:fill="CCEEFF" w:val="clear"/>
            <w:vAlign w:val="center"/>
          </w:tcPr>
          <w:p>
            <w:pPr>
              <w:pStyle w:val="TableContents"/>
              <w:bidi w:val="0"/>
              <w:spacing w:before="0" w:after="0"/>
              <w:jc w:val="left"/>
              <w:rPr/>
            </w:pPr>
            <w:r>
              <w:rPr/>
              <w:t>Cooperation</w:t>
            </w:r>
          </w:p>
        </w:tc>
        <w:tc>
          <w:tcPr>
            <w:tcW w:w="275" w:type="dxa"/>
            <w:tcBorders/>
            <w:shd w:fill="CCEEFF" w:val="clear"/>
            <w:vAlign w:val="center"/>
          </w:tcPr>
          <w:p>
            <w:pPr>
              <w:pStyle w:val="TableContents"/>
              <w:bidi w:val="0"/>
              <w:spacing w:before="0" w:after="0"/>
              <w:jc w:val="right"/>
              <w:rPr/>
            </w:pPr>
            <w:r>
              <w:rPr/>
              <w:t>64</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4.13</w:t>
            </w:r>
          </w:p>
        </w:tc>
        <w:tc>
          <w:tcPr>
            <w:tcW w:w="7940" w:type="dxa"/>
            <w:tcBorders/>
            <w:shd w:fill="CCEEFF" w:val="clear"/>
            <w:vAlign w:val="center"/>
          </w:tcPr>
          <w:p>
            <w:pPr>
              <w:pStyle w:val="TableContents"/>
              <w:bidi w:val="0"/>
              <w:spacing w:before="0" w:after="0"/>
              <w:jc w:val="left"/>
              <w:rPr/>
            </w:pPr>
            <w:r>
              <w:rPr/>
              <w:t>Closing Certificates.</w:t>
            </w:r>
          </w:p>
        </w:tc>
        <w:tc>
          <w:tcPr>
            <w:tcW w:w="275" w:type="dxa"/>
            <w:tcBorders/>
            <w:shd w:fill="CCEEFF" w:val="clear"/>
            <w:vAlign w:val="center"/>
          </w:tcPr>
          <w:p>
            <w:pPr>
              <w:pStyle w:val="TableContents"/>
              <w:bidi w:val="0"/>
              <w:spacing w:before="0" w:after="0"/>
              <w:jc w:val="right"/>
              <w:rPr/>
            </w:pPr>
            <w:r>
              <w:rPr/>
              <w:t>65</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4.14</w:t>
            </w:r>
          </w:p>
        </w:tc>
        <w:tc>
          <w:tcPr>
            <w:tcW w:w="7940" w:type="dxa"/>
            <w:tcBorders/>
            <w:shd w:fill="CCEEFF" w:val="clear"/>
            <w:vAlign w:val="center"/>
          </w:tcPr>
          <w:p>
            <w:pPr>
              <w:pStyle w:val="TableContents"/>
              <w:bidi w:val="0"/>
              <w:spacing w:before="0" w:after="0"/>
              <w:jc w:val="left"/>
              <w:rPr/>
            </w:pPr>
            <w:r>
              <w:rPr/>
              <w:t>Takeover Statutes</w:t>
            </w:r>
          </w:p>
        </w:tc>
        <w:tc>
          <w:tcPr>
            <w:tcW w:w="275" w:type="dxa"/>
            <w:tcBorders/>
            <w:shd w:fill="CCEEFF" w:val="clear"/>
            <w:vAlign w:val="center"/>
          </w:tcPr>
          <w:p>
            <w:pPr>
              <w:pStyle w:val="TableContents"/>
              <w:bidi w:val="0"/>
              <w:spacing w:before="0" w:after="0"/>
              <w:jc w:val="right"/>
              <w:rPr/>
            </w:pPr>
            <w:r>
              <w:rPr/>
              <w:t>65</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4.15</w:t>
            </w:r>
          </w:p>
        </w:tc>
        <w:tc>
          <w:tcPr>
            <w:tcW w:w="7940" w:type="dxa"/>
            <w:tcBorders/>
            <w:shd w:fill="CCEEFF" w:val="clear"/>
            <w:vAlign w:val="center"/>
          </w:tcPr>
          <w:p>
            <w:pPr>
              <w:pStyle w:val="TableContents"/>
              <w:bidi w:val="0"/>
              <w:spacing w:before="0" w:after="0"/>
              <w:jc w:val="left"/>
              <w:rPr/>
            </w:pPr>
            <w:r>
              <w:rPr/>
              <w:t>Obligations of Merger Subs</w:t>
            </w:r>
          </w:p>
        </w:tc>
        <w:tc>
          <w:tcPr>
            <w:tcW w:w="275" w:type="dxa"/>
            <w:tcBorders/>
            <w:shd w:fill="CCEEFF" w:val="clear"/>
            <w:vAlign w:val="center"/>
          </w:tcPr>
          <w:p>
            <w:pPr>
              <w:pStyle w:val="TableContents"/>
              <w:bidi w:val="0"/>
              <w:spacing w:before="0" w:after="0"/>
              <w:jc w:val="right"/>
              <w:rPr/>
            </w:pPr>
            <w:r>
              <w:rPr/>
              <w:t>65</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4.16</w:t>
            </w:r>
          </w:p>
        </w:tc>
        <w:tc>
          <w:tcPr>
            <w:tcW w:w="7940" w:type="dxa"/>
            <w:tcBorders/>
            <w:shd w:fill="CCEEFF" w:val="clear"/>
            <w:vAlign w:val="center"/>
          </w:tcPr>
          <w:p>
            <w:pPr>
              <w:pStyle w:val="TableContents"/>
              <w:bidi w:val="0"/>
              <w:spacing w:before="0" w:after="0"/>
              <w:jc w:val="left"/>
              <w:rPr/>
            </w:pPr>
            <w:r>
              <w:rPr/>
              <w:t>Private Placement</w:t>
            </w:r>
          </w:p>
        </w:tc>
        <w:tc>
          <w:tcPr>
            <w:tcW w:w="275" w:type="dxa"/>
            <w:tcBorders/>
            <w:shd w:fill="CCEEFF" w:val="clear"/>
            <w:vAlign w:val="center"/>
          </w:tcPr>
          <w:p>
            <w:pPr>
              <w:pStyle w:val="TableContents"/>
              <w:bidi w:val="0"/>
              <w:spacing w:before="0" w:after="0"/>
              <w:jc w:val="right"/>
              <w:rPr/>
            </w:pPr>
            <w:r>
              <w:rPr/>
              <w:t>65</w:t>
            </w:r>
          </w:p>
        </w:tc>
      </w:tr>
      <w:tr>
        <w:trPr/>
        <w:tc>
          <w:tcPr>
            <w:tcW w:w="455" w:type="dxa"/>
            <w:tcBorders/>
            <w:vAlign w:val="center"/>
          </w:tcPr>
          <w:p>
            <w:pPr>
              <w:pStyle w:val="TableContents"/>
              <w:bidi w:val="0"/>
              <w:spacing w:before="0" w:after="283"/>
              <w:jc w:val="center"/>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4.17</w:t>
            </w:r>
          </w:p>
        </w:tc>
        <w:tc>
          <w:tcPr>
            <w:tcW w:w="7940" w:type="dxa"/>
            <w:tcBorders/>
            <w:shd w:fill="CCEEFF" w:val="clear"/>
            <w:vAlign w:val="center"/>
          </w:tcPr>
          <w:p>
            <w:pPr>
              <w:pStyle w:val="TableContents"/>
              <w:bidi w:val="0"/>
              <w:spacing w:before="0" w:after="0"/>
              <w:jc w:val="left"/>
              <w:rPr/>
            </w:pPr>
            <w:r>
              <w:rPr/>
              <w:t>Parent Options</w:t>
            </w:r>
          </w:p>
        </w:tc>
        <w:tc>
          <w:tcPr>
            <w:tcW w:w="275" w:type="dxa"/>
            <w:tcBorders/>
            <w:shd w:fill="CCEEFF" w:val="clear"/>
            <w:vAlign w:val="center"/>
          </w:tcPr>
          <w:p>
            <w:pPr>
              <w:pStyle w:val="TableContents"/>
              <w:bidi w:val="0"/>
              <w:spacing w:before="0" w:after="0"/>
              <w:jc w:val="right"/>
              <w:rPr/>
            </w:pPr>
            <w:r>
              <w:rPr/>
              <w:t>66</w:t>
            </w:r>
          </w:p>
        </w:tc>
      </w:tr>
      <w:tr>
        <w:trPr/>
        <w:tc>
          <w:tcPr>
            <w:tcW w:w="455"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bl>
    <w:p>
      <w:pPr>
        <w:pStyle w:val="Normal"/>
        <w:bidi w:val="0"/>
        <w:spacing w:before="0" w:after="0"/>
        <w:jc w:val="left"/>
        <w:rPr>
          <w:sz w:val="4"/>
          <w:szCs w:val="4"/>
        </w:rPr>
      </w:pPr>
      <w:r>
        <w:rPr>
          <w:sz w:val="4"/>
          <w:szCs w:val="4"/>
        </w:rPr>
      </w:r>
      <w:bookmarkStart w:id="130" w:name="zdb8ab460bbe544e2a2b61431ffdf0bce"/>
      <w:bookmarkStart w:id="131" w:name="zdb8ab460bbe544e2a2b61431ffdf0bce"/>
      <w:bookmarkEnd w:id="131"/>
    </w:p>
    <w:tbl>
      <w:tblPr>
        <w:tblW w:w="8340" w:type="dxa"/>
        <w:jc w:val="left"/>
        <w:tblInd w:w="0" w:type="dxa"/>
        <w:tblLayout w:type="fixed"/>
        <w:tblCellMar>
          <w:top w:w="0" w:type="dxa"/>
          <w:left w:w="0" w:type="dxa"/>
          <w:bottom w:w="0" w:type="dxa"/>
          <w:right w:w="0" w:type="dxa"/>
        </w:tblCellMar>
      </w:tblPr>
      <w:tblGrid>
        <w:gridCol w:w="980"/>
        <w:gridCol w:w="7085"/>
        <w:gridCol w:w="275"/>
      </w:tblGrid>
      <w:tr>
        <w:trPr/>
        <w:tc>
          <w:tcPr>
            <w:tcW w:w="980" w:type="dxa"/>
            <w:tcBorders/>
            <w:shd w:fill="CCEEFF" w:val="clear"/>
            <w:vAlign w:val="center"/>
          </w:tcPr>
          <w:p>
            <w:pPr>
              <w:pStyle w:val="TableContents"/>
              <w:bidi w:val="0"/>
              <w:spacing w:before="0" w:after="0"/>
              <w:jc w:val="left"/>
              <w:rPr/>
            </w:pPr>
            <w:r>
              <w:rPr/>
              <w:t>Section 5.</w:t>
            </w:r>
          </w:p>
        </w:tc>
        <w:tc>
          <w:tcPr>
            <w:tcW w:w="7085" w:type="dxa"/>
            <w:tcBorders/>
            <w:shd w:fill="CCEEFF" w:val="clear"/>
            <w:vAlign w:val="center"/>
          </w:tcPr>
          <w:p>
            <w:pPr>
              <w:pStyle w:val="TableContents"/>
              <w:bidi w:val="0"/>
              <w:spacing w:before="0" w:after="0"/>
              <w:jc w:val="left"/>
              <w:rPr/>
            </w:pPr>
            <w:r>
              <w:rPr/>
              <w:t>CONDITIONS PRECEDENT TO OBLIGATIONS OF EACH PARTY</w:t>
            </w:r>
          </w:p>
        </w:tc>
        <w:tc>
          <w:tcPr>
            <w:tcW w:w="275" w:type="dxa"/>
            <w:tcBorders/>
            <w:shd w:fill="CCEEFF" w:val="clear"/>
            <w:vAlign w:val="center"/>
          </w:tcPr>
          <w:p>
            <w:pPr>
              <w:pStyle w:val="TableContents"/>
              <w:bidi w:val="0"/>
              <w:spacing w:before="0" w:after="0"/>
              <w:jc w:val="right"/>
              <w:rPr/>
            </w:pPr>
            <w:r>
              <w:rPr/>
              <w:t>66</w:t>
            </w:r>
          </w:p>
        </w:tc>
      </w:tr>
    </w:tbl>
    <w:p>
      <w:pPr>
        <w:pStyle w:val="Normal"/>
        <w:bidi w:val="0"/>
        <w:spacing w:before="0" w:after="0"/>
        <w:jc w:val="left"/>
        <w:rPr>
          <w:sz w:val="4"/>
          <w:szCs w:val="4"/>
        </w:rPr>
      </w:pPr>
      <w:r>
        <w:rPr>
          <w:sz w:val="4"/>
          <w:szCs w:val="4"/>
        </w:rPr>
      </w:r>
      <w:bookmarkStart w:id="132" w:name="z14ffc6742cc04c8693e12c2503876165"/>
      <w:bookmarkStart w:id="133" w:name="z14ffc6742cc04c8693e12c2503876165"/>
      <w:bookmarkEnd w:id="133"/>
    </w:p>
    <w:tbl>
      <w:tblPr>
        <w:tblW w:w="3060" w:type="dxa"/>
        <w:jc w:val="left"/>
        <w:tblInd w:w="0" w:type="dxa"/>
        <w:tblLayout w:type="fixed"/>
        <w:tblCellMar>
          <w:top w:w="0" w:type="dxa"/>
          <w:left w:w="0" w:type="dxa"/>
          <w:bottom w:w="0" w:type="dxa"/>
          <w:right w:w="0" w:type="dxa"/>
        </w:tblCellMar>
      </w:tblPr>
      <w:tblGrid>
        <w:gridCol w:w="335"/>
        <w:gridCol w:w="2450"/>
        <w:gridCol w:w="275"/>
      </w:tblGrid>
      <w:tr>
        <w:trPr/>
        <w:tc>
          <w:tcPr>
            <w:tcW w:w="33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5.1</w:t>
            </w:r>
          </w:p>
        </w:tc>
        <w:tc>
          <w:tcPr>
            <w:tcW w:w="2450" w:type="dxa"/>
            <w:tcBorders/>
            <w:shd w:fill="CCEEFF" w:val="clear"/>
            <w:vAlign w:val="center"/>
          </w:tcPr>
          <w:p>
            <w:pPr>
              <w:pStyle w:val="TableContents"/>
              <w:bidi w:val="0"/>
              <w:spacing w:before="0" w:after="0"/>
              <w:jc w:val="left"/>
              <w:rPr/>
            </w:pPr>
            <w:r>
              <w:rPr/>
              <w:t>No Restraints</w:t>
            </w:r>
          </w:p>
        </w:tc>
        <w:tc>
          <w:tcPr>
            <w:tcW w:w="275" w:type="dxa"/>
            <w:tcBorders/>
            <w:shd w:fill="CCEEFF" w:val="clear"/>
            <w:vAlign w:val="center"/>
          </w:tcPr>
          <w:p>
            <w:pPr>
              <w:pStyle w:val="TableContents"/>
              <w:bidi w:val="0"/>
              <w:spacing w:before="0" w:after="0"/>
              <w:jc w:val="right"/>
              <w:rPr/>
            </w:pPr>
            <w:r>
              <w:rPr/>
              <w:t>66</w:t>
            </w:r>
          </w:p>
        </w:tc>
      </w:tr>
      <w:tr>
        <w:trPr/>
        <w:tc>
          <w:tcPr>
            <w:tcW w:w="335"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5.2</w:t>
            </w:r>
          </w:p>
        </w:tc>
        <w:tc>
          <w:tcPr>
            <w:tcW w:w="2450" w:type="dxa"/>
            <w:tcBorders/>
            <w:shd w:fill="CCEEFF" w:val="clear"/>
            <w:vAlign w:val="center"/>
          </w:tcPr>
          <w:p>
            <w:pPr>
              <w:pStyle w:val="TableContents"/>
              <w:bidi w:val="0"/>
              <w:spacing w:before="0" w:after="0"/>
              <w:jc w:val="left"/>
              <w:rPr/>
            </w:pPr>
            <w:r>
              <w:rPr/>
              <w:t>Certificate of Designation</w:t>
            </w:r>
          </w:p>
        </w:tc>
        <w:tc>
          <w:tcPr>
            <w:tcW w:w="275" w:type="dxa"/>
            <w:tcBorders/>
            <w:shd w:fill="CCEEFF" w:val="clear"/>
            <w:vAlign w:val="center"/>
          </w:tcPr>
          <w:p>
            <w:pPr>
              <w:pStyle w:val="TableContents"/>
              <w:bidi w:val="0"/>
              <w:spacing w:before="0" w:after="0"/>
              <w:jc w:val="right"/>
              <w:rPr/>
            </w:pPr>
            <w:r>
              <w:rPr/>
              <w:t>66</w:t>
            </w:r>
          </w:p>
        </w:tc>
      </w:tr>
      <w:tr>
        <w:trPr/>
        <w:tc>
          <w:tcPr>
            <w:tcW w:w="335"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5.3</w:t>
            </w:r>
          </w:p>
        </w:tc>
        <w:tc>
          <w:tcPr>
            <w:tcW w:w="2450" w:type="dxa"/>
            <w:tcBorders/>
            <w:shd w:fill="CCEEFF" w:val="clear"/>
            <w:vAlign w:val="center"/>
          </w:tcPr>
          <w:p>
            <w:pPr>
              <w:pStyle w:val="TableContents"/>
              <w:bidi w:val="0"/>
              <w:spacing w:before="0" w:after="0"/>
              <w:jc w:val="left"/>
              <w:rPr/>
            </w:pPr>
            <w:r>
              <w:rPr/>
              <w:t>PIPE Financing</w:t>
            </w:r>
          </w:p>
        </w:tc>
        <w:tc>
          <w:tcPr>
            <w:tcW w:w="275" w:type="dxa"/>
            <w:tcBorders/>
            <w:shd w:fill="CCEEFF" w:val="clear"/>
            <w:vAlign w:val="center"/>
          </w:tcPr>
          <w:p>
            <w:pPr>
              <w:pStyle w:val="TableContents"/>
              <w:bidi w:val="0"/>
              <w:spacing w:before="0" w:after="0"/>
              <w:jc w:val="right"/>
              <w:rPr/>
            </w:pPr>
            <w:r>
              <w:rPr/>
              <w:t>66</w:t>
            </w:r>
          </w:p>
        </w:tc>
      </w:tr>
      <w:tr>
        <w:trPr/>
        <w:tc>
          <w:tcPr>
            <w:tcW w:w="33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bl>
    <w:p>
      <w:pPr>
        <w:pStyle w:val="Normal"/>
        <w:bidi w:val="0"/>
        <w:spacing w:before="0" w:after="0"/>
        <w:jc w:val="left"/>
        <w:rPr>
          <w:sz w:val="4"/>
          <w:szCs w:val="4"/>
        </w:rPr>
      </w:pPr>
      <w:r>
        <w:rPr>
          <w:sz w:val="4"/>
          <w:szCs w:val="4"/>
        </w:rPr>
      </w:r>
      <w:bookmarkStart w:id="134" w:name="zde60c072b3414561b23fc236190ab7c5"/>
      <w:bookmarkStart w:id="135" w:name="zde60c072b3414561b23fc236190ab7c5"/>
      <w:bookmarkEnd w:id="135"/>
    </w:p>
    <w:tbl>
      <w:tblPr>
        <w:tblW w:w="6015" w:type="dxa"/>
        <w:jc w:val="left"/>
        <w:tblInd w:w="0" w:type="dxa"/>
        <w:tblLayout w:type="fixed"/>
        <w:tblCellMar>
          <w:top w:w="0" w:type="dxa"/>
          <w:left w:w="0" w:type="dxa"/>
          <w:bottom w:w="0" w:type="dxa"/>
          <w:right w:w="0" w:type="dxa"/>
        </w:tblCellMar>
      </w:tblPr>
      <w:tblGrid>
        <w:gridCol w:w="980"/>
        <w:gridCol w:w="4760"/>
        <w:gridCol w:w="275"/>
      </w:tblGrid>
      <w:tr>
        <w:trPr/>
        <w:tc>
          <w:tcPr>
            <w:tcW w:w="980" w:type="dxa"/>
            <w:tcBorders/>
            <w:shd w:fill="CCEEFF" w:val="clear"/>
            <w:vAlign w:val="center"/>
          </w:tcPr>
          <w:p>
            <w:pPr>
              <w:pStyle w:val="TableContents"/>
              <w:bidi w:val="0"/>
              <w:spacing w:before="0" w:after="0"/>
              <w:jc w:val="left"/>
              <w:rPr/>
            </w:pPr>
            <w:r>
              <w:rPr/>
              <w:t>Section 6.</w:t>
            </w:r>
          </w:p>
        </w:tc>
        <w:tc>
          <w:tcPr>
            <w:tcW w:w="4760" w:type="dxa"/>
            <w:tcBorders/>
            <w:shd w:fill="CCEEFF" w:val="clear"/>
            <w:vAlign w:val="center"/>
          </w:tcPr>
          <w:p>
            <w:pPr>
              <w:pStyle w:val="TableContents"/>
              <w:bidi w:val="0"/>
              <w:spacing w:before="0" w:after="0"/>
              <w:jc w:val="left"/>
              <w:rPr/>
            </w:pPr>
            <w:r>
              <w:rPr/>
              <w:t>CLOSING DELIVERIES OF THE COMPANY</w:t>
            </w:r>
          </w:p>
        </w:tc>
        <w:tc>
          <w:tcPr>
            <w:tcW w:w="275" w:type="dxa"/>
            <w:tcBorders/>
            <w:shd w:fill="CCEEFF" w:val="clear"/>
            <w:vAlign w:val="center"/>
          </w:tcPr>
          <w:p>
            <w:pPr>
              <w:pStyle w:val="TableContents"/>
              <w:bidi w:val="0"/>
              <w:spacing w:before="0" w:after="0"/>
              <w:jc w:val="right"/>
              <w:rPr/>
            </w:pPr>
            <w:r>
              <w:rPr/>
              <w:t>67</w:t>
            </w:r>
          </w:p>
        </w:tc>
      </w:tr>
    </w:tbl>
    <w:p>
      <w:pPr>
        <w:pStyle w:val="Normal"/>
        <w:bidi w:val="0"/>
        <w:spacing w:before="0" w:after="0"/>
        <w:jc w:val="left"/>
        <w:rPr>
          <w:sz w:val="4"/>
          <w:szCs w:val="4"/>
        </w:rPr>
      </w:pPr>
      <w:r>
        <w:rPr>
          <w:sz w:val="4"/>
          <w:szCs w:val="4"/>
        </w:rPr>
      </w:r>
      <w:bookmarkStart w:id="136" w:name="z635f63df5611470799ecc05a326b7618"/>
      <w:bookmarkStart w:id="137" w:name="z635f63df5611470799ecc05a326b7618"/>
      <w:bookmarkEnd w:id="137"/>
    </w:p>
    <w:tbl>
      <w:tblPr>
        <w:tblW w:w="3690" w:type="dxa"/>
        <w:jc w:val="left"/>
        <w:tblInd w:w="0" w:type="dxa"/>
        <w:tblLayout w:type="fixed"/>
        <w:tblCellMar>
          <w:top w:w="0" w:type="dxa"/>
          <w:left w:w="0" w:type="dxa"/>
          <w:bottom w:w="0" w:type="dxa"/>
          <w:right w:w="0" w:type="dxa"/>
        </w:tblCellMar>
      </w:tblPr>
      <w:tblGrid>
        <w:gridCol w:w="335"/>
        <w:gridCol w:w="3080"/>
        <w:gridCol w:w="275"/>
      </w:tblGrid>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6.1</w:t>
            </w:r>
          </w:p>
        </w:tc>
        <w:tc>
          <w:tcPr>
            <w:tcW w:w="3080" w:type="dxa"/>
            <w:tcBorders/>
            <w:shd w:fill="CCEEFF" w:val="clear"/>
            <w:vAlign w:val="center"/>
          </w:tcPr>
          <w:p>
            <w:pPr>
              <w:pStyle w:val="TableContents"/>
              <w:bidi w:val="0"/>
              <w:spacing w:before="0" w:after="0"/>
              <w:jc w:val="left"/>
              <w:rPr/>
            </w:pPr>
            <w:r>
              <w:rPr/>
              <w:t>Documents</w:t>
            </w:r>
          </w:p>
        </w:tc>
        <w:tc>
          <w:tcPr>
            <w:tcW w:w="275" w:type="dxa"/>
            <w:tcBorders/>
            <w:shd w:fill="CCEEFF" w:val="clear"/>
            <w:vAlign w:val="center"/>
          </w:tcPr>
          <w:p>
            <w:pPr>
              <w:pStyle w:val="TableContents"/>
              <w:bidi w:val="0"/>
              <w:spacing w:before="0" w:after="0"/>
              <w:jc w:val="right"/>
              <w:rPr/>
            </w:pPr>
            <w:r>
              <w:rPr/>
              <w:t>67</w:t>
            </w:r>
          </w:p>
        </w:tc>
      </w:tr>
      <w:tr>
        <w:trPr/>
        <w:tc>
          <w:tcPr>
            <w:tcW w:w="335" w:type="dxa"/>
            <w:tcBorders/>
            <w:vAlign w:val="center"/>
          </w:tcPr>
          <w:p>
            <w:pPr>
              <w:pStyle w:val="TableContents"/>
              <w:bidi w:val="0"/>
              <w:spacing w:before="0" w:after="283"/>
              <w:jc w:val="center"/>
              <w:rPr/>
            </w:pPr>
            <w:r>
              <w:rPr/>
              <w:t> </w:t>
            </w:r>
          </w:p>
        </w:tc>
        <w:tc>
          <w:tcPr>
            <w:tcW w:w="30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6.2</w:t>
            </w:r>
          </w:p>
        </w:tc>
        <w:tc>
          <w:tcPr>
            <w:tcW w:w="3080" w:type="dxa"/>
            <w:tcBorders/>
            <w:shd w:fill="CCEEFF" w:val="clear"/>
            <w:vAlign w:val="center"/>
          </w:tcPr>
          <w:p>
            <w:pPr>
              <w:pStyle w:val="TableContents"/>
              <w:bidi w:val="0"/>
              <w:spacing w:before="0" w:after="0"/>
              <w:jc w:val="left"/>
              <w:rPr/>
            </w:pPr>
            <w:r>
              <w:rPr/>
              <w:t>FIRPTA Certificate</w:t>
            </w:r>
          </w:p>
        </w:tc>
        <w:tc>
          <w:tcPr>
            <w:tcW w:w="275" w:type="dxa"/>
            <w:tcBorders/>
            <w:shd w:fill="CCEEFF" w:val="clear"/>
            <w:vAlign w:val="center"/>
          </w:tcPr>
          <w:p>
            <w:pPr>
              <w:pStyle w:val="TableContents"/>
              <w:bidi w:val="0"/>
              <w:spacing w:before="0" w:after="0"/>
              <w:jc w:val="right"/>
              <w:rPr/>
            </w:pPr>
            <w:r>
              <w:rPr/>
              <w:t>67</w:t>
            </w:r>
          </w:p>
        </w:tc>
      </w:tr>
      <w:tr>
        <w:trPr/>
        <w:tc>
          <w:tcPr>
            <w:tcW w:w="335" w:type="dxa"/>
            <w:tcBorders/>
            <w:vAlign w:val="center"/>
          </w:tcPr>
          <w:p>
            <w:pPr>
              <w:pStyle w:val="TableContents"/>
              <w:bidi w:val="0"/>
              <w:spacing w:before="0" w:after="283"/>
              <w:jc w:val="center"/>
              <w:rPr/>
            </w:pPr>
            <w:r>
              <w:rPr/>
              <w:t> </w:t>
            </w:r>
          </w:p>
        </w:tc>
        <w:tc>
          <w:tcPr>
            <w:tcW w:w="30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6.3</w:t>
            </w:r>
          </w:p>
        </w:tc>
        <w:tc>
          <w:tcPr>
            <w:tcW w:w="3080" w:type="dxa"/>
            <w:tcBorders/>
            <w:shd w:fill="CCEEFF" w:val="clear"/>
            <w:vAlign w:val="center"/>
          </w:tcPr>
          <w:p>
            <w:pPr>
              <w:pStyle w:val="TableContents"/>
              <w:bidi w:val="0"/>
              <w:spacing w:before="0" w:after="0"/>
              <w:jc w:val="left"/>
              <w:rPr/>
            </w:pPr>
            <w:r>
              <w:rPr/>
              <w:t>Company Lock-Up Agreements</w:t>
            </w:r>
          </w:p>
        </w:tc>
        <w:tc>
          <w:tcPr>
            <w:tcW w:w="275" w:type="dxa"/>
            <w:tcBorders/>
            <w:shd w:fill="CCEEFF" w:val="clear"/>
            <w:vAlign w:val="center"/>
          </w:tcPr>
          <w:p>
            <w:pPr>
              <w:pStyle w:val="TableContents"/>
              <w:bidi w:val="0"/>
              <w:spacing w:before="0" w:after="0"/>
              <w:jc w:val="right"/>
              <w:rPr/>
            </w:pPr>
            <w:r>
              <w:rPr/>
              <w:t>67</w:t>
            </w:r>
          </w:p>
        </w:tc>
      </w:tr>
      <w:tr>
        <w:trPr/>
        <w:tc>
          <w:tcPr>
            <w:tcW w:w="335" w:type="dxa"/>
            <w:tcBorders/>
            <w:vAlign w:val="center"/>
          </w:tcPr>
          <w:p>
            <w:pPr>
              <w:pStyle w:val="TableContents"/>
              <w:bidi w:val="0"/>
              <w:spacing w:before="0" w:after="283"/>
              <w:jc w:val="center"/>
              <w:rPr/>
            </w:pPr>
            <w:r>
              <w:rPr/>
              <w:t> </w:t>
            </w:r>
          </w:p>
        </w:tc>
        <w:tc>
          <w:tcPr>
            <w:tcW w:w="30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6.4</w:t>
            </w:r>
          </w:p>
        </w:tc>
        <w:tc>
          <w:tcPr>
            <w:tcW w:w="3080" w:type="dxa"/>
            <w:tcBorders/>
            <w:shd w:fill="CCEEFF" w:val="clear"/>
            <w:vAlign w:val="center"/>
          </w:tcPr>
          <w:p>
            <w:pPr>
              <w:pStyle w:val="TableContents"/>
              <w:bidi w:val="0"/>
              <w:spacing w:before="0" w:after="0"/>
              <w:jc w:val="left"/>
              <w:rPr/>
            </w:pPr>
            <w:r>
              <w:rPr/>
              <w:t>Registration Rights Agreements</w:t>
            </w:r>
          </w:p>
        </w:tc>
        <w:tc>
          <w:tcPr>
            <w:tcW w:w="275" w:type="dxa"/>
            <w:tcBorders/>
            <w:shd w:fill="CCEEFF" w:val="clear"/>
            <w:vAlign w:val="center"/>
          </w:tcPr>
          <w:p>
            <w:pPr>
              <w:pStyle w:val="TableContents"/>
              <w:bidi w:val="0"/>
              <w:spacing w:before="0" w:after="0"/>
              <w:jc w:val="right"/>
              <w:rPr/>
            </w:pPr>
            <w:r>
              <w:rPr/>
              <w:t>67</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bl>
    <w:p>
      <w:pPr>
        <w:pStyle w:val="Normal"/>
        <w:bidi w:val="0"/>
        <w:spacing w:before="0" w:after="0"/>
        <w:jc w:val="left"/>
        <w:rPr>
          <w:sz w:val="4"/>
          <w:szCs w:val="4"/>
        </w:rPr>
      </w:pPr>
      <w:r>
        <w:rPr>
          <w:sz w:val="4"/>
          <w:szCs w:val="4"/>
        </w:rPr>
      </w:r>
      <w:bookmarkStart w:id="138" w:name="zffe50e87214f40a188ac117deeffe260"/>
      <w:bookmarkStart w:id="139" w:name="zffe50e87214f40a188ac117deeffe260"/>
      <w:bookmarkEnd w:id="139"/>
    </w:p>
    <w:tbl>
      <w:tblPr>
        <w:tblW w:w="5205" w:type="dxa"/>
        <w:jc w:val="left"/>
        <w:tblInd w:w="0" w:type="dxa"/>
        <w:tblLayout w:type="fixed"/>
        <w:tblCellMar>
          <w:top w:w="0" w:type="dxa"/>
          <w:left w:w="0" w:type="dxa"/>
          <w:bottom w:w="0" w:type="dxa"/>
          <w:right w:w="0" w:type="dxa"/>
        </w:tblCellMar>
      </w:tblPr>
      <w:tblGrid>
        <w:gridCol w:w="980"/>
        <w:gridCol w:w="3950"/>
        <w:gridCol w:w="275"/>
      </w:tblGrid>
      <w:tr>
        <w:trPr/>
        <w:tc>
          <w:tcPr>
            <w:tcW w:w="980" w:type="dxa"/>
            <w:tcBorders/>
            <w:shd w:fill="CCEEFF" w:val="clear"/>
            <w:vAlign w:val="center"/>
          </w:tcPr>
          <w:p>
            <w:pPr>
              <w:pStyle w:val="TableContents"/>
              <w:bidi w:val="0"/>
              <w:spacing w:before="0" w:after="0"/>
              <w:jc w:val="left"/>
              <w:rPr/>
            </w:pPr>
            <w:r>
              <w:rPr/>
              <w:t>Section 7.</w:t>
            </w:r>
          </w:p>
        </w:tc>
        <w:tc>
          <w:tcPr>
            <w:tcW w:w="3950" w:type="dxa"/>
            <w:tcBorders/>
            <w:shd w:fill="CCEEFF" w:val="clear"/>
            <w:vAlign w:val="center"/>
          </w:tcPr>
          <w:p>
            <w:pPr>
              <w:pStyle w:val="TableContents"/>
              <w:bidi w:val="0"/>
              <w:spacing w:before="0" w:after="0"/>
              <w:jc w:val="left"/>
              <w:rPr/>
            </w:pPr>
            <w:r>
              <w:rPr/>
              <w:t>CLOSING DELIVERIES OF PARENT</w:t>
            </w:r>
          </w:p>
        </w:tc>
        <w:tc>
          <w:tcPr>
            <w:tcW w:w="275" w:type="dxa"/>
            <w:tcBorders/>
            <w:shd w:fill="CCEEFF" w:val="clear"/>
            <w:vAlign w:val="center"/>
          </w:tcPr>
          <w:p>
            <w:pPr>
              <w:pStyle w:val="TableContents"/>
              <w:bidi w:val="0"/>
              <w:spacing w:before="0" w:after="0"/>
              <w:jc w:val="right"/>
              <w:rPr/>
            </w:pPr>
            <w:r>
              <w:rPr/>
              <w:t>67</w:t>
            </w:r>
          </w:p>
        </w:tc>
      </w:tr>
    </w:tbl>
    <w:p>
      <w:pPr>
        <w:pStyle w:val="Normal"/>
        <w:bidi w:val="0"/>
        <w:spacing w:before="0" w:after="0"/>
        <w:jc w:val="left"/>
        <w:rPr>
          <w:sz w:val="4"/>
          <w:szCs w:val="4"/>
        </w:rPr>
      </w:pPr>
      <w:r>
        <w:rPr>
          <w:sz w:val="4"/>
          <w:szCs w:val="4"/>
        </w:rPr>
      </w:r>
      <w:bookmarkStart w:id="140" w:name="z71ea544898e542a2aacb1ffc0b3feb3e"/>
      <w:bookmarkStart w:id="141" w:name="z71ea544898e542a2aacb1ffc0b3feb3e"/>
      <w:bookmarkEnd w:id="141"/>
    </w:p>
    <w:tbl>
      <w:tblPr>
        <w:tblW w:w="3645" w:type="dxa"/>
        <w:jc w:val="left"/>
        <w:tblInd w:w="0" w:type="dxa"/>
        <w:tblLayout w:type="fixed"/>
        <w:tblCellMar>
          <w:top w:w="0" w:type="dxa"/>
          <w:left w:w="0" w:type="dxa"/>
          <w:bottom w:w="0" w:type="dxa"/>
          <w:right w:w="0" w:type="dxa"/>
        </w:tblCellMar>
      </w:tblPr>
      <w:tblGrid>
        <w:gridCol w:w="335"/>
        <w:gridCol w:w="3035"/>
        <w:gridCol w:w="275"/>
      </w:tblGrid>
      <w:tr>
        <w:trPr/>
        <w:tc>
          <w:tcPr>
            <w:tcW w:w="33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7.1</w:t>
            </w:r>
          </w:p>
        </w:tc>
        <w:tc>
          <w:tcPr>
            <w:tcW w:w="3035" w:type="dxa"/>
            <w:tcBorders/>
            <w:shd w:fill="CCEEFF" w:val="clear"/>
            <w:vAlign w:val="center"/>
          </w:tcPr>
          <w:p>
            <w:pPr>
              <w:pStyle w:val="TableContents"/>
              <w:bidi w:val="0"/>
              <w:spacing w:before="0" w:after="0"/>
              <w:jc w:val="left"/>
              <w:rPr/>
            </w:pPr>
            <w:r>
              <w:rPr/>
              <w:t>Documents</w:t>
            </w:r>
          </w:p>
        </w:tc>
        <w:tc>
          <w:tcPr>
            <w:tcW w:w="275" w:type="dxa"/>
            <w:tcBorders/>
            <w:shd w:fill="CCEEFF" w:val="clear"/>
            <w:vAlign w:val="center"/>
          </w:tcPr>
          <w:p>
            <w:pPr>
              <w:pStyle w:val="TableContents"/>
              <w:bidi w:val="0"/>
              <w:spacing w:before="0" w:after="0"/>
              <w:jc w:val="right"/>
              <w:rPr/>
            </w:pPr>
            <w:r>
              <w:rPr/>
              <w:t>67</w:t>
            </w:r>
          </w:p>
        </w:tc>
      </w:tr>
      <w:tr>
        <w:trPr/>
        <w:tc>
          <w:tcPr>
            <w:tcW w:w="335" w:type="dxa"/>
            <w:tcBorders/>
            <w:vAlign w:val="center"/>
          </w:tcPr>
          <w:p>
            <w:pPr>
              <w:pStyle w:val="TableContents"/>
              <w:bidi w:val="0"/>
              <w:spacing w:before="0" w:after="283"/>
              <w:jc w:val="center"/>
              <w:rPr/>
            </w:pPr>
            <w:r>
              <w:rPr/>
              <w:t> </w:t>
            </w:r>
          </w:p>
        </w:tc>
        <w:tc>
          <w:tcPr>
            <w:tcW w:w="30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7.2</w:t>
            </w:r>
          </w:p>
        </w:tc>
        <w:tc>
          <w:tcPr>
            <w:tcW w:w="3035" w:type="dxa"/>
            <w:tcBorders/>
            <w:shd w:fill="CCEEFF" w:val="clear"/>
            <w:vAlign w:val="center"/>
          </w:tcPr>
          <w:p>
            <w:pPr>
              <w:pStyle w:val="TableContents"/>
              <w:bidi w:val="0"/>
              <w:spacing w:before="0" w:after="0"/>
              <w:jc w:val="left"/>
              <w:rPr/>
            </w:pPr>
            <w:r>
              <w:rPr/>
              <w:t>Listing</w:t>
            </w:r>
          </w:p>
        </w:tc>
        <w:tc>
          <w:tcPr>
            <w:tcW w:w="275" w:type="dxa"/>
            <w:tcBorders/>
            <w:shd w:fill="CCEEFF" w:val="clear"/>
            <w:vAlign w:val="center"/>
          </w:tcPr>
          <w:p>
            <w:pPr>
              <w:pStyle w:val="TableContents"/>
              <w:bidi w:val="0"/>
              <w:spacing w:before="0" w:after="0"/>
              <w:jc w:val="right"/>
              <w:rPr/>
            </w:pPr>
            <w:r>
              <w:rPr/>
              <w:t>68</w:t>
            </w:r>
          </w:p>
        </w:tc>
      </w:tr>
      <w:tr>
        <w:trPr/>
        <w:tc>
          <w:tcPr>
            <w:tcW w:w="335" w:type="dxa"/>
            <w:tcBorders/>
            <w:vAlign w:val="center"/>
          </w:tcPr>
          <w:p>
            <w:pPr>
              <w:pStyle w:val="TableContents"/>
              <w:bidi w:val="0"/>
              <w:spacing w:before="0" w:after="283"/>
              <w:jc w:val="center"/>
              <w:rPr/>
            </w:pPr>
            <w:r>
              <w:rPr/>
              <w:t> </w:t>
            </w:r>
          </w:p>
        </w:tc>
        <w:tc>
          <w:tcPr>
            <w:tcW w:w="30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7.3</w:t>
            </w:r>
          </w:p>
        </w:tc>
        <w:tc>
          <w:tcPr>
            <w:tcW w:w="3035" w:type="dxa"/>
            <w:tcBorders/>
            <w:shd w:fill="CCEEFF" w:val="clear"/>
            <w:vAlign w:val="center"/>
          </w:tcPr>
          <w:p>
            <w:pPr>
              <w:pStyle w:val="TableContents"/>
              <w:bidi w:val="0"/>
              <w:spacing w:before="0" w:after="0"/>
              <w:jc w:val="left"/>
              <w:rPr/>
            </w:pPr>
            <w:r>
              <w:rPr/>
              <w:t>Parent Lock-Up Agreements</w:t>
            </w:r>
          </w:p>
        </w:tc>
        <w:tc>
          <w:tcPr>
            <w:tcW w:w="275" w:type="dxa"/>
            <w:tcBorders/>
            <w:shd w:fill="CCEEFF" w:val="clear"/>
            <w:vAlign w:val="center"/>
          </w:tcPr>
          <w:p>
            <w:pPr>
              <w:pStyle w:val="TableContents"/>
              <w:bidi w:val="0"/>
              <w:spacing w:before="0" w:after="0"/>
              <w:jc w:val="right"/>
              <w:rPr/>
            </w:pPr>
            <w:r>
              <w:rPr/>
              <w:t>68</w:t>
            </w:r>
          </w:p>
        </w:tc>
      </w:tr>
      <w:tr>
        <w:trPr/>
        <w:tc>
          <w:tcPr>
            <w:tcW w:w="335" w:type="dxa"/>
            <w:tcBorders/>
            <w:vAlign w:val="center"/>
          </w:tcPr>
          <w:p>
            <w:pPr>
              <w:pStyle w:val="TableContents"/>
              <w:bidi w:val="0"/>
              <w:spacing w:before="0" w:after="283"/>
              <w:jc w:val="center"/>
              <w:rPr/>
            </w:pPr>
            <w:r>
              <w:rPr/>
              <w:t> </w:t>
            </w:r>
          </w:p>
        </w:tc>
        <w:tc>
          <w:tcPr>
            <w:tcW w:w="30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35" w:type="dxa"/>
            <w:tcBorders/>
            <w:shd w:fill="CCEEFF" w:val="clear"/>
            <w:vAlign w:val="center"/>
          </w:tcPr>
          <w:p>
            <w:pPr>
              <w:pStyle w:val="TableContents"/>
              <w:bidi w:val="0"/>
              <w:spacing w:before="0" w:after="0"/>
              <w:jc w:val="center"/>
              <w:rPr/>
            </w:pPr>
            <w:r>
              <w:rPr/>
              <w:t>7.4</w:t>
            </w:r>
          </w:p>
        </w:tc>
        <w:tc>
          <w:tcPr>
            <w:tcW w:w="3035" w:type="dxa"/>
            <w:tcBorders/>
            <w:shd w:fill="CCEEFF" w:val="clear"/>
            <w:vAlign w:val="center"/>
          </w:tcPr>
          <w:p>
            <w:pPr>
              <w:pStyle w:val="TableContents"/>
              <w:bidi w:val="0"/>
              <w:spacing w:before="0" w:after="0"/>
              <w:jc w:val="left"/>
              <w:rPr/>
            </w:pPr>
            <w:r>
              <w:rPr/>
              <w:t>Registration Rights Agreements</w:t>
            </w:r>
          </w:p>
        </w:tc>
        <w:tc>
          <w:tcPr>
            <w:tcW w:w="275" w:type="dxa"/>
            <w:tcBorders/>
            <w:shd w:fill="CCEEFF" w:val="clear"/>
            <w:vAlign w:val="center"/>
          </w:tcPr>
          <w:p>
            <w:pPr>
              <w:pStyle w:val="TableContents"/>
              <w:bidi w:val="0"/>
              <w:spacing w:before="0" w:after="0"/>
              <w:jc w:val="right"/>
              <w:rPr/>
            </w:pPr>
            <w:r>
              <w:rPr/>
              <w:t>68</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TABLE OF CONTENTS</w:t>
      </w:r>
      <w:r>
        <w:rPr>
          <w:rFonts w:ascii="Times New Roman" w:hAnsi="Times New Roman"/>
          <w:color w:val="000000"/>
          <w:sz w:val="20"/>
        </w:rPr>
        <w:br/>
        <w:t>(continued)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2" w:name="zbade17424c964a1bace230acdb4f415c"/>
      <w:bookmarkStart w:id="143" w:name="zbade17424c964a1bace230acdb4f415c"/>
      <w:bookmarkEnd w:id="143"/>
    </w:p>
    <w:tbl>
      <w:tblPr>
        <w:tblW w:w="5040" w:type="dxa"/>
        <w:jc w:val="left"/>
        <w:tblInd w:w="0" w:type="dxa"/>
        <w:tblLayout w:type="fixed"/>
        <w:tblCellMar>
          <w:top w:w="0" w:type="dxa"/>
          <w:left w:w="0" w:type="dxa"/>
          <w:bottom w:w="0" w:type="dxa"/>
          <w:right w:w="0" w:type="dxa"/>
        </w:tblCellMar>
      </w:tblPr>
      <w:tblGrid>
        <w:gridCol w:w="980"/>
        <w:gridCol w:w="3560"/>
        <w:gridCol w:w="500"/>
      </w:tblGrid>
      <w:tr>
        <w:trPr/>
        <w:tc>
          <w:tcPr>
            <w:tcW w:w="98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right"/>
              <w:rPr/>
            </w:pPr>
            <w:r>
              <w:rPr/>
              <w:t>Page</w:t>
            </w:r>
          </w:p>
        </w:tc>
      </w:tr>
      <w:tr>
        <w:trPr/>
        <w:tc>
          <w:tcPr>
            <w:tcW w:w="98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pPr>
            <w:r>
              <w:rPr/>
              <w:t>Section 8.</w:t>
            </w:r>
          </w:p>
        </w:tc>
        <w:tc>
          <w:tcPr>
            <w:tcW w:w="3560" w:type="dxa"/>
            <w:tcBorders/>
            <w:shd w:fill="CCEEFF" w:val="clear"/>
            <w:vAlign w:val="center"/>
          </w:tcPr>
          <w:p>
            <w:pPr>
              <w:pStyle w:val="TableContents"/>
              <w:bidi w:val="0"/>
              <w:spacing w:before="0" w:after="0"/>
              <w:jc w:val="left"/>
              <w:rPr/>
            </w:pPr>
            <w:r>
              <w:rPr/>
              <w:t>MISCELLANEOUS PROVISIONS</w:t>
            </w:r>
          </w:p>
        </w:tc>
        <w:tc>
          <w:tcPr>
            <w:tcW w:w="500" w:type="dxa"/>
            <w:tcBorders/>
            <w:shd w:fill="CCEEFF" w:val="clear"/>
            <w:vAlign w:val="center"/>
          </w:tcPr>
          <w:p>
            <w:pPr>
              <w:pStyle w:val="TableContents"/>
              <w:bidi w:val="0"/>
              <w:spacing w:before="0" w:after="0"/>
              <w:jc w:val="right"/>
              <w:rPr/>
            </w:pPr>
            <w:r>
              <w:rPr/>
              <w:t>68</w:t>
            </w:r>
          </w:p>
        </w:tc>
      </w:tr>
    </w:tbl>
    <w:p>
      <w:pPr>
        <w:pStyle w:val="Normal"/>
        <w:bidi w:val="0"/>
        <w:spacing w:before="0" w:after="0"/>
        <w:jc w:val="left"/>
        <w:rPr>
          <w:sz w:val="4"/>
          <w:szCs w:val="4"/>
        </w:rPr>
      </w:pPr>
      <w:r>
        <w:rPr>
          <w:sz w:val="4"/>
          <w:szCs w:val="4"/>
        </w:rPr>
      </w:r>
      <w:bookmarkStart w:id="144" w:name="z77ad642c45904cb4b0ca958a5cb86279"/>
      <w:bookmarkStart w:id="145" w:name="z77ad642c45904cb4b0ca958a5cb86279"/>
      <w:bookmarkEnd w:id="145"/>
    </w:p>
    <w:tbl>
      <w:tblPr>
        <w:tblW w:w="7560" w:type="dxa"/>
        <w:jc w:val="left"/>
        <w:tblInd w:w="0" w:type="dxa"/>
        <w:tblLayout w:type="fixed"/>
        <w:tblCellMar>
          <w:top w:w="0" w:type="dxa"/>
          <w:left w:w="0" w:type="dxa"/>
          <w:bottom w:w="0" w:type="dxa"/>
          <w:right w:w="0" w:type="dxa"/>
        </w:tblCellMar>
      </w:tblPr>
      <w:tblGrid>
        <w:gridCol w:w="455"/>
        <w:gridCol w:w="6830"/>
        <w:gridCol w:w="275"/>
      </w:tblGrid>
      <w:tr>
        <w:trPr/>
        <w:tc>
          <w:tcPr>
            <w:tcW w:w="4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8.1</w:t>
            </w:r>
          </w:p>
        </w:tc>
        <w:tc>
          <w:tcPr>
            <w:tcW w:w="6830" w:type="dxa"/>
            <w:tcBorders/>
            <w:shd w:fill="CCEEFF" w:val="clear"/>
            <w:vAlign w:val="center"/>
          </w:tcPr>
          <w:p>
            <w:pPr>
              <w:pStyle w:val="TableContents"/>
              <w:bidi w:val="0"/>
              <w:spacing w:before="0" w:after="0"/>
              <w:jc w:val="left"/>
              <w:rPr/>
            </w:pPr>
            <w:r>
              <w:rPr/>
              <w:t>Non-Survival of Representations and Warranties</w:t>
            </w:r>
          </w:p>
        </w:tc>
        <w:tc>
          <w:tcPr>
            <w:tcW w:w="275" w:type="dxa"/>
            <w:tcBorders/>
            <w:shd w:fill="CCEEFF" w:val="clear"/>
            <w:vAlign w:val="center"/>
          </w:tcPr>
          <w:p>
            <w:pPr>
              <w:pStyle w:val="TableContents"/>
              <w:bidi w:val="0"/>
              <w:spacing w:before="0" w:after="0"/>
              <w:jc w:val="right"/>
              <w:rPr/>
            </w:pPr>
            <w:r>
              <w:rPr/>
              <w:t>68</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8.2</w:t>
            </w:r>
          </w:p>
        </w:tc>
        <w:tc>
          <w:tcPr>
            <w:tcW w:w="6830" w:type="dxa"/>
            <w:tcBorders/>
            <w:shd w:fill="CCEEFF" w:val="clear"/>
            <w:vAlign w:val="center"/>
          </w:tcPr>
          <w:p>
            <w:pPr>
              <w:pStyle w:val="TableContents"/>
              <w:bidi w:val="0"/>
              <w:spacing w:before="0" w:after="0"/>
              <w:jc w:val="left"/>
              <w:rPr/>
            </w:pPr>
            <w:r>
              <w:rPr/>
              <w:t>Amendment</w:t>
            </w:r>
          </w:p>
        </w:tc>
        <w:tc>
          <w:tcPr>
            <w:tcW w:w="275" w:type="dxa"/>
            <w:tcBorders/>
            <w:shd w:fill="CCEEFF" w:val="clear"/>
            <w:vAlign w:val="center"/>
          </w:tcPr>
          <w:p>
            <w:pPr>
              <w:pStyle w:val="TableContents"/>
              <w:bidi w:val="0"/>
              <w:spacing w:before="0" w:after="0"/>
              <w:jc w:val="right"/>
              <w:rPr/>
            </w:pPr>
            <w:r>
              <w:rPr/>
              <w:t>68</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8.3</w:t>
            </w:r>
          </w:p>
        </w:tc>
        <w:tc>
          <w:tcPr>
            <w:tcW w:w="6830" w:type="dxa"/>
            <w:tcBorders/>
            <w:shd w:fill="CCEEFF" w:val="clear"/>
            <w:vAlign w:val="center"/>
          </w:tcPr>
          <w:p>
            <w:pPr>
              <w:pStyle w:val="TableContents"/>
              <w:bidi w:val="0"/>
              <w:spacing w:before="0" w:after="0"/>
              <w:jc w:val="left"/>
              <w:rPr/>
            </w:pPr>
            <w:r>
              <w:rPr/>
              <w:t>Waiver.</w:t>
            </w:r>
          </w:p>
        </w:tc>
        <w:tc>
          <w:tcPr>
            <w:tcW w:w="275" w:type="dxa"/>
            <w:tcBorders/>
            <w:shd w:fill="CCEEFF" w:val="clear"/>
            <w:vAlign w:val="center"/>
          </w:tcPr>
          <w:p>
            <w:pPr>
              <w:pStyle w:val="TableContents"/>
              <w:bidi w:val="0"/>
              <w:spacing w:before="0" w:after="0"/>
              <w:jc w:val="right"/>
              <w:rPr/>
            </w:pPr>
            <w:r>
              <w:rPr/>
              <w:t>68</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8.4</w:t>
            </w:r>
          </w:p>
        </w:tc>
        <w:tc>
          <w:tcPr>
            <w:tcW w:w="6830" w:type="dxa"/>
            <w:tcBorders/>
            <w:shd w:fill="CCEEFF" w:val="clear"/>
            <w:vAlign w:val="center"/>
          </w:tcPr>
          <w:p>
            <w:pPr>
              <w:pStyle w:val="TableContents"/>
              <w:bidi w:val="0"/>
              <w:spacing w:before="0" w:after="0"/>
              <w:jc w:val="left"/>
              <w:rPr/>
            </w:pPr>
            <w:r>
              <w:rPr/>
              <w:t>Entire Agreement; Counterparts; Exchanges by Electronic Transmission</w:t>
            </w:r>
          </w:p>
        </w:tc>
        <w:tc>
          <w:tcPr>
            <w:tcW w:w="275" w:type="dxa"/>
            <w:tcBorders/>
            <w:shd w:fill="CCEEFF" w:val="clear"/>
            <w:vAlign w:val="center"/>
          </w:tcPr>
          <w:p>
            <w:pPr>
              <w:pStyle w:val="TableContents"/>
              <w:bidi w:val="0"/>
              <w:spacing w:before="0" w:after="0"/>
              <w:jc w:val="right"/>
              <w:rPr/>
            </w:pPr>
            <w:r>
              <w:rPr/>
              <w:t>69</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8.5</w:t>
            </w:r>
          </w:p>
        </w:tc>
        <w:tc>
          <w:tcPr>
            <w:tcW w:w="6830" w:type="dxa"/>
            <w:tcBorders/>
            <w:shd w:fill="CCEEFF" w:val="clear"/>
            <w:vAlign w:val="center"/>
          </w:tcPr>
          <w:p>
            <w:pPr>
              <w:pStyle w:val="TableContents"/>
              <w:bidi w:val="0"/>
              <w:spacing w:before="0" w:after="0"/>
              <w:jc w:val="left"/>
              <w:rPr/>
            </w:pPr>
            <w:r>
              <w:rPr/>
              <w:t>Applicable Law; Jurisdiction</w:t>
            </w:r>
          </w:p>
        </w:tc>
        <w:tc>
          <w:tcPr>
            <w:tcW w:w="275" w:type="dxa"/>
            <w:tcBorders/>
            <w:shd w:fill="CCEEFF" w:val="clear"/>
            <w:vAlign w:val="center"/>
          </w:tcPr>
          <w:p>
            <w:pPr>
              <w:pStyle w:val="TableContents"/>
              <w:bidi w:val="0"/>
              <w:spacing w:before="0" w:after="0"/>
              <w:jc w:val="right"/>
              <w:rPr/>
            </w:pPr>
            <w:r>
              <w:rPr/>
              <w:t>69</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8.6</w:t>
            </w:r>
          </w:p>
        </w:tc>
        <w:tc>
          <w:tcPr>
            <w:tcW w:w="6830" w:type="dxa"/>
            <w:tcBorders/>
            <w:shd w:fill="CCEEFF" w:val="clear"/>
            <w:vAlign w:val="center"/>
          </w:tcPr>
          <w:p>
            <w:pPr>
              <w:pStyle w:val="TableContents"/>
              <w:bidi w:val="0"/>
              <w:spacing w:before="0" w:after="0"/>
              <w:jc w:val="left"/>
              <w:rPr/>
            </w:pPr>
            <w:r>
              <w:rPr/>
              <w:t>Attorneys’ Fees</w:t>
            </w:r>
          </w:p>
        </w:tc>
        <w:tc>
          <w:tcPr>
            <w:tcW w:w="275" w:type="dxa"/>
            <w:tcBorders/>
            <w:shd w:fill="CCEEFF" w:val="clear"/>
            <w:vAlign w:val="center"/>
          </w:tcPr>
          <w:p>
            <w:pPr>
              <w:pStyle w:val="TableContents"/>
              <w:bidi w:val="0"/>
              <w:spacing w:before="0" w:after="0"/>
              <w:jc w:val="right"/>
              <w:rPr/>
            </w:pPr>
            <w:r>
              <w:rPr/>
              <w:t>69</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8.7</w:t>
            </w:r>
          </w:p>
        </w:tc>
        <w:tc>
          <w:tcPr>
            <w:tcW w:w="6830" w:type="dxa"/>
            <w:tcBorders/>
            <w:shd w:fill="CCEEFF" w:val="clear"/>
            <w:vAlign w:val="center"/>
          </w:tcPr>
          <w:p>
            <w:pPr>
              <w:pStyle w:val="TableContents"/>
              <w:bidi w:val="0"/>
              <w:spacing w:before="0" w:after="0"/>
              <w:jc w:val="left"/>
              <w:rPr/>
            </w:pPr>
            <w:r>
              <w:rPr/>
              <w:t>Assignability</w:t>
            </w:r>
          </w:p>
        </w:tc>
        <w:tc>
          <w:tcPr>
            <w:tcW w:w="275" w:type="dxa"/>
            <w:tcBorders/>
            <w:shd w:fill="CCEEFF" w:val="clear"/>
            <w:vAlign w:val="center"/>
          </w:tcPr>
          <w:p>
            <w:pPr>
              <w:pStyle w:val="TableContents"/>
              <w:bidi w:val="0"/>
              <w:spacing w:before="0" w:after="0"/>
              <w:jc w:val="right"/>
              <w:rPr/>
            </w:pPr>
            <w:r>
              <w:rPr/>
              <w:t>69</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8.8</w:t>
            </w:r>
          </w:p>
        </w:tc>
        <w:tc>
          <w:tcPr>
            <w:tcW w:w="6830" w:type="dxa"/>
            <w:tcBorders/>
            <w:shd w:fill="CCEEFF" w:val="clear"/>
            <w:vAlign w:val="center"/>
          </w:tcPr>
          <w:p>
            <w:pPr>
              <w:pStyle w:val="TableContents"/>
              <w:bidi w:val="0"/>
              <w:spacing w:before="0" w:after="0"/>
              <w:jc w:val="left"/>
              <w:rPr/>
            </w:pPr>
            <w:r>
              <w:rPr/>
              <w:t>Notices</w:t>
            </w:r>
          </w:p>
        </w:tc>
        <w:tc>
          <w:tcPr>
            <w:tcW w:w="275" w:type="dxa"/>
            <w:tcBorders/>
            <w:shd w:fill="CCEEFF" w:val="clear"/>
            <w:vAlign w:val="center"/>
          </w:tcPr>
          <w:p>
            <w:pPr>
              <w:pStyle w:val="TableContents"/>
              <w:bidi w:val="0"/>
              <w:spacing w:before="0" w:after="0"/>
              <w:jc w:val="right"/>
              <w:rPr/>
            </w:pPr>
            <w:r>
              <w:rPr/>
              <w:t>70</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8.9</w:t>
            </w:r>
          </w:p>
        </w:tc>
        <w:tc>
          <w:tcPr>
            <w:tcW w:w="6830" w:type="dxa"/>
            <w:tcBorders/>
            <w:shd w:fill="CCEEFF" w:val="clear"/>
            <w:vAlign w:val="center"/>
          </w:tcPr>
          <w:p>
            <w:pPr>
              <w:pStyle w:val="TableContents"/>
              <w:bidi w:val="0"/>
              <w:spacing w:before="0" w:after="0"/>
              <w:jc w:val="left"/>
              <w:rPr/>
            </w:pPr>
            <w:r>
              <w:rPr/>
              <w:t>Cooperation</w:t>
            </w:r>
          </w:p>
        </w:tc>
        <w:tc>
          <w:tcPr>
            <w:tcW w:w="275" w:type="dxa"/>
            <w:tcBorders/>
            <w:shd w:fill="CCEEFF" w:val="clear"/>
            <w:vAlign w:val="center"/>
          </w:tcPr>
          <w:p>
            <w:pPr>
              <w:pStyle w:val="TableContents"/>
              <w:bidi w:val="0"/>
              <w:spacing w:before="0" w:after="0"/>
              <w:jc w:val="right"/>
              <w:rPr/>
            </w:pPr>
            <w:r>
              <w:rPr/>
              <w:t>70</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8.10</w:t>
            </w:r>
          </w:p>
        </w:tc>
        <w:tc>
          <w:tcPr>
            <w:tcW w:w="6830" w:type="dxa"/>
            <w:tcBorders/>
            <w:shd w:fill="CCEEFF" w:val="clear"/>
            <w:vAlign w:val="center"/>
          </w:tcPr>
          <w:p>
            <w:pPr>
              <w:pStyle w:val="TableContents"/>
              <w:bidi w:val="0"/>
              <w:spacing w:before="0" w:after="0"/>
              <w:jc w:val="left"/>
              <w:rPr/>
            </w:pPr>
            <w:r>
              <w:rPr/>
              <w:t>Severability</w:t>
            </w:r>
          </w:p>
        </w:tc>
        <w:tc>
          <w:tcPr>
            <w:tcW w:w="275" w:type="dxa"/>
            <w:tcBorders/>
            <w:shd w:fill="CCEEFF" w:val="clear"/>
            <w:vAlign w:val="center"/>
          </w:tcPr>
          <w:p>
            <w:pPr>
              <w:pStyle w:val="TableContents"/>
              <w:bidi w:val="0"/>
              <w:spacing w:before="0" w:after="0"/>
              <w:jc w:val="right"/>
              <w:rPr/>
            </w:pPr>
            <w:r>
              <w:rPr/>
              <w:t>71</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8.11</w:t>
            </w:r>
          </w:p>
        </w:tc>
        <w:tc>
          <w:tcPr>
            <w:tcW w:w="6830" w:type="dxa"/>
            <w:tcBorders/>
            <w:shd w:fill="CCEEFF" w:val="clear"/>
            <w:vAlign w:val="center"/>
          </w:tcPr>
          <w:p>
            <w:pPr>
              <w:pStyle w:val="TableContents"/>
              <w:bidi w:val="0"/>
              <w:spacing w:before="0" w:after="0"/>
              <w:jc w:val="left"/>
              <w:rPr/>
            </w:pPr>
            <w:r>
              <w:rPr/>
              <w:t>Other Remedies; Specific Performance</w:t>
            </w:r>
          </w:p>
        </w:tc>
        <w:tc>
          <w:tcPr>
            <w:tcW w:w="275" w:type="dxa"/>
            <w:tcBorders/>
            <w:shd w:fill="CCEEFF" w:val="clear"/>
            <w:vAlign w:val="center"/>
          </w:tcPr>
          <w:p>
            <w:pPr>
              <w:pStyle w:val="TableContents"/>
              <w:bidi w:val="0"/>
              <w:spacing w:before="0" w:after="0"/>
              <w:jc w:val="right"/>
              <w:rPr/>
            </w:pPr>
            <w:r>
              <w:rPr/>
              <w:t>71</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8.12</w:t>
            </w:r>
          </w:p>
        </w:tc>
        <w:tc>
          <w:tcPr>
            <w:tcW w:w="6830" w:type="dxa"/>
            <w:tcBorders/>
            <w:shd w:fill="CCEEFF" w:val="clear"/>
            <w:vAlign w:val="center"/>
          </w:tcPr>
          <w:p>
            <w:pPr>
              <w:pStyle w:val="TableContents"/>
              <w:bidi w:val="0"/>
              <w:spacing w:before="0" w:after="0"/>
              <w:jc w:val="left"/>
              <w:rPr/>
            </w:pPr>
            <w:r>
              <w:rPr/>
              <w:t>No Third-Party Beneficiaries</w:t>
            </w:r>
          </w:p>
        </w:tc>
        <w:tc>
          <w:tcPr>
            <w:tcW w:w="275" w:type="dxa"/>
            <w:tcBorders/>
            <w:shd w:fill="CCEEFF" w:val="clear"/>
            <w:vAlign w:val="center"/>
          </w:tcPr>
          <w:p>
            <w:pPr>
              <w:pStyle w:val="TableContents"/>
              <w:bidi w:val="0"/>
              <w:spacing w:before="0" w:after="0"/>
              <w:jc w:val="right"/>
              <w:rPr/>
            </w:pPr>
            <w:r>
              <w:rPr/>
              <w:t>71</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8.13</w:t>
            </w:r>
          </w:p>
        </w:tc>
        <w:tc>
          <w:tcPr>
            <w:tcW w:w="6830" w:type="dxa"/>
            <w:tcBorders/>
            <w:shd w:fill="CCEEFF" w:val="clear"/>
            <w:vAlign w:val="center"/>
          </w:tcPr>
          <w:p>
            <w:pPr>
              <w:pStyle w:val="TableContents"/>
              <w:bidi w:val="0"/>
              <w:spacing w:before="0" w:after="0"/>
              <w:jc w:val="left"/>
              <w:rPr/>
            </w:pPr>
            <w:r>
              <w:rPr/>
              <w:t>Construction.</w:t>
            </w:r>
          </w:p>
        </w:tc>
        <w:tc>
          <w:tcPr>
            <w:tcW w:w="275" w:type="dxa"/>
            <w:tcBorders/>
            <w:shd w:fill="CCEEFF" w:val="clear"/>
            <w:vAlign w:val="center"/>
          </w:tcPr>
          <w:p>
            <w:pPr>
              <w:pStyle w:val="TableContents"/>
              <w:bidi w:val="0"/>
              <w:spacing w:before="0" w:after="0"/>
              <w:jc w:val="right"/>
              <w:rPr/>
            </w:pPr>
            <w:r>
              <w:rPr/>
              <w:t>71</w:t>
            </w:r>
          </w:p>
        </w:tc>
      </w:tr>
      <w:tr>
        <w:trPr/>
        <w:tc>
          <w:tcPr>
            <w:tcW w:w="455" w:type="dxa"/>
            <w:tcBorders/>
            <w:vAlign w:val="center"/>
          </w:tcPr>
          <w:p>
            <w:pPr>
              <w:pStyle w:val="TableContents"/>
              <w:bidi w:val="0"/>
              <w:spacing w:before="0" w:after="283"/>
              <w:jc w:val="center"/>
              <w:rPr/>
            </w:pPr>
            <w:r>
              <w:rPr/>
              <w:t> </w:t>
            </w:r>
          </w:p>
        </w:tc>
        <w:tc>
          <w:tcPr>
            <w:tcW w:w="68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shd w:fill="CCEEFF" w:val="clear"/>
            <w:vAlign w:val="center"/>
          </w:tcPr>
          <w:p>
            <w:pPr>
              <w:pStyle w:val="TableContents"/>
              <w:bidi w:val="0"/>
              <w:spacing w:before="0" w:after="0"/>
              <w:jc w:val="center"/>
              <w:rPr/>
            </w:pPr>
            <w:r>
              <w:rPr/>
              <w:t>8.14</w:t>
            </w:r>
          </w:p>
        </w:tc>
        <w:tc>
          <w:tcPr>
            <w:tcW w:w="6830" w:type="dxa"/>
            <w:tcBorders/>
            <w:shd w:fill="CCEEFF" w:val="clear"/>
            <w:vAlign w:val="center"/>
          </w:tcPr>
          <w:p>
            <w:pPr>
              <w:pStyle w:val="TableContents"/>
              <w:bidi w:val="0"/>
              <w:spacing w:before="0" w:after="0"/>
              <w:jc w:val="left"/>
              <w:rPr/>
            </w:pPr>
            <w:r>
              <w:rPr/>
              <w:t>Expenses</w:t>
            </w:r>
          </w:p>
        </w:tc>
        <w:tc>
          <w:tcPr>
            <w:tcW w:w="275" w:type="dxa"/>
            <w:tcBorders/>
            <w:shd w:fill="CCEEFF" w:val="clear"/>
            <w:vAlign w:val="center"/>
          </w:tcPr>
          <w:p>
            <w:pPr>
              <w:pStyle w:val="TableContents"/>
              <w:bidi w:val="0"/>
              <w:spacing w:before="0" w:after="0"/>
              <w:jc w:val="right"/>
              <w:rPr/>
            </w:pPr>
            <w:r>
              <w:rPr/>
              <w:t>73</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13a7055812474a1d8ff94731a6f517b2"/>
      <w:bookmarkStart w:id="147" w:name="z13a7055812474a1d8ff94731a6f517b2"/>
      <w:bookmarkEnd w:id="147"/>
    </w:p>
    <w:tbl>
      <w:tblPr>
        <w:tblW w:w="7000" w:type="dxa"/>
        <w:jc w:val="left"/>
        <w:tblInd w:w="0" w:type="dxa"/>
        <w:tblLayout w:type="fixed"/>
        <w:tblCellMar>
          <w:top w:w="0" w:type="dxa"/>
          <w:left w:w="0" w:type="dxa"/>
          <w:bottom w:w="0" w:type="dxa"/>
          <w:right w:w="0" w:type="dxa"/>
        </w:tblCellMar>
      </w:tblPr>
      <w:tblGrid>
        <w:gridCol w:w="950"/>
        <w:gridCol w:w="6050"/>
      </w:tblGrid>
      <w:tr>
        <w:trPr/>
        <w:tc>
          <w:tcPr>
            <w:tcW w:w="7000" w:type="dxa"/>
            <w:gridSpan w:val="2"/>
            <w:tcBorders/>
            <w:vAlign w:val="center"/>
          </w:tcPr>
          <w:p>
            <w:pPr>
              <w:pStyle w:val="TableContents"/>
              <w:bidi w:val="0"/>
              <w:spacing w:before="0" w:after="0"/>
              <w:jc w:val="left"/>
              <w:rPr>
                <w:b/>
                <w:color w:val="000000"/>
              </w:rPr>
            </w:pPr>
            <w:r>
              <w:rPr>
                <w:b/>
                <w:color w:val="000000"/>
              </w:rPr>
              <w:t>Exhibits:</w:t>
            </w:r>
          </w:p>
        </w:tc>
      </w:tr>
      <w:tr>
        <w:trPr/>
        <w:tc>
          <w:tcPr>
            <w:tcW w:w="95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color w:val="000000"/>
              </w:rPr>
            </w:pPr>
            <w:r>
              <w:rPr>
                <w:color w:val="000000"/>
              </w:rPr>
              <w:t>Exhibit A</w:t>
            </w:r>
          </w:p>
        </w:tc>
        <w:tc>
          <w:tcPr>
            <w:tcW w:w="6050" w:type="dxa"/>
            <w:tcBorders/>
            <w:shd w:fill="CCEEFF" w:val="clear"/>
            <w:vAlign w:val="center"/>
          </w:tcPr>
          <w:p>
            <w:pPr>
              <w:pStyle w:val="TableContents"/>
              <w:bidi w:val="0"/>
              <w:spacing w:before="0" w:after="0"/>
              <w:jc w:val="left"/>
              <w:rPr>
                <w:color w:val="000000"/>
              </w:rPr>
            </w:pPr>
            <w:r>
              <w:rPr>
                <w:color w:val="000000"/>
              </w:rPr>
              <w:t>Definitions</w:t>
            </w:r>
          </w:p>
        </w:tc>
      </w:tr>
      <w:tr>
        <w:trPr/>
        <w:tc>
          <w:tcPr>
            <w:tcW w:w="950" w:type="dxa"/>
            <w:tcBorders/>
            <w:vAlign w:val="center"/>
          </w:tcPr>
          <w:p>
            <w:pPr>
              <w:pStyle w:val="TableContents"/>
              <w:bidi w:val="0"/>
              <w:spacing w:before="0" w:after="0"/>
              <w:jc w:val="left"/>
              <w:rPr>
                <w:color w:val="000000"/>
              </w:rPr>
            </w:pPr>
            <w:r>
              <w:rPr>
                <w:color w:val="000000"/>
              </w:rPr>
              <w:t>Exhibit B</w:t>
            </w:r>
          </w:p>
        </w:tc>
        <w:tc>
          <w:tcPr>
            <w:tcW w:w="6050" w:type="dxa"/>
            <w:tcBorders/>
            <w:vAlign w:val="center"/>
          </w:tcPr>
          <w:p>
            <w:pPr>
              <w:pStyle w:val="TableContents"/>
              <w:bidi w:val="0"/>
              <w:spacing w:before="0" w:after="0"/>
              <w:jc w:val="left"/>
              <w:rPr>
                <w:color w:val="000000"/>
              </w:rPr>
            </w:pPr>
            <w:r>
              <w:rPr>
                <w:color w:val="000000"/>
              </w:rPr>
              <w:t>Form of Lock-Up Agreement</w:t>
            </w:r>
          </w:p>
        </w:tc>
      </w:tr>
      <w:tr>
        <w:trPr/>
        <w:tc>
          <w:tcPr>
            <w:tcW w:w="950" w:type="dxa"/>
            <w:tcBorders/>
            <w:shd w:fill="CCEEFF" w:val="clear"/>
            <w:vAlign w:val="center"/>
          </w:tcPr>
          <w:p>
            <w:pPr>
              <w:pStyle w:val="TableContents"/>
              <w:bidi w:val="0"/>
              <w:spacing w:before="0" w:after="0"/>
              <w:jc w:val="left"/>
              <w:rPr>
                <w:color w:val="000000"/>
              </w:rPr>
            </w:pPr>
            <w:r>
              <w:rPr>
                <w:color w:val="000000"/>
              </w:rPr>
              <w:t>Exhibit C</w:t>
            </w:r>
          </w:p>
        </w:tc>
        <w:tc>
          <w:tcPr>
            <w:tcW w:w="6050" w:type="dxa"/>
            <w:tcBorders/>
            <w:shd w:fill="CCEEFF" w:val="clear"/>
            <w:vAlign w:val="center"/>
          </w:tcPr>
          <w:p>
            <w:pPr>
              <w:pStyle w:val="TableContents"/>
              <w:bidi w:val="0"/>
              <w:spacing w:before="0" w:after="0"/>
              <w:jc w:val="left"/>
              <w:rPr>
                <w:color w:val="000000"/>
              </w:rPr>
            </w:pPr>
            <w:r>
              <w:rPr>
                <w:color w:val="000000"/>
              </w:rPr>
              <w:t>Form of Series C Certificate of Designation</w:t>
            </w:r>
          </w:p>
        </w:tc>
      </w:tr>
      <w:tr>
        <w:trPr/>
        <w:tc>
          <w:tcPr>
            <w:tcW w:w="950" w:type="dxa"/>
            <w:tcBorders/>
            <w:vAlign w:val="center"/>
          </w:tcPr>
          <w:p>
            <w:pPr>
              <w:pStyle w:val="TableContents"/>
              <w:bidi w:val="0"/>
              <w:spacing w:before="0" w:after="0"/>
              <w:jc w:val="left"/>
              <w:rPr>
                <w:color w:val="000000"/>
              </w:rPr>
            </w:pPr>
            <w:r>
              <w:rPr>
                <w:color w:val="000000"/>
              </w:rPr>
              <w:t>Exhibit D</w:t>
            </w:r>
          </w:p>
        </w:tc>
        <w:tc>
          <w:tcPr>
            <w:tcW w:w="6050" w:type="dxa"/>
            <w:tcBorders/>
            <w:vAlign w:val="center"/>
          </w:tcPr>
          <w:p>
            <w:pPr>
              <w:pStyle w:val="TableContents"/>
              <w:bidi w:val="0"/>
              <w:spacing w:before="0" w:after="0"/>
              <w:jc w:val="left"/>
              <w:rPr>
                <w:color w:val="000000"/>
              </w:rPr>
            </w:pPr>
            <w:r>
              <w:rPr>
                <w:color w:val="000000"/>
              </w:rPr>
              <w:t>Form of Parent Support Agreement</w:t>
            </w:r>
          </w:p>
        </w:tc>
      </w:tr>
      <w:tr>
        <w:trPr/>
        <w:tc>
          <w:tcPr>
            <w:tcW w:w="950" w:type="dxa"/>
            <w:tcBorders/>
            <w:shd w:fill="CCEEFF" w:val="clear"/>
            <w:vAlign w:val="center"/>
          </w:tcPr>
          <w:p>
            <w:pPr>
              <w:pStyle w:val="TableContents"/>
              <w:bidi w:val="0"/>
              <w:spacing w:before="0" w:after="0"/>
              <w:jc w:val="left"/>
              <w:rPr>
                <w:color w:val="000000"/>
              </w:rPr>
            </w:pPr>
            <w:r>
              <w:rPr>
                <w:color w:val="000000"/>
              </w:rPr>
              <w:t>Exhibit E</w:t>
            </w:r>
          </w:p>
        </w:tc>
        <w:tc>
          <w:tcPr>
            <w:tcW w:w="6050" w:type="dxa"/>
            <w:tcBorders/>
            <w:shd w:fill="CCEEFF" w:val="clear"/>
            <w:vAlign w:val="center"/>
          </w:tcPr>
          <w:p>
            <w:pPr>
              <w:pStyle w:val="TableContents"/>
              <w:bidi w:val="0"/>
              <w:spacing w:before="0" w:after="0"/>
              <w:jc w:val="left"/>
              <w:rPr>
                <w:color w:val="000000"/>
              </w:rPr>
            </w:pPr>
            <w:r>
              <w:rPr>
                <w:color w:val="000000"/>
              </w:rPr>
              <w:t>Form of PIPE Investor Registration Rights Agreement</w:t>
            </w:r>
          </w:p>
        </w:tc>
      </w:tr>
      <w:tr>
        <w:trPr/>
        <w:tc>
          <w:tcPr>
            <w:tcW w:w="950" w:type="dxa"/>
            <w:tcBorders/>
            <w:vAlign w:val="center"/>
          </w:tcPr>
          <w:p>
            <w:pPr>
              <w:pStyle w:val="TableContents"/>
              <w:bidi w:val="0"/>
              <w:spacing w:before="0" w:after="0"/>
              <w:jc w:val="left"/>
              <w:rPr>
                <w:color w:val="000000"/>
              </w:rPr>
            </w:pPr>
            <w:r>
              <w:rPr>
                <w:color w:val="000000"/>
              </w:rPr>
              <w:t>Exhibit F</w:t>
            </w:r>
          </w:p>
        </w:tc>
        <w:tc>
          <w:tcPr>
            <w:tcW w:w="6050" w:type="dxa"/>
            <w:tcBorders/>
            <w:vAlign w:val="center"/>
          </w:tcPr>
          <w:p>
            <w:pPr>
              <w:pStyle w:val="TableContents"/>
              <w:bidi w:val="0"/>
              <w:spacing w:before="0" w:after="0"/>
              <w:jc w:val="left"/>
              <w:rPr>
                <w:color w:val="000000"/>
              </w:rPr>
            </w:pPr>
            <w:r>
              <w:rPr>
                <w:color w:val="000000"/>
              </w:rPr>
              <w:t>Form of Company Stockholders Registration Rights Agreement</w:t>
            </w:r>
          </w:p>
        </w:tc>
      </w:tr>
      <w:tr>
        <w:trPr/>
        <w:tc>
          <w:tcPr>
            <w:tcW w:w="950" w:type="dxa"/>
            <w:tcBorders/>
            <w:shd w:fill="CCEEFF" w:val="clear"/>
            <w:vAlign w:val="center"/>
          </w:tcPr>
          <w:p>
            <w:pPr>
              <w:pStyle w:val="TableContents"/>
              <w:bidi w:val="0"/>
              <w:spacing w:before="0" w:after="0"/>
              <w:jc w:val="left"/>
              <w:rPr>
                <w:color w:val="000000"/>
              </w:rPr>
            </w:pPr>
            <w:r>
              <w:rPr>
                <w:color w:val="000000"/>
              </w:rPr>
              <w:t>Exhibit G</w:t>
            </w:r>
          </w:p>
        </w:tc>
        <w:tc>
          <w:tcPr>
            <w:tcW w:w="6050" w:type="dxa"/>
            <w:tcBorders/>
            <w:shd w:fill="CCEEFF" w:val="clear"/>
            <w:vAlign w:val="center"/>
          </w:tcPr>
          <w:p>
            <w:pPr>
              <w:pStyle w:val="TableContents"/>
              <w:bidi w:val="0"/>
              <w:spacing w:before="0" w:after="0"/>
              <w:jc w:val="left"/>
              <w:rPr>
                <w:color w:val="000000"/>
              </w:rPr>
            </w:pPr>
            <w:r>
              <w:rPr>
                <w:color w:val="000000"/>
              </w:rPr>
              <w:t>Form of Parent Net Cash Certificate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AGREEMENT AND PLAN OF MERGER is made and entered into as of September 17, 2026, by and among Lisata Therapeutics, Inc., a Delaware corporation (“</w:t>
      </w:r>
      <w:r>
        <w:rPr>
          <w:rFonts w:ascii="Times New Roman" w:hAnsi="Times New Roman"/>
          <w:b/>
          <w:i/>
          <w:color w:val="000000"/>
          <w:sz w:val="20"/>
        </w:rPr>
        <w:t>Parent</w:t>
      </w:r>
      <w:r>
        <w:rPr>
          <w:rFonts w:ascii="Times New Roman" w:hAnsi="Times New Roman"/>
          <w:color w:val="000000"/>
          <w:sz w:val="20"/>
        </w:rPr>
        <w:t>”), Mariner Merger Sub I, Inc., a Delaware corporation and wholly owned subsidiary of Parent (“</w:t>
      </w:r>
      <w:r>
        <w:rPr>
          <w:rFonts w:ascii="Times New Roman" w:hAnsi="Times New Roman"/>
          <w:b/>
          <w:i/>
          <w:color w:val="000000"/>
          <w:sz w:val="20"/>
        </w:rPr>
        <w:t>First Merger Sub</w:t>
      </w:r>
      <w:r>
        <w:rPr>
          <w:rFonts w:ascii="Times New Roman" w:hAnsi="Times New Roman"/>
          <w:color w:val="000000"/>
          <w:sz w:val="20"/>
        </w:rPr>
        <w:t>”), Mariner Merger Sub II, LLC, a Delaware limited liability company and wholly owned subsidiary of Parent (“</w:t>
      </w:r>
      <w:r>
        <w:rPr>
          <w:rFonts w:ascii="Times New Roman" w:hAnsi="Times New Roman"/>
          <w:b/>
          <w:i/>
          <w:color w:val="000000"/>
          <w:sz w:val="20"/>
        </w:rPr>
        <w:t>Second Merger Sub</w:t>
      </w:r>
      <w:r>
        <w:rPr>
          <w:rFonts w:ascii="Times New Roman" w:hAnsi="Times New Roman"/>
          <w:color w:val="000000"/>
          <w:sz w:val="20"/>
        </w:rPr>
        <w:t>” and together with First Merger Sub, “</w:t>
      </w:r>
      <w:r>
        <w:rPr>
          <w:rFonts w:ascii="Times New Roman" w:hAnsi="Times New Roman"/>
          <w:b/>
          <w:i/>
          <w:color w:val="000000"/>
          <w:sz w:val="20"/>
        </w:rPr>
        <w:t>Merger Subs</w:t>
      </w:r>
      <w:r>
        <w:rPr>
          <w:rFonts w:ascii="Times New Roman" w:hAnsi="Times New Roman"/>
          <w:color w:val="000000"/>
          <w:sz w:val="20"/>
        </w:rPr>
        <w:t>”), and Marea Therapeutics, Inc., a Delaware corporation (the “</w:t>
      </w:r>
      <w:r>
        <w:rPr>
          <w:rFonts w:ascii="Times New Roman" w:hAnsi="Times New Roman"/>
          <w:b/>
          <w:i/>
          <w:color w:val="000000"/>
          <w:sz w:val="20"/>
        </w:rPr>
        <w:t>Company</w:t>
      </w:r>
      <w:r>
        <w:rPr>
          <w:rFonts w:ascii="Times New Roman" w:hAnsi="Times New Roman"/>
          <w:color w:val="000000"/>
          <w:sz w:val="20"/>
        </w:rPr>
        <w:t xml:space="preserve">”). Certain capitalized terms used in this Agreement are defined in </w:t>
      </w:r>
      <w:r>
        <w:rPr>
          <w:rFonts w:ascii="Times New Roman" w:hAnsi="Times New Roman"/>
          <w:b/>
          <w:color w:val="000000"/>
          <w:sz w:val="20"/>
        </w:rPr>
        <w:t>Exhibit A</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Prior to entry into this Agreement, the Company effected a series of pre-closing transactions in accordance with the applicable provision of the DGCL, pursuant to which the Company effected, among other things, (i) a merger of Project Athena Mergersub, Inc., a Delaware corporation and direct wholly owned subsidiary of the Company, with and into M2 Therapeutics, Inc., a Delaware corporation (“</w:t>
      </w:r>
      <w:r>
        <w:rPr>
          <w:rFonts w:ascii="Times New Roman" w:hAnsi="Times New Roman"/>
          <w:b/>
          <w:i/>
          <w:color w:val="000000"/>
          <w:sz w:val="20"/>
        </w:rPr>
        <w:t>M2 Inc.</w:t>
      </w:r>
      <w:r>
        <w:rPr>
          <w:rFonts w:ascii="Times New Roman" w:hAnsi="Times New Roman"/>
          <w:color w:val="000000"/>
          <w:sz w:val="20"/>
        </w:rPr>
        <w:t>”), with M2 Inc. surviving as a direct wholly owned subsidiary of the Company (the “</w:t>
      </w:r>
      <w:r>
        <w:rPr>
          <w:rFonts w:ascii="Times New Roman" w:hAnsi="Times New Roman"/>
          <w:b/>
          <w:i/>
          <w:color w:val="000000"/>
          <w:sz w:val="20"/>
        </w:rPr>
        <w:t>Recombination Merger</w:t>
      </w:r>
      <w:r>
        <w:rPr>
          <w:rFonts w:ascii="Times New Roman" w:hAnsi="Times New Roman"/>
          <w:color w:val="000000"/>
          <w:sz w:val="20"/>
        </w:rPr>
        <w:t>”), (ii) the assumption by the Company of the M2 SAFEs and the M2 Therapeutics, Inc. 2025 Stock Option and Grant Plan and (iii) following the effectiveness of the Recombination Merger, a merger of M2 Inc., as the surviving corporation in the Recombination Merger, with and into Project M2 MergerSub, LLC, a Delaware limited liability company and direct wholly owned subsidiary of the Company (“</w:t>
      </w:r>
      <w:r>
        <w:rPr>
          <w:rFonts w:ascii="Times New Roman" w:hAnsi="Times New Roman"/>
          <w:b/>
          <w:i/>
          <w:color w:val="000000"/>
          <w:sz w:val="20"/>
        </w:rPr>
        <w:t>M2 LLC</w:t>
      </w:r>
      <w:r>
        <w:rPr>
          <w:rFonts w:ascii="Times New Roman" w:hAnsi="Times New Roman"/>
          <w:color w:val="000000"/>
          <w:sz w:val="20"/>
        </w:rPr>
        <w:t>”), with M2 LLC surviving as a direct wholly owned subsidiary of the Company and renamed to be “M2 Therapeutics, LLC” (collectively, the “</w:t>
      </w:r>
      <w:r>
        <w:rPr>
          <w:rFonts w:ascii="Times New Roman" w:hAnsi="Times New Roman"/>
          <w:b/>
          <w:i/>
          <w:color w:val="000000"/>
          <w:sz w:val="20"/>
        </w:rPr>
        <w:t>Pre-Closing Recombination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Parent and the Company intend to effect a merger of First Merger Sub with and into the Company (the “</w:t>
      </w:r>
      <w:r>
        <w:rPr>
          <w:rFonts w:ascii="Times New Roman" w:hAnsi="Times New Roman"/>
          <w:b/>
          <w:i/>
          <w:color w:val="000000"/>
          <w:sz w:val="20"/>
        </w:rPr>
        <w:t>First Merger</w:t>
      </w:r>
      <w:r>
        <w:rPr>
          <w:rFonts w:ascii="Times New Roman" w:hAnsi="Times New Roman"/>
          <w:color w:val="000000"/>
          <w:sz w:val="20"/>
        </w:rPr>
        <w:t>”) in accordance with this Agreement and the DGCL. Upon consummation of the First Merger, First Merger Sub will cease to exist and the Company will become a wholly owned subsidiary of Parent.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Immediately following the First Merger and as part of the same overall transaction as the First Merger, the Company will merge with and into Second Merger Sub (the “</w:t>
      </w:r>
      <w:r>
        <w:rPr>
          <w:rFonts w:ascii="Times New Roman" w:hAnsi="Times New Roman"/>
          <w:b/>
          <w:i/>
          <w:color w:val="000000"/>
          <w:sz w:val="20"/>
        </w:rPr>
        <w:t>Second Merger</w:t>
      </w:r>
      <w:r>
        <w:rPr>
          <w:rFonts w:ascii="Times New Roman" w:hAnsi="Times New Roman"/>
          <w:color w:val="000000"/>
          <w:sz w:val="20"/>
        </w:rPr>
        <w:t>” and, together with the First Merger, the “</w:t>
      </w:r>
      <w:r>
        <w:rPr>
          <w:rFonts w:ascii="Times New Roman" w:hAnsi="Times New Roman"/>
          <w:b/>
          <w:i/>
          <w:color w:val="000000"/>
          <w:sz w:val="20"/>
        </w:rPr>
        <w:t>Merger</w:t>
      </w:r>
      <w:r>
        <w:rPr>
          <w:rFonts w:ascii="Times New Roman" w:hAnsi="Times New Roman"/>
          <w:color w:val="000000"/>
          <w:sz w:val="20"/>
        </w:rPr>
        <w:t>”), with Second Merger Sub being the surviving entity of the Second Merger;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The Parties intend that, </w:t>
      </w:r>
      <w:bookmarkStart w:id="148" w:name="DocXTextRef6"/>
      <w:bookmarkEnd w:id="148"/>
      <w:r>
        <w:rPr>
          <w:rFonts w:ascii="Times New Roman" w:hAnsi="Times New Roman"/>
          <w:color w:val="000000"/>
          <w:sz w:val="20"/>
        </w:rPr>
        <w:t xml:space="preserve">(i) the First Merger and the Second Merger, taken together, will constitute an integrated transaction described in Rev. Rul. 2001-46, 2001-2 C.B. </w:t>
      </w:r>
      <w:bookmarkStart w:id="149" w:name="DocXTextRef5"/>
      <w:bookmarkEnd w:id="149"/>
      <w:r>
        <w:rPr>
          <w:rFonts w:ascii="Times New Roman" w:hAnsi="Times New Roman"/>
          <w:color w:val="000000"/>
          <w:sz w:val="20"/>
        </w:rPr>
        <w:t xml:space="preserve">321 that qualifies as a “reorganization” within the meaning of Section </w:t>
      </w:r>
      <w:bookmarkStart w:id="150" w:name="DocXTextRef3"/>
      <w:bookmarkEnd w:id="150"/>
      <w:r>
        <w:rPr>
          <w:rFonts w:ascii="Times New Roman" w:hAnsi="Times New Roman"/>
          <w:color w:val="000000"/>
          <w:sz w:val="20"/>
        </w:rPr>
        <w:t xml:space="preserve">368(a) of the Code, and (ii) this Agreement will constitute, and is hereby adopted as, a plan of reorganization within the meaning of Treasury Regulations Sections </w:t>
      </w:r>
      <w:bookmarkStart w:id="151" w:name="DocXTextRef4"/>
      <w:bookmarkEnd w:id="151"/>
      <w:r>
        <w:rPr>
          <w:rFonts w:ascii="Times New Roman" w:hAnsi="Times New Roman"/>
          <w:color w:val="000000"/>
          <w:sz w:val="20"/>
        </w:rPr>
        <w:t xml:space="preserve">1.368-2(g) and </w:t>
      </w:r>
      <w:bookmarkStart w:id="152" w:name="DocXTextRef7"/>
      <w:bookmarkEnd w:id="152"/>
      <w:r>
        <w:rPr>
          <w:rFonts w:ascii="Times New Roman" w:hAnsi="Times New Roman"/>
          <w:color w:val="000000"/>
          <w:sz w:val="20"/>
        </w:rPr>
        <w:t>1.368-3(a).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The Parent Board has </w:t>
      </w:r>
      <w:bookmarkStart w:id="153" w:name="DocXTextRef8"/>
      <w:bookmarkEnd w:id="153"/>
      <w:r>
        <w:rPr>
          <w:rFonts w:ascii="Times New Roman" w:hAnsi="Times New Roman"/>
          <w:color w:val="000000"/>
          <w:sz w:val="20"/>
        </w:rPr>
        <w:t>(i) determined that the Contemplated Transactions are fair to, advisable and in the best interests of Parent and its stockholders, (ii) approved and declared advisable this Agreement and the Contemplated Transactions, including the issuance of the Parent Common Stock Payment Shares and the Parent Preferred Stock Payment Shares to the stockholders of the Company pursuant to the terms of this Agreement, and (iii) determined to recommend, upon the terms and subject to the conditions set forth in this Agreement, that the stockholders of the Parent vote to approve the Parent Stockholder Matters at the Parent Stockholders’ Meeting to be convened following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The First Merger Sub Board has </w:t>
      </w:r>
      <w:bookmarkStart w:id="154" w:name="DocXTextRef9"/>
      <w:bookmarkEnd w:id="154"/>
      <w:r>
        <w:rPr>
          <w:rFonts w:ascii="Times New Roman" w:hAnsi="Times New Roman"/>
          <w:color w:val="000000"/>
          <w:sz w:val="20"/>
        </w:rPr>
        <w:t>(i)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sole stockholder of First Merger Sub votes to adopt this Agreement and thereby approve the Contemplated Transactions.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G.           The sole member of the Second Merger Sub has </w:t>
      </w:r>
      <w:bookmarkStart w:id="155" w:name="DocXTextRef10"/>
      <w:bookmarkEnd w:id="155"/>
      <w:r>
        <w:rPr>
          <w:rFonts w:ascii="Times New Roman" w:hAnsi="Times New Roman"/>
          <w:color w:val="000000"/>
          <w:sz w:val="20"/>
        </w:rPr>
        <w:t>(i)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H.           The Company Board has </w:t>
      </w:r>
      <w:bookmarkStart w:id="156" w:name="DocXTextRef11"/>
      <w:bookmarkEnd w:id="156"/>
      <w:r>
        <w:rPr>
          <w:rFonts w:ascii="Times New Roman" w:hAnsi="Times New Roman"/>
          <w:color w:val="000000"/>
          <w:sz w:val="20"/>
        </w:rPr>
        <w:t>(i) determined that the Contemplated Transactions are fair to, advisable and in the best interests of the Company and its stockholders, (ii) approved and declared advisable this Agreement and the Contemplated Transactions and (iii) recommended, upon the terms and subject to the conditions set forth in this Agreement, that the stockholders of the Company vote to approve the Company Stockholder Matters (the “</w:t>
      </w:r>
      <w:r>
        <w:rPr>
          <w:rFonts w:ascii="Times New Roman" w:hAnsi="Times New Roman"/>
          <w:b/>
          <w:i/>
          <w:color w:val="000000"/>
          <w:sz w:val="20"/>
        </w:rPr>
        <w:t>Board Approval</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Subsequent to the Board Approval, but prior to the execution and delivery of this Agreement, the requisite Company stockholders by written consent and in accordance with the Company’s certificate of incorporation, the Company’s bylaws and the DGCL </w:t>
      </w:r>
      <w:bookmarkStart w:id="157" w:name="DocXTextRef14"/>
      <w:bookmarkEnd w:id="157"/>
      <w:r>
        <w:rPr>
          <w:rFonts w:ascii="Times New Roman" w:hAnsi="Times New Roman"/>
          <w:color w:val="000000"/>
          <w:sz w:val="20"/>
        </w:rPr>
        <w:t xml:space="preserve">(i) approved and adopted this Agreement and the Contemplated Transactions, (ii) acknowledged that the approval given thereby is irrevocable and that such stockholder is aware of its rights to demand appraisal for its shares pursuant to Section </w:t>
      </w:r>
      <w:bookmarkStart w:id="158" w:name="DocXTextRef12"/>
      <w:bookmarkEnd w:id="158"/>
      <w:r>
        <w:rPr>
          <w:rFonts w:ascii="Times New Roman" w:hAnsi="Times New Roman"/>
          <w:color w:val="000000"/>
          <w:sz w:val="20"/>
        </w:rPr>
        <w:t xml:space="preserve">262 of the DGCL, a true and correct copy of which was attached thereto, and that such stockholder has received and read a copy of Section </w:t>
      </w:r>
      <w:bookmarkStart w:id="159" w:name="DocXTextRef13"/>
      <w:bookmarkEnd w:id="159"/>
      <w:r>
        <w:rPr>
          <w:rFonts w:ascii="Times New Roman" w:hAnsi="Times New Roman"/>
          <w:color w:val="000000"/>
          <w:sz w:val="20"/>
        </w:rPr>
        <w:t>262 of the DGCL, and (iii) acknowledged that by its approval of the Merger it is not entitled to appraisal rights with respect to its shares in connection with the Merger and thereby waives any rights to receive payment of the fair value of its capital stock under the DGCL (such matters, the “</w:t>
      </w:r>
      <w:r>
        <w:rPr>
          <w:rFonts w:ascii="Times New Roman" w:hAnsi="Times New Roman"/>
          <w:b/>
          <w:i/>
          <w:color w:val="000000"/>
          <w:sz w:val="20"/>
        </w:rPr>
        <w:t>Company Stockholder Matters</w:t>
      </w:r>
      <w:r>
        <w:rPr>
          <w:rFonts w:ascii="Times New Roman" w:hAnsi="Times New Roman"/>
          <w:color w:val="000000"/>
          <w:sz w:val="20"/>
        </w:rPr>
        <w:t>” and the consent, the “</w:t>
      </w:r>
      <w:r>
        <w:rPr>
          <w:rFonts w:ascii="Times New Roman" w:hAnsi="Times New Roman"/>
          <w:b/>
          <w:i/>
          <w:color w:val="000000"/>
          <w:sz w:val="20"/>
        </w:rPr>
        <w:t>Stockholder Written Consent</w:t>
      </w:r>
      <w:r>
        <w:rPr>
          <w:rFonts w:ascii="Times New Roman" w:hAnsi="Times New Roman"/>
          <w:color w:val="000000"/>
          <w:sz w:val="20"/>
        </w:rPr>
        <w:t>”), and the Stockholder Written Consent is to become effective by its terms immediately following the execution of this Agreement by the parties hereto.</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J.            Concurrently with the execution and delivery of this Agreement and as a condition and inducement to the willingness of each of Parent and the Company to enter into this Agreement, all of the Persons listed in </w:t>
      </w:r>
      <w:r>
        <w:rPr>
          <w:rFonts w:ascii="Times New Roman" w:hAnsi="Times New Roman"/>
          <w:color w:val="000000"/>
          <w:sz w:val="20"/>
          <w:u w:val="single"/>
        </w:rPr>
        <w:t>Section A-1</w:t>
      </w:r>
      <w:r>
        <w:rPr>
          <w:rFonts w:ascii="Times New Roman" w:hAnsi="Times New Roman"/>
          <w:color w:val="000000"/>
          <w:sz w:val="20"/>
        </w:rPr>
        <w:t xml:space="preserve"> of the Parent Disclosure Schedule (solely in their capacity as stockholders of Parent) (the “</w:t>
      </w:r>
      <w:r>
        <w:rPr>
          <w:rFonts w:ascii="Times New Roman" w:hAnsi="Times New Roman"/>
          <w:b/>
          <w:i/>
          <w:color w:val="000000"/>
          <w:sz w:val="20"/>
        </w:rPr>
        <w:t>Parent Signatories</w:t>
      </w:r>
      <w:r>
        <w:rPr>
          <w:rFonts w:ascii="Times New Roman" w:hAnsi="Times New Roman"/>
          <w:color w:val="000000"/>
          <w:sz w:val="20"/>
        </w:rPr>
        <w:t xml:space="preserve">”) and the Persons listed in </w:t>
      </w:r>
      <w:r>
        <w:rPr>
          <w:rFonts w:ascii="Times New Roman" w:hAnsi="Times New Roman"/>
          <w:color w:val="000000"/>
          <w:sz w:val="20"/>
          <w:u w:val="single"/>
        </w:rPr>
        <w:t>Section A</w:t>
      </w:r>
      <w:r>
        <w:rPr>
          <w:rFonts w:ascii="Times New Roman" w:hAnsi="Times New Roman"/>
          <w:color w:val="000000"/>
          <w:sz w:val="20"/>
        </w:rPr>
        <w:t xml:space="preserve"> of the Company Disclosure Schedule (the “</w:t>
      </w:r>
      <w:r>
        <w:rPr>
          <w:rFonts w:ascii="Times New Roman" w:hAnsi="Times New Roman"/>
          <w:b/>
          <w:i/>
          <w:color w:val="000000"/>
          <w:sz w:val="20"/>
        </w:rPr>
        <w:t>Company Signatories</w:t>
      </w:r>
      <w:r>
        <w:rPr>
          <w:rFonts w:ascii="Times New Roman" w:hAnsi="Times New Roman"/>
          <w:color w:val="000000"/>
          <w:sz w:val="20"/>
        </w:rPr>
        <w:t xml:space="preserve">”) (solely in their capacity as stockholders of the Company) are executing lock-up agreements in substantially the form attached as </w:t>
      </w:r>
      <w:r>
        <w:rPr>
          <w:rFonts w:ascii="Times New Roman" w:hAnsi="Times New Roman"/>
          <w:b/>
          <w:color w:val="000000"/>
          <w:sz w:val="20"/>
        </w:rPr>
        <w:t xml:space="preserve">Exhibit B </w:t>
      </w:r>
      <w:r>
        <w:rPr>
          <w:rFonts w:ascii="Times New Roman" w:hAnsi="Times New Roman"/>
          <w:color w:val="000000"/>
          <w:sz w:val="20"/>
        </w:rPr>
        <w:t>(each, a “</w:t>
      </w:r>
      <w:r>
        <w:rPr>
          <w:rFonts w:ascii="Times New Roman" w:hAnsi="Times New Roman"/>
          <w:b/>
          <w:i/>
          <w:color w:val="000000"/>
          <w:sz w:val="20"/>
        </w:rPr>
        <w:t>Lock-Up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Concurrently with the execution and delivery of this Agreement, certain investors have executed a Securities Purchase Agreement among Parent and the Persons named therein (such investors, the “</w:t>
      </w:r>
      <w:r>
        <w:rPr>
          <w:rFonts w:ascii="Times New Roman" w:hAnsi="Times New Roman"/>
          <w:b/>
          <w:i/>
          <w:color w:val="000000"/>
          <w:sz w:val="20"/>
        </w:rPr>
        <w:t>Investors</w:t>
      </w:r>
      <w:r>
        <w:rPr>
          <w:rFonts w:ascii="Times New Roman" w:hAnsi="Times New Roman"/>
          <w:color w:val="000000"/>
          <w:sz w:val="20"/>
        </w:rPr>
        <w:t>”), pursuant to which such Persons will have agreed to purchase the number of shares of Parent Series C Convertible Preferred Stock set forth therein concurrently with the Closing in connection with the PIPE Financing (the “</w:t>
      </w:r>
      <w:r>
        <w:rPr>
          <w:rFonts w:ascii="Times New Roman" w:hAnsi="Times New Roman"/>
          <w:b/>
          <w:i/>
          <w:color w:val="000000"/>
          <w:sz w:val="20"/>
        </w:rPr>
        <w:t>Securities Purchase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L.           Concurrently with the execution and delivery of this Agreement and as a condition and inducement to the Company’s willingness to enter into this Agreement, certain stockholders set forth on </w:t>
      </w:r>
      <w:r>
        <w:rPr>
          <w:rFonts w:ascii="Times New Roman" w:hAnsi="Times New Roman"/>
          <w:color w:val="000000"/>
          <w:sz w:val="20"/>
          <w:u w:val="single"/>
        </w:rPr>
        <w:t>Section A-2</w:t>
      </w:r>
      <w:r>
        <w:rPr>
          <w:rFonts w:ascii="Times New Roman" w:hAnsi="Times New Roman"/>
          <w:color w:val="000000"/>
          <w:sz w:val="20"/>
        </w:rPr>
        <w:t xml:space="preserve"> of the Parent Disclosure Schedule (solely in their capacity as stockholders) are executing support agreements in favor of the Company in substantially the form attached hereto as </w:t>
      </w:r>
      <w:r>
        <w:rPr>
          <w:rFonts w:ascii="Times New Roman" w:hAnsi="Times New Roman"/>
          <w:b/>
          <w:color w:val="000000"/>
          <w:sz w:val="20"/>
        </w:rPr>
        <w:t>Exhibit D</w:t>
      </w:r>
      <w:r>
        <w:rPr>
          <w:rFonts w:ascii="Times New Roman" w:hAnsi="Times New Roman"/>
          <w:color w:val="000000"/>
          <w:sz w:val="20"/>
        </w:rPr>
        <w:t xml:space="preserve"> (the “</w:t>
      </w:r>
      <w:r>
        <w:rPr>
          <w:rFonts w:ascii="Times New Roman" w:hAnsi="Times New Roman"/>
          <w:b/>
          <w:i/>
          <w:color w:val="000000"/>
          <w:sz w:val="20"/>
        </w:rPr>
        <w:t>Parent</w:t>
      </w:r>
      <w:r>
        <w:rPr>
          <w:rFonts w:ascii="Times New Roman" w:hAnsi="Times New Roman"/>
          <w:color w:val="000000"/>
          <w:sz w:val="20"/>
        </w:rPr>
        <w:t> </w:t>
      </w:r>
      <w:r>
        <w:rPr>
          <w:rFonts w:ascii="Times New Roman" w:hAnsi="Times New Roman"/>
          <w:b/>
          <w:i/>
          <w:color w:val="000000"/>
          <w:sz w:val="20"/>
        </w:rPr>
        <w:t>Stockholder Support Agreement</w:t>
      </w:r>
      <w:r>
        <w:rPr>
          <w:rFonts w:ascii="Times New Roman" w:hAnsi="Times New Roman"/>
          <w:color w:val="000000"/>
          <w:sz w:val="20"/>
        </w:rPr>
        <w:t>”), pursuant to which such Persons have, subject to the terms and conditions set forth therein, agreed to vote all of their shares of capital stock of Parent in favor of the Parent Stockholder Matters.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          Immediately following the execution and delivery of this Agreement, but prior to the filing of the Certificate of Merger, Parent shall file the Certificate of Designation with the office of the Secretary of State of the State of Delaware.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N.           Concurrently with the execution and delivery of this Agreement and as a condition and inducement to the Company’s willingness to enter into this Agreement, Parent is executing (i) a registration rights agreement with the Investors, in substantially the form attached hereto as </w:t>
      </w:r>
      <w:r>
        <w:rPr>
          <w:rFonts w:ascii="Times New Roman" w:hAnsi="Times New Roman"/>
          <w:b/>
          <w:color w:val="000000"/>
          <w:sz w:val="20"/>
        </w:rPr>
        <w:t>Exhibit E</w:t>
      </w:r>
      <w:r>
        <w:rPr>
          <w:rFonts w:ascii="Times New Roman" w:hAnsi="Times New Roman"/>
          <w:color w:val="000000"/>
          <w:sz w:val="20"/>
        </w:rPr>
        <w:t xml:space="preserve"> (the “</w:t>
      </w:r>
      <w:r>
        <w:rPr>
          <w:rFonts w:ascii="Times New Roman" w:hAnsi="Times New Roman"/>
          <w:b/>
          <w:i/>
          <w:color w:val="000000"/>
          <w:sz w:val="20"/>
        </w:rPr>
        <w:t>PIPE Investor Registration Rights Agreement</w:t>
      </w:r>
      <w:r>
        <w:rPr>
          <w:rFonts w:ascii="Times New Roman" w:hAnsi="Times New Roman"/>
          <w:color w:val="000000"/>
          <w:sz w:val="20"/>
        </w:rPr>
        <w:t xml:space="preserve">”), and (ii) a registration rights agreement with certain stockholders of the Company, in substantially the form attached hereto as </w:t>
      </w:r>
      <w:r>
        <w:rPr>
          <w:rFonts w:ascii="Times New Roman" w:hAnsi="Times New Roman"/>
          <w:b/>
          <w:color w:val="000000"/>
          <w:sz w:val="20"/>
        </w:rPr>
        <w:t>Exhibit F</w:t>
      </w:r>
      <w:r>
        <w:rPr>
          <w:rFonts w:ascii="Times New Roman" w:hAnsi="Times New Roman"/>
          <w:color w:val="000000"/>
          <w:sz w:val="20"/>
        </w:rPr>
        <w:t xml:space="preserve"> (the “</w:t>
      </w:r>
      <w:r>
        <w:rPr>
          <w:rFonts w:ascii="Times New Roman" w:hAnsi="Times New Roman"/>
          <w:b/>
          <w:i/>
          <w:color w:val="000000"/>
          <w:sz w:val="20"/>
        </w:rPr>
        <w:t>Company Stockholders Registration Rights Agreement</w:t>
      </w:r>
      <w:r>
        <w:rPr>
          <w:rFonts w:ascii="Times New Roman" w:hAnsi="Times New Roman"/>
          <w:color w:val="000000"/>
          <w:sz w:val="20"/>
        </w:rPr>
        <w:t>”; and, together with the PIPE Investor Registration Rights Agreement, the “</w:t>
      </w:r>
      <w:r>
        <w:rPr>
          <w:rFonts w:ascii="Times New Roman" w:hAnsi="Times New Roman"/>
          <w:b/>
          <w:i/>
          <w:color w:val="000000"/>
          <w:sz w:val="20"/>
        </w:rPr>
        <w:t>Registration Rights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Parties, intending to be legally bound, agree as follows: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color w:val="000000"/>
          <w:sz w:val="20"/>
        </w:rPr>
      </w:pPr>
      <w:bookmarkStart w:id="160" w:name="z_Toc240403010"/>
      <w:bookmarkStart w:id="161" w:name="z_Ref237970829"/>
      <w:bookmarkEnd w:id="160"/>
      <w:bookmarkEnd w:id="161"/>
      <w:r>
        <w:rPr>
          <w:rFonts w:ascii="Times New Roman" w:hAnsi="Times New Roman"/>
          <w:b/>
          <w:color w:val="000000"/>
          <w:sz w:val="20"/>
        </w:rPr>
        <w:t>SECTION 1.       DESCRIPTION OF TRANSACTION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162" w:name="z_Toc240403011"/>
      <w:bookmarkStart w:id="163" w:name="z_Ref237974607"/>
      <w:bookmarkStart w:id="164" w:name="z_Ref237974090"/>
      <w:bookmarkStart w:id="165" w:name="z_Ref237970830"/>
      <w:bookmarkEnd w:id="162"/>
      <w:bookmarkEnd w:id="163"/>
      <w:bookmarkEnd w:id="164"/>
      <w:bookmarkEnd w:id="165"/>
      <w:r>
        <w:rPr>
          <w:rFonts w:ascii="Times New Roman" w:hAnsi="Times New Roman"/>
          <w:color w:val="000000"/>
          <w:sz w:val="20"/>
        </w:rPr>
        <w:t xml:space="preserve">1.1         </w:t>
      </w:r>
      <w:r>
        <w:rPr>
          <w:rFonts w:ascii="Times New Roman" w:hAnsi="Times New Roman"/>
          <w:b/>
          <w:color w:val="000000"/>
          <w:sz w:val="20"/>
          <w:u w:val="single"/>
        </w:rPr>
        <w:t>The Merger</w:t>
      </w:r>
      <w:r>
        <w:rPr>
          <w:rFonts w:ascii="Times New Roman" w:hAnsi="Times New Roman"/>
          <w:color w:val="000000"/>
          <w:sz w:val="20"/>
        </w:rPr>
        <w:t>. Upon the terms and subject to the conditions set forth in this Agreement, at the First Effective Time, First Merger Sub shall be merged with and into the Company, and the separate existence of First Merger Sub shall cease. As a result of the First Merger, the Company will continue as the surviving corporation in the First Merger (the “</w:t>
      </w:r>
      <w:r>
        <w:rPr>
          <w:rFonts w:ascii="Times New Roman" w:hAnsi="Times New Roman"/>
          <w:b/>
          <w:i/>
          <w:color w:val="000000"/>
          <w:sz w:val="20"/>
        </w:rPr>
        <w:t>First Step</w:t>
      </w:r>
      <w:r>
        <w:rPr>
          <w:rFonts w:ascii="Times New Roman" w:hAnsi="Times New Roman"/>
          <w:color w:val="000000"/>
          <w:sz w:val="20"/>
        </w:rPr>
        <w:t> </w:t>
      </w:r>
      <w:r>
        <w:rPr>
          <w:rFonts w:ascii="Times New Roman" w:hAnsi="Times New Roman"/>
          <w:b/>
          <w:i/>
          <w:color w:val="000000"/>
          <w:sz w:val="20"/>
        </w:rPr>
        <w:t>Surviving Corporation</w:t>
      </w:r>
      <w:r>
        <w:rPr>
          <w:rFonts w:ascii="Times New Roman" w:hAnsi="Times New Roman"/>
          <w:color w:val="000000"/>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b/>
          <w:i/>
          <w:color w:val="000000"/>
          <w:sz w:val="20"/>
        </w:rPr>
        <w:t>Surviving Entity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166" w:name="z_Toc240403012"/>
      <w:bookmarkStart w:id="167" w:name="z_Ref237970831"/>
      <w:bookmarkEnd w:id="166"/>
      <w:bookmarkEnd w:id="167"/>
      <w:r>
        <w:rPr>
          <w:rFonts w:ascii="Times New Roman" w:hAnsi="Times New Roman"/>
          <w:color w:val="000000"/>
          <w:sz w:val="20"/>
        </w:rPr>
        <w:t xml:space="preserve">1.2         </w:t>
      </w:r>
      <w:r>
        <w:rPr>
          <w:rFonts w:ascii="Times New Roman" w:hAnsi="Times New Roman"/>
          <w:b/>
          <w:color w:val="000000"/>
          <w:sz w:val="20"/>
          <w:u w:val="single"/>
        </w:rPr>
        <w:t>Effects of the Merger</w:t>
      </w:r>
      <w:r>
        <w:rPr>
          <w:rFonts w:ascii="Times New Roman" w:hAnsi="Times New Roman"/>
          <w:color w:val="000000"/>
          <w:sz w:val="20"/>
        </w:rPr>
        <w:t>. At and after the First Effective Time, the First Merger shall have the effects set forth in this Agreement, the First Certificate of Merger and in the applicable provisions of the DGCL. As a result of the First Merger, the First Step Surviving Corporation will become a wholly owned subsidiary of Parent. At and after the Second Effective Time, the Second Merger shall have the effects set forth in this Agreement, the Second Certificate of Merger and in the applicable provisions of the DGCL and the DLLCA.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bookmarkStart w:id="168" w:name="z_Ref237974076"/>
      <w:bookmarkStart w:id="169" w:name="z_Ref237973686"/>
      <w:bookmarkStart w:id="170" w:name="z_Ref237973677"/>
      <w:bookmarkStart w:id="171" w:name="z_Ref237973625"/>
      <w:bookmarkStart w:id="172" w:name="z_Ref237970832"/>
      <w:bookmarkEnd w:id="168"/>
      <w:bookmarkEnd w:id="169"/>
      <w:bookmarkEnd w:id="170"/>
      <w:bookmarkEnd w:id="171"/>
      <w:bookmarkEnd w:id="172"/>
      <w:r>
        <w:rPr>
          <w:rFonts w:ascii="Times New Roman" w:hAnsi="Times New Roman"/>
          <w:color w:val="000000"/>
          <w:sz w:val="20"/>
        </w:rPr>
        <w:t xml:space="preserve">1.3         </w:t>
      </w:r>
      <w:r>
        <w:rPr>
          <w:rFonts w:ascii="Times New Roman" w:hAnsi="Times New Roman"/>
          <w:b/>
          <w:color w:val="000000"/>
          <w:sz w:val="20"/>
          <w:u w:val="single"/>
        </w:rPr>
        <w:t>Closing; First Effective Time; Second Effective Time</w:t>
      </w:r>
      <w:r>
        <w:rPr>
          <w:rFonts w:ascii="Times New Roman" w:hAnsi="Times New Roman"/>
          <w:color w:val="000000"/>
          <w:sz w:val="20"/>
        </w:rPr>
        <w:t>. The consummation of the Merger (the “</w:t>
      </w:r>
      <w:r>
        <w:rPr>
          <w:rFonts w:ascii="Times New Roman" w:hAnsi="Times New Roman"/>
          <w:b/>
          <w:i/>
          <w:color w:val="000000"/>
          <w:sz w:val="20"/>
        </w:rPr>
        <w:t>Closing</w:t>
      </w:r>
      <w:r>
        <w:rPr>
          <w:rFonts w:ascii="Times New Roman" w:hAnsi="Times New Roman"/>
          <w:color w:val="000000"/>
          <w:sz w:val="20"/>
        </w:rPr>
        <w:t>”) is being consummated remotely via the electronic exchange of documents and signatures substantially simultaneously with the execution and delivery of this Agreement, or at such other time, date and place as Parent and the Company may mutually agree in writing. The date on which the Closing actually takes place is referred to as the “</w:t>
      </w:r>
      <w:r>
        <w:rPr>
          <w:rFonts w:ascii="Times New Roman" w:hAnsi="Times New Roman"/>
          <w:b/>
          <w:i/>
          <w:color w:val="000000"/>
          <w:sz w:val="20"/>
        </w:rPr>
        <w:t>Closing Date</w:t>
      </w:r>
      <w:r>
        <w:rPr>
          <w:rFonts w:ascii="Times New Roman" w:hAnsi="Times New Roman"/>
          <w:color w:val="000000"/>
          <w:sz w:val="20"/>
        </w:rPr>
        <w:t xml:space="preserve">.” At the Closing, </w:t>
      </w:r>
      <w:bookmarkStart w:id="173" w:name="DocXTextRef15"/>
      <w:bookmarkEnd w:id="173"/>
      <w:r>
        <w:rPr>
          <w:rFonts w:ascii="Times New Roman" w:hAnsi="Times New Roman"/>
          <w:color w:val="000000"/>
          <w:sz w:val="20"/>
        </w:rPr>
        <w:t>(a) the Parties shall cause the First Merger to be consummated by executing and filing with the Secretary of State of the State of Delaware a certificate of merger with respect to the First Merger, satisfying the applicable requirements of the DGCL and in form and substance to be agreed upon by the Parties (the “</w:t>
      </w:r>
      <w:r>
        <w:rPr>
          <w:rFonts w:ascii="Times New Roman" w:hAnsi="Times New Roman"/>
          <w:b/>
          <w:i/>
          <w:color w:val="000000"/>
          <w:sz w:val="20"/>
        </w:rPr>
        <w:t>First Certificate of Merger</w:t>
      </w:r>
      <w:r>
        <w:rPr>
          <w:rFonts w:ascii="Times New Roman" w:hAnsi="Times New Roman"/>
          <w:color w:val="000000"/>
          <w:sz w:val="20"/>
        </w:rPr>
        <w:t>”) and (b)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to be agreed upon by the Parties (the “</w:t>
      </w:r>
      <w:r>
        <w:rPr>
          <w:rFonts w:ascii="Times New Roman" w:hAnsi="Times New Roman"/>
          <w:b/>
          <w:i/>
          <w:color w:val="000000"/>
          <w:sz w:val="20"/>
        </w:rPr>
        <w:t>Second Certificate of Merger</w:t>
      </w:r>
      <w:r>
        <w:rPr>
          <w:rFonts w:ascii="Times New Roman" w:hAnsi="Times New Roman"/>
          <w:color w:val="000000"/>
          <w:sz w:val="20"/>
        </w:rPr>
        <w:t>” and together with the First Certificate of Merger, the “</w:t>
      </w:r>
      <w:r>
        <w:rPr>
          <w:rFonts w:ascii="Times New Roman" w:hAnsi="Times New Roman"/>
          <w:b/>
          <w:i/>
          <w:color w:val="000000"/>
          <w:sz w:val="20"/>
        </w:rPr>
        <w:t>Certificates of Merger</w:t>
      </w:r>
      <w:r>
        <w:rPr>
          <w:rFonts w:ascii="Times New Roman" w:hAnsi="Times New Roman"/>
          <w:color w:val="000000"/>
          <w:sz w:val="20"/>
        </w:rPr>
        <w:t>”). The First Merger shall become effective at the time of the filing of such First Certificate of Merger with the Secretary of State of the State of Delaware or at such later time as may be specified in such First Certificate of Merger with the consent of Parent and the Company (the time as of which the First Merger becomes effective being referred to as the “</w:t>
      </w:r>
      <w:r>
        <w:rPr>
          <w:rFonts w:ascii="Times New Roman" w:hAnsi="Times New Roman"/>
          <w:b/>
          <w:i/>
          <w:color w:val="000000"/>
          <w:sz w:val="20"/>
        </w:rPr>
        <w:t>First Effective Time</w:t>
      </w:r>
      <w:r>
        <w:rPr>
          <w:rFonts w:ascii="Times New Roman" w:hAnsi="Times New Roman"/>
          <w:color w:val="000000"/>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b/>
          <w:i/>
          <w:color w:val="000000"/>
          <w:sz w:val="20"/>
        </w:rPr>
        <w:t>Second Effective Time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174" w:name="z_Toc240403014"/>
      <w:bookmarkStart w:id="175" w:name="z_Ref237970833"/>
      <w:bookmarkEnd w:id="174"/>
      <w:bookmarkEnd w:id="175"/>
      <w:r>
        <w:rPr>
          <w:rFonts w:ascii="Times New Roman" w:hAnsi="Times New Roman"/>
          <w:color w:val="000000"/>
          <w:sz w:val="20"/>
        </w:rPr>
        <w:t xml:space="preserve">1.4         </w:t>
      </w:r>
      <w:r>
        <w:rPr>
          <w:rFonts w:ascii="Times New Roman" w:hAnsi="Times New Roman"/>
          <w:b/>
          <w:color w:val="000000"/>
          <w:sz w:val="20"/>
          <w:u w:val="single"/>
        </w:rPr>
        <w:t>Series C Certificate of Designation; Certificate of Incorporation and Bylaws; Directors and Officers.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176" w:name="z_Ref237970834"/>
      <w:bookmarkEnd w:id="176"/>
      <w:r>
        <w:rPr>
          <w:rFonts w:ascii="Times New Roman" w:hAnsi="Times New Roman"/>
          <w:color w:val="000000"/>
          <w:sz w:val="20"/>
        </w:rPr>
        <w:t>(a)          Prior to the First Effective Time, Parent shall file the Series C Certificate of Designation with the office of the Secretary of State of the State of Delaware.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177" w:name="z_Ref237970835"/>
      <w:bookmarkEnd w:id="177"/>
      <w:r>
        <w:rPr>
          <w:rFonts w:ascii="Times New Roman" w:hAnsi="Times New Roman"/>
          <w:color w:val="000000"/>
          <w:sz w:val="20"/>
        </w:rPr>
        <w:t>(b)          At the First Effective Time:</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178" w:name="z_Ref237970836"/>
      <w:bookmarkEnd w:id="178"/>
      <w:r>
        <w:rPr>
          <w:rFonts w:ascii="Times New Roman" w:hAnsi="Times New Roman"/>
          <w:color w:val="000000"/>
          <w:sz w:val="20"/>
        </w:rPr>
        <w:t>(i)          the certificate of incorporation of the First Step Surviving Corporation shall be amended and restated as set forth in an exhibit to the First Certificate of Merger, until thereafter amended as provided by the DGCL and such certificate of incorporation;</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179" w:name="z_Ref237970837"/>
      <w:bookmarkEnd w:id="179"/>
      <w:r>
        <w:rPr>
          <w:rFonts w:ascii="Times New Roman" w:hAnsi="Times New Roman"/>
          <w:color w:val="000000"/>
          <w:sz w:val="20"/>
        </w:rPr>
        <w:t>(ii)         the bylaws of the First Step Surviving Corporation shall be amended and restated in their entirety to read identically to the bylaws of the Company as in effect immediately prior to the First Effective Time, until thereafter amended as provided by the DGCL and such bylaws</w:t>
      </w:r>
      <w:bookmarkStart w:id="180" w:name="z_Ref237970838"/>
      <w:bookmarkEnd w:id="180"/>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(iii)        the directors and officers of the First Step Surviving Corporation, each to hold office in accordance with the certificate of incorporation and bylaws of the First Step Surviving Corporation, shall be such persons as shall be designated by the Company prior to the execution of this Agreement.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181" w:name="z_Ref237970839"/>
      <w:bookmarkEnd w:id="181"/>
      <w:r>
        <w:rPr>
          <w:rFonts w:ascii="Times New Roman" w:hAnsi="Times New Roman"/>
          <w:color w:val="000000"/>
          <w:sz w:val="20"/>
        </w:rPr>
        <w:t>(c)          At the Second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at the Second Effective Time (as part of the Second Certificate of Merger), the certificate of formation shall be amended to </w:t>
      </w:r>
      <w:bookmarkStart w:id="182" w:name="DocXTextRef17"/>
      <w:bookmarkEnd w:id="182"/>
      <w:r>
        <w:rPr>
          <w:rFonts w:ascii="Times New Roman" w:hAnsi="Times New Roman"/>
          <w:color w:val="000000"/>
          <w:sz w:val="20"/>
        </w:rPr>
        <w:t xml:space="preserve">(A) change the name of the Surviving Entity to “Marea Therapeutics, LLC”, </w:t>
      </w:r>
      <w:bookmarkStart w:id="183" w:name="DocXTextRef18"/>
      <w:bookmarkEnd w:id="183"/>
      <w:r>
        <w:rPr>
          <w:rFonts w:ascii="Times New Roman" w:hAnsi="Times New Roman"/>
          <w:color w:val="000000"/>
          <w:sz w:val="20"/>
        </w:rPr>
        <w:t xml:space="preserve">(B) comply with </w:t>
      </w:r>
      <w:r>
        <w:rPr>
          <w:rFonts w:ascii="Times New Roman" w:hAnsi="Times New Roman"/>
          <w:color w:val="000000"/>
          <w:sz w:val="20"/>
          <w:u w:val="single"/>
        </w:rPr>
        <w:t>Section 4.10</w:t>
      </w:r>
      <w:r>
        <w:rPr>
          <w:rFonts w:ascii="Times New Roman" w:hAnsi="Times New Roman"/>
          <w:color w:val="000000"/>
          <w:sz w:val="20"/>
        </w:rPr>
        <w:t xml:space="preserve">, and </w:t>
      </w:r>
      <w:bookmarkStart w:id="184" w:name="DocXTextRef19"/>
      <w:bookmarkEnd w:id="184"/>
      <w:r>
        <w:rPr>
          <w:rFonts w:ascii="Times New Roman" w:hAnsi="Times New Roman"/>
          <w:color w:val="000000"/>
          <w:sz w:val="20"/>
        </w:rPr>
        <w:t>(C) make such other changes as are mutually agreed to by Parent and the Company;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185" w:name="z_Ref237970841"/>
      <w:bookmarkEnd w:id="185"/>
      <w:r>
        <w:rPr>
          <w:rFonts w:ascii="Times New Roman" w:hAnsi="Times New Roman"/>
          <w:color w:val="000000"/>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following the Second Effective Time (but as soon thereafter as practicable), the limited liability company agreement shall be amended to </w:t>
      </w:r>
      <w:bookmarkStart w:id="186" w:name="DocXTextRef21"/>
      <w:bookmarkEnd w:id="186"/>
      <w:r>
        <w:rPr>
          <w:rFonts w:ascii="Times New Roman" w:hAnsi="Times New Roman"/>
          <w:color w:val="000000"/>
          <w:sz w:val="20"/>
        </w:rPr>
        <w:t xml:space="preserve">(A) comply with </w:t>
      </w:r>
      <w:r>
        <w:rPr>
          <w:rFonts w:ascii="Times New Roman" w:hAnsi="Times New Roman"/>
          <w:color w:val="000000"/>
          <w:sz w:val="20"/>
          <w:u w:val="single"/>
        </w:rPr>
        <w:t>Section 4.5</w:t>
      </w:r>
      <w:r>
        <w:rPr>
          <w:rFonts w:ascii="Times New Roman" w:hAnsi="Times New Roman"/>
          <w:color w:val="000000"/>
          <w:sz w:val="20"/>
        </w:rPr>
        <w:t xml:space="preserve"> and </w:t>
      </w:r>
      <w:bookmarkStart w:id="187" w:name="DocXTextRef22"/>
      <w:bookmarkEnd w:id="187"/>
      <w:r>
        <w:rPr>
          <w:rFonts w:ascii="Times New Roman" w:hAnsi="Times New Roman"/>
          <w:color w:val="000000"/>
          <w:sz w:val="20"/>
        </w:rPr>
        <w:t>(B) change the name of the Surviving Entity to “Marea Therapeutics, LLC”;</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188" w:name="z_Ref237970842"/>
      <w:bookmarkEnd w:id="188"/>
      <w:r>
        <w:rPr>
          <w:rFonts w:ascii="Times New Roman" w:hAnsi="Times New Roman"/>
          <w:color w:val="000000"/>
          <w:sz w:val="20"/>
        </w:rPr>
        <w:t xml:space="preserve">(iii)        the managers and officers of the Surviving Entity, each to hold office in accordance with the certificate of formation and limited liability company agreement of the Surviving Entity, shall be as set forth in </w:t>
      </w:r>
      <w:r>
        <w:rPr>
          <w:rFonts w:ascii="Times New Roman" w:hAnsi="Times New Roman"/>
          <w:color w:val="000000"/>
          <w:sz w:val="20"/>
          <w:u w:val="single"/>
        </w:rPr>
        <w:t>Section 1.4(c)(iii)</w:t>
      </w:r>
      <w:r>
        <w:rPr>
          <w:rFonts w:ascii="Times New Roman" w:hAnsi="Times New Roman"/>
          <w:color w:val="000000"/>
          <w:sz w:val="20"/>
        </w:rPr>
        <w:t xml:space="preserve"> of the Parent Disclosure Schedules; and</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189" w:name="z_Ref237970843"/>
      <w:bookmarkEnd w:id="189"/>
      <w:r>
        <w:rPr>
          <w:rFonts w:ascii="Times New Roman" w:hAnsi="Times New Roman"/>
          <w:color w:val="000000"/>
          <w:sz w:val="20"/>
        </w:rPr>
        <w:t xml:space="preserve">(iv)        the certificate of incorporation of Parent shall be identical to the certificate of incorporation of Parent immediately prior to the Second Effective Time, until thereafter amended as provided by the DGCL and such certificate of incorporation,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following the Second Effective Time (but as soon thereafter as practicable), the certificate of incorporation shall be amended to make such other changes as are mutually agreed to by Parent and the Company.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190" w:name="z_Toc240403015"/>
      <w:bookmarkStart w:id="191" w:name="z_Ref237974480"/>
      <w:bookmarkStart w:id="192" w:name="z_Ref237974377"/>
      <w:bookmarkStart w:id="193" w:name="z_Ref237974220"/>
      <w:bookmarkStart w:id="194" w:name="z_Ref237974212"/>
      <w:bookmarkStart w:id="195" w:name="z_Ref237974163"/>
      <w:bookmarkStart w:id="196" w:name="z_Ref237971339"/>
      <w:bookmarkStart w:id="197" w:name="z_Ref237970844"/>
      <w:bookmarkEnd w:id="190"/>
      <w:bookmarkEnd w:id="191"/>
      <w:bookmarkEnd w:id="192"/>
      <w:bookmarkEnd w:id="193"/>
      <w:bookmarkEnd w:id="194"/>
      <w:bookmarkEnd w:id="195"/>
      <w:bookmarkEnd w:id="196"/>
      <w:bookmarkEnd w:id="197"/>
      <w:r>
        <w:rPr>
          <w:rFonts w:ascii="Times New Roman" w:hAnsi="Times New Roman"/>
          <w:color w:val="000000"/>
          <w:sz w:val="20"/>
        </w:rPr>
        <w:t xml:space="preserve">1.5          </w:t>
      </w:r>
      <w:r>
        <w:rPr>
          <w:rFonts w:ascii="Times New Roman" w:hAnsi="Times New Roman"/>
          <w:b/>
          <w:color w:val="000000"/>
          <w:sz w:val="20"/>
          <w:u w:val="single"/>
        </w:rPr>
        <w:t>Merger Consideration; Effect of Merger on Company Capital Stock</w:t>
      </w:r>
      <w:r>
        <w:rPr>
          <w:rFonts w:ascii="Times New Roman" w:hAnsi="Times New Roman"/>
          <w:color w:val="000000"/>
          <w:sz w:val="20"/>
        </w:rPr>
        <w:t>. The aggregate merger consideration (the “</w:t>
      </w:r>
      <w:r>
        <w:rPr>
          <w:rFonts w:ascii="Times New Roman" w:hAnsi="Times New Roman"/>
          <w:b/>
          <w:i/>
          <w:color w:val="000000"/>
          <w:sz w:val="20"/>
        </w:rPr>
        <w:t>Merger Consideration</w:t>
      </w:r>
      <w:r>
        <w:rPr>
          <w:rFonts w:ascii="Times New Roman" w:hAnsi="Times New Roman"/>
          <w:color w:val="000000"/>
          <w:sz w:val="20"/>
        </w:rPr>
        <w:t xml:space="preserve">”) to be paid by Parent for all of the outstanding shares of Company Capital Stock at the Closing and amounts reserved for Company Options shall consist of: </w:t>
      </w:r>
      <w:bookmarkStart w:id="198" w:name="DocXTextRef25"/>
      <w:bookmarkEnd w:id="198"/>
      <w:r>
        <w:rPr>
          <w:rFonts w:ascii="Times New Roman" w:hAnsi="Times New Roman"/>
          <w:color w:val="000000"/>
          <w:sz w:val="20"/>
        </w:rPr>
        <w:t>(a) 1,793,129 shares of Parent Common Stock (“</w:t>
      </w:r>
      <w:r>
        <w:rPr>
          <w:rFonts w:ascii="Times New Roman" w:hAnsi="Times New Roman"/>
          <w:b/>
          <w:i/>
          <w:color w:val="000000"/>
          <w:sz w:val="20"/>
        </w:rPr>
        <w:t>Parent Common Stock Payment Shares</w:t>
      </w:r>
      <w:r>
        <w:rPr>
          <w:rFonts w:ascii="Times New Roman" w:hAnsi="Times New Roman"/>
          <w:color w:val="000000"/>
          <w:sz w:val="20"/>
        </w:rPr>
        <w:t xml:space="preserve">”), which shares shall represent a number of shares equal to no more than </w:t>
      </w:r>
      <w:bookmarkStart w:id="199" w:name="DocXTextRef24"/>
      <w:bookmarkEnd w:id="199"/>
      <w:r>
        <w:rPr>
          <w:rFonts w:ascii="Times New Roman" w:hAnsi="Times New Roman"/>
          <w:color w:val="000000"/>
          <w:sz w:val="20"/>
        </w:rPr>
        <w:t>19.9% of the outstanding shares of Parent Common Stock as of immediately before the First Effective Time (the “</w:t>
      </w:r>
      <w:r>
        <w:rPr>
          <w:rFonts w:ascii="Times New Roman" w:hAnsi="Times New Roman"/>
          <w:b/>
          <w:i/>
          <w:color w:val="000000"/>
          <w:sz w:val="20"/>
        </w:rPr>
        <w:t>Parent Common Stock Consideration Cap</w:t>
      </w:r>
      <w:r>
        <w:rPr>
          <w:rFonts w:ascii="Times New Roman" w:hAnsi="Times New Roman"/>
          <w:color w:val="000000"/>
          <w:sz w:val="20"/>
        </w:rPr>
        <w:t>”), and (b) in the event the aggregate number of shares of Parent Common Stock Payment Shares issued or reserved for issuance at the Closing would result in the issuance or reservation of shares of Parent Common Stock in an amount in excess of the Parent Common Stock Consideration Cap, Parent shall issue to any such holders of Company Capital Stock and reserve for issuance to any such holders of Company Options an aggregate number of shares of Parent Common Stock up to the Parent Common Stock Consideration Cap and shall issue as the remaining balance to such holders of Company Capital Stock and reserve for issuance to such holders of Company Options, a total of 211,365.213 shares of Parent Series C Convertible Preferred Stock, (the “</w:t>
      </w:r>
      <w:r>
        <w:rPr>
          <w:rFonts w:ascii="Times New Roman" w:hAnsi="Times New Roman"/>
          <w:b/>
          <w:i/>
          <w:color w:val="000000"/>
          <w:sz w:val="20"/>
        </w:rPr>
        <w:t>Parent Preferred Stock Payment Shares</w:t>
      </w:r>
      <w:r>
        <w:rPr>
          <w:rFonts w:ascii="Times New Roman" w:hAnsi="Times New Roman"/>
          <w:color w:val="000000"/>
          <w:sz w:val="20"/>
        </w:rPr>
        <w:t xml:space="preserve">”). Each Parent Preferred Stock Payment Share and each share of Parent Series C Convertible Preferred Stock issued pursuant to the Securities Purchase Agreement shall be convertible into </w:t>
      </w:r>
      <w:bookmarkStart w:id="200" w:name="DocXTextRef28"/>
      <w:bookmarkEnd w:id="200"/>
      <w:r>
        <w:rPr>
          <w:rFonts w:ascii="Times New Roman" w:hAnsi="Times New Roman"/>
          <w:color w:val="000000"/>
          <w:sz w:val="20"/>
        </w:rPr>
        <w:t xml:space="preserve">1,000 shares of Parent Common Stock, subject to and contingent upon the affirmative vote of a majority of the shares of Parent Common Stock present or represented and entitled to vote at a meeting of stockholders of Parent to approve, for purposes of the Nasdaq Stock Market Rules, the issuance of shares of Parent Common Stock to the stockholders of the Company and the Investors upon conversion of any and all shares of Parent Series C Convertible Preferred Stock in accordance with the terms of the Series C Certificate of Designation in substantially the form attached hereto as </w:t>
      </w:r>
      <w:r>
        <w:rPr>
          <w:rFonts w:ascii="Times New Roman" w:hAnsi="Times New Roman"/>
          <w:b/>
          <w:color w:val="000000"/>
          <w:sz w:val="20"/>
        </w:rPr>
        <w:t>Exhibit C</w:t>
      </w:r>
      <w:r>
        <w:rPr>
          <w:rFonts w:ascii="Times New Roman" w:hAnsi="Times New Roman"/>
          <w:color w:val="000000"/>
          <w:sz w:val="20"/>
        </w:rPr>
        <w:t xml:space="preserve"> (the “</w:t>
      </w:r>
      <w:r>
        <w:rPr>
          <w:rFonts w:ascii="Times New Roman" w:hAnsi="Times New Roman"/>
          <w:b/>
          <w:i/>
          <w:color w:val="000000"/>
          <w:sz w:val="20"/>
        </w:rPr>
        <w:t>Preferred Stock Conversion Proposal</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bookmarkStart w:id="201" w:name="z_Ref237970845"/>
      <w:bookmarkEnd w:id="201"/>
      <w:r>
        <w:rPr>
          <w:rFonts w:ascii="Times New Roman" w:hAnsi="Times New Roman"/>
          <w:color w:val="000000"/>
          <w:sz w:val="20"/>
        </w:rPr>
        <w:t xml:space="preserve">1.6         </w:t>
      </w:r>
      <w:r>
        <w:rPr>
          <w:rFonts w:ascii="Times New Roman" w:hAnsi="Times New Roman"/>
          <w:b/>
          <w:color w:val="000000"/>
          <w:sz w:val="20"/>
          <w:u w:val="single"/>
        </w:rPr>
        <w:t>Conversion of Shares of Company Capital Stock.</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02" w:name="z_Ref237970846"/>
      <w:bookmarkEnd w:id="202"/>
      <w:r>
        <w:rPr>
          <w:rFonts w:ascii="Times New Roman" w:hAnsi="Times New Roman"/>
          <w:color w:val="000000"/>
          <w:sz w:val="20"/>
        </w:rPr>
        <w:t>(a)          At the First Effective Time, by virtue of the First Merger and without any further action on the part of Parent, Merger Subs, the Company or any stockholder of the Company or Parent:</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203" w:name="z_Ref237970847"/>
      <w:bookmarkEnd w:id="203"/>
      <w:r>
        <w:rPr>
          <w:rFonts w:ascii="Times New Roman" w:hAnsi="Times New Roman"/>
          <w:color w:val="000000"/>
          <w:sz w:val="20"/>
        </w:rPr>
        <w:t>(i)          any shares of Company Common Stock held as treasury stock or held or owned by the Company or any wholly owned Subsidiary of the Company immediately prior to the First Effective Time shall be canceled and retired and shall cease to exist, and no consideration shall be delivered in exchange therefor; and</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204" w:name="z_Ref237970848"/>
      <w:bookmarkEnd w:id="204"/>
      <w:r>
        <w:rPr>
          <w:rFonts w:ascii="Times New Roman" w:hAnsi="Times New Roman"/>
          <w:color w:val="000000"/>
          <w:sz w:val="20"/>
        </w:rPr>
        <w:t xml:space="preserve">(ii)         subject to </w:t>
      </w:r>
      <w:r>
        <w:rPr>
          <w:rFonts w:ascii="Times New Roman" w:hAnsi="Times New Roman"/>
          <w:color w:val="000000"/>
          <w:sz w:val="20"/>
          <w:u w:val="single"/>
        </w:rPr>
        <w:t>Section 1.5</w:t>
      </w:r>
      <w:r>
        <w:rPr>
          <w:rFonts w:ascii="Times New Roman" w:hAnsi="Times New Roman"/>
          <w:color w:val="000000"/>
          <w:sz w:val="20"/>
        </w:rPr>
        <w:t xml:space="preserve"> and </w:t>
      </w:r>
      <w:r>
        <w:rPr>
          <w:rFonts w:ascii="Times New Roman" w:hAnsi="Times New Roman"/>
          <w:color w:val="000000"/>
          <w:sz w:val="20"/>
          <w:u w:val="single"/>
        </w:rPr>
        <w:t>Section 1.6(c)</w:t>
      </w:r>
      <w:r>
        <w:rPr>
          <w:rFonts w:ascii="Times New Roman" w:hAnsi="Times New Roman"/>
          <w:color w:val="000000"/>
          <w:sz w:val="20"/>
        </w:rPr>
        <w:t xml:space="preserve">, each share of </w:t>
      </w:r>
      <w:bookmarkStart w:id="205" w:name="DocXTextRef32"/>
      <w:bookmarkEnd w:id="205"/>
      <w:r>
        <w:rPr>
          <w:rFonts w:ascii="Times New Roman" w:hAnsi="Times New Roman"/>
          <w:color w:val="000000"/>
          <w:sz w:val="20"/>
        </w:rPr>
        <w:t xml:space="preserve">(A) Company Common Stock outstanding immediately prior to the First Effective Time (excluding shares to be canceled pursuant to </w:t>
      </w:r>
      <w:r>
        <w:rPr>
          <w:rFonts w:ascii="Times New Roman" w:hAnsi="Times New Roman"/>
          <w:color w:val="000000"/>
          <w:sz w:val="20"/>
          <w:u w:val="single"/>
        </w:rPr>
        <w:t>Section 1.6(a)(i)</w:t>
      </w:r>
      <w:r>
        <w:rPr>
          <w:rFonts w:ascii="Times New Roman" w:hAnsi="Times New Roman"/>
          <w:color w:val="000000"/>
          <w:sz w:val="20"/>
        </w:rPr>
        <w:t xml:space="preserve">) shall be automatically converted solely into the right to receive a number of Parent Common Stock Payment Shares equal to the Exchange Ratio or, in lieu thereof, shares of Parent Series C Convertible Preferred Stock equal the Preferred Exchange Ratio, in each case, as set forth on the Allocation Certificate, and </w:t>
      </w:r>
      <w:bookmarkStart w:id="206" w:name="DocXTextRef35"/>
      <w:bookmarkEnd w:id="206"/>
      <w:r>
        <w:rPr>
          <w:rFonts w:ascii="Times New Roman" w:hAnsi="Times New Roman"/>
          <w:color w:val="000000"/>
          <w:sz w:val="20"/>
        </w:rPr>
        <w:t>(B) Company Preferred Stock outstanding immediately prior to the First Effective Time shall be automatically converted solely into the right to receive a number of shares of Parent Series C Convertible Preferred Stock equal to the Preferred Exchange Ratio, in each case, as set forth on the Allocation Certificate.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07" w:name="z_Ref237970849"/>
      <w:bookmarkEnd w:id="207"/>
      <w:r>
        <w:rPr>
          <w:rFonts w:ascii="Times New Roman" w:hAnsi="Times New Roman"/>
          <w:color w:val="000000"/>
          <w:sz w:val="20"/>
        </w:rPr>
        <w:t>(b)          If any shares of Company Common Stock outstanding immediately prior to the First Effective Time are subject to any time-based vesting repurchase option or a risk of forfeiture under any applicable restricted stock purchase agreement or other similar agreement with the Company, such shares of Company Common Stock shall continue to be subject to any such time-based vesting right of repurchase, risk of forfeiture or other such conditions.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08" w:name="z_Ref237970850"/>
      <w:bookmarkEnd w:id="208"/>
      <w:r>
        <w:rPr>
          <w:rFonts w:ascii="Times New Roman" w:hAnsi="Times New Roman"/>
          <w:color w:val="000000"/>
          <w:sz w:val="20"/>
        </w:rPr>
        <w:t>(c)          No fractional shares of Parent Common Stock or Parent Series C Convertible Preferred Stock shall be issued in connection with the First Merger, and no certificates or scrip for any such fractional shares shall be issued and no cash shall be paid for any such fractional shares. Any fractional shares of Parent Common Stock that a holder of Company Common Stock would otherwise be entitled to receive shall be aggregated with all fractional shares of Parent Common Stock issuable to such holder and any remaining fractional shares shall be rounded to the nearest whole share (with a fractional share of 0.5 being rounded up to the nearest whole share and any factional share of less than 0.5 being rounded down to the nearest whole share). Any fractional shares of Parent Series C Convertible Preferred Stock will be rounded to the nearest whole share (with any fractional share of 0.0005 being rounded up to the nearest one-thousandth share and any fractional share of less than 0.0005 being rounded down to the nearest one-thousandth share).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At the First Effective Time, by virtue of the First Merger and without any further action on the part of Parent, Merger Subs, the Company or any member of the Company or stockholder of Parent, each share of common stock of First Merger Sub issued and outstanding immediately prior to the First Effective Time shall be converted into and exchanged for one share of common stock of the First Step Surviving Corporation. If applicable, each stock certificate of First Merger Sub evidencing ownership of any such shares shall, as of the First Effective Time, evidence ownership of such shares of common stock of the First Step Surviving Corporation.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09" w:name="z_Ref237970852"/>
      <w:bookmarkEnd w:id="209"/>
      <w:r>
        <w:rPr>
          <w:rFonts w:ascii="Times New Roman" w:hAnsi="Times New Roman"/>
          <w:color w:val="000000"/>
          <w:sz w:val="20"/>
        </w:rPr>
        <w:t xml:space="preserve">(e)          If, between the date of this Agreement and the First Effective Time, the outstanding shares of Company Common Stock, Company Preferred Stock or Parent Common Stock or Parent Series C Convertible Preferred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Common Stock, Company Preferred Stock, Parent Common Stock and Parent Series C Convertible Preferred Stock, with the same economic effect as contemplated by this Agreement prior to such stock dividend, subdivision, reclassification, recapitalization, split, combination or exchange of shares or other like change;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nothing herein will be construed to permit the Company or Parent to take any action with respect to Company Common Stock, Company Preferred Stock, Parent Common Stock or Parent Series C Convertible Preferred Stock, as applicable, that is prohibited or not expressly permitted by the terms of this Agreement or the Securities Purchase Agreement.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10" w:name="z_Ref237970853"/>
      <w:bookmarkEnd w:id="210"/>
      <w:r>
        <w:rPr>
          <w:rFonts w:ascii="Times New Roman" w:hAnsi="Times New Roman"/>
          <w:color w:val="000000"/>
          <w:sz w:val="20"/>
        </w:rPr>
        <w:t>(f)          At the Second Effective Time, by virtue of the Second Merger and without any action on the part of Parent, the First Step Surviving Corporation, Second Merger Sub or their respective stockholders or members, as applicable, (i) each share of the First Step Surviving Corporation issued and outstanding immediately prior to the Second Effective Time shall be canceled and extinguished without any conversion thereof and no payment or distribution shall be made with respect thereto, and (ii) each membership interest of the Second Merger Sub shall remain issued and outstanding.</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11" w:name="z_Toc240403017"/>
      <w:bookmarkStart w:id="212" w:name="z_Ref237973882"/>
      <w:bookmarkStart w:id="213" w:name="z_Ref237973614"/>
      <w:bookmarkStart w:id="214" w:name="z_Ref237970854"/>
      <w:bookmarkEnd w:id="211"/>
      <w:bookmarkEnd w:id="212"/>
      <w:bookmarkEnd w:id="213"/>
      <w:bookmarkEnd w:id="214"/>
      <w:r>
        <w:rPr>
          <w:rFonts w:ascii="Times New Roman" w:hAnsi="Times New Roman"/>
          <w:color w:val="000000"/>
          <w:sz w:val="20"/>
        </w:rPr>
        <w:t xml:space="preserve">1.7         </w:t>
      </w:r>
      <w:r>
        <w:rPr>
          <w:rFonts w:ascii="Times New Roman" w:hAnsi="Times New Roman"/>
          <w:b/>
          <w:color w:val="000000"/>
          <w:sz w:val="20"/>
          <w:u w:val="single"/>
        </w:rPr>
        <w:t>Closing of the Company’s Transfer Books</w:t>
      </w:r>
      <w:r>
        <w:rPr>
          <w:rFonts w:ascii="Times New Roman" w:hAnsi="Times New Roman"/>
          <w:color w:val="000000"/>
          <w:sz w:val="20"/>
        </w:rPr>
        <w:t xml:space="preserve">. At the First Effective Time: </w:t>
      </w:r>
      <w:bookmarkStart w:id="215" w:name="DocXTextRef39"/>
      <w:bookmarkEnd w:id="215"/>
      <w:r>
        <w:rPr>
          <w:rFonts w:ascii="Times New Roman" w:hAnsi="Times New Roman"/>
          <w:color w:val="000000"/>
          <w:sz w:val="20"/>
        </w:rPr>
        <w:t xml:space="preserve">(a) all holders of </w:t>
      </w:r>
      <w:bookmarkStart w:id="216" w:name="DocXTextRef40"/>
      <w:bookmarkEnd w:id="216"/>
      <w:r>
        <w:rPr>
          <w:rFonts w:ascii="Times New Roman" w:hAnsi="Times New Roman"/>
          <w:color w:val="000000"/>
          <w:sz w:val="20"/>
        </w:rPr>
        <w:t>(i) certificates representing shares of Company Capital Stock and (ii) book-entry shares representing shares of Company Capital Stock (“</w:t>
      </w:r>
      <w:r>
        <w:rPr>
          <w:rFonts w:ascii="Times New Roman" w:hAnsi="Times New Roman"/>
          <w:b/>
          <w:i/>
          <w:color w:val="000000"/>
          <w:sz w:val="20"/>
        </w:rPr>
        <w:t>Book-Entry Shares</w:t>
      </w:r>
      <w:r>
        <w:rPr>
          <w:rFonts w:ascii="Times New Roman" w:hAnsi="Times New Roman"/>
          <w:color w:val="000000"/>
          <w:sz w:val="20"/>
        </w:rPr>
        <w:t xml:space="preserve">”), in each case, that were outstanding immediately prior to the First Effective Time shall cease to have any rights as stockholders of the Company; and </w:t>
      </w:r>
      <w:bookmarkStart w:id="217" w:name="DocXTextRef41"/>
      <w:bookmarkEnd w:id="217"/>
      <w:r>
        <w:rPr>
          <w:rFonts w:ascii="Times New Roman" w:hAnsi="Times New Roman"/>
          <w:color w:val="000000"/>
          <w:sz w:val="20"/>
        </w:rPr>
        <w:t>(b) the stock transfer books of the Company shall be closed with respect to all shares of Company Capital Stock outstanding immediately prior to the First Effective Time. No further transfer of any such shares of Company Capital Stock shall be made on such stock transfer books after the First Effective Time. If, after the First Effective Time, a valid certificate previously representing any shares of Company Capital Stock outstanding immediately prior to the First Effective Time (a “</w:t>
      </w:r>
      <w:r>
        <w:rPr>
          <w:rFonts w:ascii="Times New Roman" w:hAnsi="Times New Roman"/>
          <w:b/>
          <w:i/>
          <w:color w:val="000000"/>
          <w:sz w:val="20"/>
        </w:rPr>
        <w:t>Company Stock Certificate</w:t>
      </w:r>
      <w:r>
        <w:rPr>
          <w:rFonts w:ascii="Times New Roman" w:hAnsi="Times New Roman"/>
          <w:color w:val="000000"/>
          <w:sz w:val="20"/>
        </w:rPr>
        <w:t xml:space="preserve">”) is presented to the Exchange Agent or to the Surviving Entity, such Company Stock Certificate shall be canceled and shall be exchanged as provided in </w:t>
      </w:r>
      <w:r>
        <w:rPr>
          <w:rFonts w:ascii="Times New Roman" w:hAnsi="Times New Roman"/>
          <w:color w:val="000000"/>
          <w:sz w:val="20"/>
          <w:u w:val="single"/>
        </w:rPr>
        <w:t>Sections 1.6</w:t>
      </w:r>
      <w:r>
        <w:rPr>
          <w:rFonts w:ascii="Times New Roman" w:hAnsi="Times New Roman"/>
          <w:color w:val="000000"/>
          <w:sz w:val="20"/>
        </w:rPr>
        <w:t xml:space="preserve"> and </w:t>
      </w:r>
      <w:r>
        <w:rPr>
          <w:rFonts w:ascii="Times New Roman" w:hAnsi="Times New Roman"/>
          <w:color w:val="000000"/>
          <w:sz w:val="20"/>
          <w:u w:val="single"/>
        </w:rPr>
        <w:t>1.8</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1.8          </w:t>
      </w:r>
      <w:r>
        <w:rPr>
          <w:rFonts w:ascii="Times New Roman" w:hAnsi="Times New Roman"/>
          <w:b/>
          <w:color w:val="000000"/>
          <w:sz w:val="20"/>
          <w:u w:val="single"/>
        </w:rPr>
        <w:t>Exchange of Shares.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18" w:name="z_Ref237970856"/>
      <w:bookmarkEnd w:id="218"/>
      <w:r>
        <w:rPr>
          <w:rFonts w:ascii="Times New Roman" w:hAnsi="Times New Roman"/>
          <w:color w:val="000000"/>
          <w:sz w:val="20"/>
        </w:rPr>
        <w:t>(a)          On or prior to the Closing Date, Parent and the Company shall agree upon and select a reputable bank, transfer agent or trust company to act as exchange agent in the Merger (the “</w:t>
      </w:r>
      <w:r>
        <w:rPr>
          <w:rFonts w:ascii="Times New Roman" w:hAnsi="Times New Roman"/>
          <w:b/>
          <w:i/>
          <w:color w:val="000000"/>
          <w:sz w:val="20"/>
        </w:rPr>
        <w:t>Exchange Agent</w:t>
      </w:r>
      <w:r>
        <w:rPr>
          <w:rFonts w:ascii="Times New Roman" w:hAnsi="Times New Roman"/>
          <w:color w:val="000000"/>
          <w:sz w:val="20"/>
        </w:rPr>
        <w:t xml:space="preserve">”). At the First Effective Time, Parent shall deposit with the Exchange Agent certificates or evidence of book-entry shares representing the Parent Common Stock and Parent Series C Convertible Preferred Stock issuable pursuant to </w:t>
      </w:r>
      <w:r>
        <w:rPr>
          <w:rFonts w:ascii="Times New Roman" w:hAnsi="Times New Roman"/>
          <w:color w:val="000000"/>
          <w:sz w:val="20"/>
          <w:u w:val="single"/>
        </w:rPr>
        <w:t>Section 1.6(a)</w:t>
      </w:r>
      <w:r>
        <w:rPr>
          <w:rFonts w:ascii="Times New Roman" w:hAnsi="Times New Roman"/>
          <w:color w:val="000000"/>
          <w:sz w:val="20"/>
        </w:rPr>
        <w:t>. The Parent Common Stock and Parent Series C Convertible Preferred Stock so deposited with the Exchange Agent, together with any dividends or distributions received by the Exchange Agent with respect to such shares, are referred to collectively as the “</w:t>
      </w:r>
      <w:r>
        <w:rPr>
          <w:rFonts w:ascii="Times New Roman" w:hAnsi="Times New Roman"/>
          <w:b/>
          <w:i/>
          <w:color w:val="000000"/>
          <w:sz w:val="20"/>
        </w:rPr>
        <w:t>Exchange Fund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19" w:name="z_Ref237970857"/>
      <w:bookmarkEnd w:id="219"/>
      <w:r>
        <w:rPr>
          <w:rFonts w:ascii="Times New Roman" w:hAnsi="Times New Roman"/>
          <w:color w:val="000000"/>
          <w:sz w:val="20"/>
        </w:rPr>
        <w:t xml:space="preserve">(b)          Immediately following the First Effective Time, the Exchange Agent shall issue book-entry shares representing the Merger Consideration (in a number of whole shares of Parent Common Stock and Parent Series C Convertible Preferred Stock) that each holder of Company Capital Stock has the right to receive pursuant to the provisions of </w:t>
      </w:r>
      <w:r>
        <w:rPr>
          <w:rFonts w:ascii="Times New Roman" w:hAnsi="Times New Roman"/>
          <w:color w:val="000000"/>
          <w:sz w:val="20"/>
          <w:u w:val="single"/>
        </w:rPr>
        <w:t>Section 1.6(a)</w:t>
      </w:r>
      <w:r>
        <w:rPr>
          <w:rFonts w:ascii="Times New Roman" w:hAnsi="Times New Roman"/>
          <w:color w:val="000000"/>
          <w:sz w:val="20"/>
        </w:rPr>
        <w:t xml:space="preserve"> and each Company Stock Certificate or Book-Entry Share formerly held by each such holder shall be deemed, from and after the First Effective Time, to represent only the right to receive book-entry shares of Parent Common Stock and Parent Series C Convertible Preferred Stock representing the Merger Consideration and, following issuance of book-entry shares representing the Merger Consideration, shall be canceled. The Merger Consideration and any dividends or other distributions as are payable pursuant to </w:t>
      </w:r>
      <w:r>
        <w:rPr>
          <w:rFonts w:ascii="Times New Roman" w:hAnsi="Times New Roman"/>
          <w:color w:val="000000"/>
          <w:sz w:val="20"/>
          <w:u w:val="single"/>
        </w:rPr>
        <w:t>Section 1.6(e)</w:t>
      </w:r>
      <w:r>
        <w:rPr>
          <w:rFonts w:ascii="Times New Roman" w:hAnsi="Times New Roman"/>
          <w:color w:val="000000"/>
          <w:sz w:val="20"/>
        </w:rPr>
        <w:t xml:space="preserve"> shall be deemed to have been in full satisfaction of all rights pertaining to Company Capital Stock formerly represented by such Company Stock Certificates or Book-Entry Shares.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20" w:name="z_Ref237970858"/>
      <w:bookmarkEnd w:id="220"/>
      <w:r>
        <w:rPr>
          <w:rFonts w:ascii="Times New Roman" w:hAnsi="Times New Roman"/>
          <w:color w:val="000000"/>
          <w:sz w:val="20"/>
        </w:rPr>
        <w:t>(c)          Any portion of the Exchange Fund that remains unclaimed by holders of shares of Company Capital Stock as of the date that is one year after the Closing Date shall be delivered to Parent upon demand, and any holders of Company Stock Certificates or Book-Entry Shares who have not theretofore surrendered their Company Stock Certificates or transferred their Book-Entry Shares shall thereafter look only to Parent as general creditors for satisfaction of their claims for Parent Common Stock and Parent Series C Convertible Preferred Stock and any dividends or distributions with respect to shares of Parent Common Stock and Parent Series C Convertible Preferred Stock.</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21" w:name="z_Ref237970859"/>
      <w:bookmarkEnd w:id="221"/>
      <w:r>
        <w:rPr>
          <w:rFonts w:ascii="Times New Roman" w:hAnsi="Times New Roman"/>
          <w:color w:val="000000"/>
          <w:sz w:val="20"/>
        </w:rPr>
        <w:t>(d)          No Party shall be liable to any former holder of any shares of Company Capital Stock or to any other Person with respect to any shares of Parent Common Stock or Parent Series C Convertible Preferred Stock (or dividends or distributions with respect thereto) delivered to any public official pursuant to any applicable abandoned property Law, escheat Law or similar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1.9          </w:t>
      </w:r>
      <w:r>
        <w:rPr>
          <w:rFonts w:ascii="Times New Roman" w:hAnsi="Times New Roman"/>
          <w:b/>
          <w:color w:val="000000"/>
          <w:sz w:val="20"/>
          <w:u w:val="single"/>
        </w:rPr>
        <w:t>Company Options.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22" w:name="z_Ref237970861"/>
      <w:bookmarkEnd w:id="222"/>
      <w:r>
        <w:rPr>
          <w:rFonts w:ascii="Times New Roman" w:hAnsi="Times New Roman"/>
          <w:color w:val="000000"/>
          <w:sz w:val="20"/>
        </w:rPr>
        <w:t xml:space="preserve">(a)          At the First Effective Time, each Company Option that is outstanding and unexercised immediately prior to the First Effective Time under the Company Plans, whether or not vested, shall be converted into and become an option to purchase Parent Series C Convertible Preferred Stock (or, upon the Change of Control Effective Time, Parent Common Stock), and Parent shall assume the Company Plans and each such Company Option in accordance with the terms (as in effect as of the date of this Agreement) of the Company Plans and the terms of the stock option agreement by which such Company Option is evidenced (but with changes to such documents as Parent and the Company determine in good faith are necessary to reflect the substitution of the Company Options by Parent to purchase shares of Parent Series C Convertible Preferred Stock or Parent Common Stock, as applicable). All rights with respect to Company Common Stock under Company Options assumed by Parent shall thereupon be converted into rights with respect to Parent Series C Convertible Preferred Stock and Parent Common Stock, as applicable). Accordingly, (x) from and after the First Effective Time until immediately prior to the Change of Control Effective Time: </w:t>
      </w:r>
      <w:bookmarkStart w:id="223" w:name="DocXTextRef50"/>
      <w:bookmarkEnd w:id="223"/>
      <w:r>
        <w:rPr>
          <w:rFonts w:ascii="Times New Roman" w:hAnsi="Times New Roman"/>
          <w:color w:val="000000"/>
          <w:sz w:val="20"/>
        </w:rPr>
        <w:t xml:space="preserve">(i) each Company Option assumed by Parent may be exercised solely for shares of Parent Series C Convertible Preferred Stock; (ii) the number of shares of Parent Series C Convertible Preferred Stock subject to each Company Option assumed by Parent shall be determined by multiplying </w:t>
      </w:r>
      <w:bookmarkStart w:id="224" w:name="DocXTextRef51"/>
      <w:bookmarkEnd w:id="224"/>
      <w:r>
        <w:rPr>
          <w:rFonts w:ascii="Times New Roman" w:hAnsi="Times New Roman"/>
          <w:color w:val="000000"/>
          <w:sz w:val="20"/>
        </w:rPr>
        <w:t xml:space="preserve">(A) the number of shares of Company Common Stock that were subject to such Company Option, as in effect immediately prior to the First Effective Time, by </w:t>
      </w:r>
      <w:bookmarkStart w:id="225" w:name="DocXTextRef52"/>
      <w:bookmarkEnd w:id="225"/>
      <w:r>
        <w:rPr>
          <w:rFonts w:ascii="Times New Roman" w:hAnsi="Times New Roman"/>
          <w:color w:val="000000"/>
          <w:sz w:val="20"/>
        </w:rPr>
        <w:t xml:space="preserve">(B) the Preferred Exchange Ratio, and rounding the resulting number down to the nearest whole number of shares of Parent Series C Convertible Preferred Stock; (iii) the per share exercise price for the Parent Series C Convertible Preferred Stock issuable upon exercise of each Company Option assumed by Parent shall be determined by dividing </w:t>
      </w:r>
      <w:bookmarkStart w:id="226" w:name="DocXTextRef53"/>
      <w:bookmarkEnd w:id="226"/>
      <w:r>
        <w:rPr>
          <w:rFonts w:ascii="Times New Roman" w:hAnsi="Times New Roman"/>
          <w:color w:val="000000"/>
          <w:sz w:val="20"/>
        </w:rPr>
        <w:t xml:space="preserve">(A) the per share exercise price of Company Common Stock subject to such Company Option, as in effect immediately prior to the First Effective Time, by </w:t>
      </w:r>
      <w:bookmarkStart w:id="227" w:name="DocXTextRef54"/>
      <w:bookmarkEnd w:id="227"/>
      <w:r>
        <w:rPr>
          <w:rFonts w:ascii="Times New Roman" w:hAnsi="Times New Roman"/>
          <w:color w:val="000000"/>
          <w:sz w:val="20"/>
        </w:rPr>
        <w:t xml:space="preserve">(B) the Preferred Exchange Ratio and rounding the resulting exercise price up to the nearest whole cent; and (iv) any restriction on the exercise of any Company Option assumed by Parent shall continue in full force and effect and the term, exercisability, vesting schedule and other provisions of such Company Option shall otherwise remain unchanged and (y) from and after the Change of Control Effective Time: (i) each Company Option assumed by Parent may be exercised solely for shares of Parent Common Stock; (ii) the number of shares of Parent Common Stock subject to each Company Option assumed by Parent shall be determined by multiplying (A) the number of shares of Company Common Stock that were subject to such Company Option, as in effect immediately prior to the First Effective Time, by (B) the Exchange Ratio, and rounding the resulting number down to the nearest whole number of shares of Parent Common Stock; (iii) the per share exercise price for the Parent Common Stock issuable upon exercise of each Company Option assumed by Parent shall be determined by dividing (A) the per share exercise price of Company Common Stock subject to such Company Option, as in effect immediately prior to the First Effective Time, by (B) the Exchange Ratio and rounding the resulting exercise price up to the nearest whole cent; and (iv) any restriction on the exercise of any Company Option assumed by Parent shall continue in full force and effect and the term, exercisability, vesting schedule and other provisions of such Company Option shall otherwise remain unchanged; </w:t>
      </w:r>
      <w:r>
        <w:rPr>
          <w:rFonts w:ascii="Times New Roman" w:hAnsi="Times New Roman"/>
          <w:i/>
          <w:color w:val="000000"/>
          <w:sz w:val="20"/>
        </w:rPr>
        <w:t>provided</w:t>
      </w:r>
      <w:r>
        <w:rPr>
          <w:rFonts w:ascii="Times New Roman" w:hAnsi="Times New Roman"/>
          <w:color w:val="000000"/>
          <w:sz w:val="20"/>
        </w:rPr>
        <w:t xml:space="preserve">, that, </w:t>
      </w:r>
      <w:bookmarkStart w:id="228" w:name="DocXTextRef55"/>
      <w:bookmarkEnd w:id="228"/>
      <w:r>
        <w:rPr>
          <w:rFonts w:ascii="Times New Roman" w:hAnsi="Times New Roman"/>
          <w:color w:val="000000"/>
          <w:sz w:val="20"/>
        </w:rPr>
        <w:t xml:space="preserve">(I) in the case of any Company Option to which Section </w:t>
      </w:r>
      <w:bookmarkStart w:id="229" w:name="DocXTextRef46"/>
      <w:bookmarkEnd w:id="229"/>
      <w:r>
        <w:rPr>
          <w:rFonts w:ascii="Times New Roman" w:hAnsi="Times New Roman"/>
          <w:color w:val="000000"/>
          <w:sz w:val="20"/>
        </w:rPr>
        <w:t xml:space="preserve">421 of the Code applies as of the First Effective Time by reason of its qualification under Section </w:t>
      </w:r>
      <w:bookmarkStart w:id="230" w:name="DocXTextRef47"/>
      <w:bookmarkEnd w:id="230"/>
      <w:r>
        <w:rPr>
          <w:rFonts w:ascii="Times New Roman" w:hAnsi="Times New Roman"/>
          <w:color w:val="000000"/>
          <w:sz w:val="20"/>
        </w:rPr>
        <w:t xml:space="preserve">422 of the Code, the exercise price, the number of shares of Parent Series C Convertible Preferred Stock or Parent Common Stock subject to such option and the terms and conditions of exercise of such option shall be determined in a manner consistent with the requirements of Section </w:t>
      </w:r>
      <w:bookmarkStart w:id="231" w:name="DocXTextRef48"/>
      <w:bookmarkEnd w:id="231"/>
      <w:r>
        <w:rPr>
          <w:rFonts w:ascii="Times New Roman" w:hAnsi="Times New Roman"/>
          <w:color w:val="000000"/>
          <w:sz w:val="20"/>
        </w:rPr>
        <w:t xml:space="preserve">424(a) of the Code; and (II) the exercise price, the number of shares of Parent Series C Convertible Preferred Stock or Parent Common Stock subject to, and the terms and conditions of exercise of each option to purchase Parent Series C Convertible Preferred Stock or Parent Common Stock shall also be determined in a manner consistent with the requirements of </w:t>
      </w:r>
      <w:bookmarkStart w:id="232" w:name="DocXTextRef49"/>
      <w:bookmarkEnd w:id="232"/>
      <w:r>
        <w:rPr>
          <w:rFonts w:ascii="Times New Roman" w:hAnsi="Times New Roman"/>
          <w:color w:val="000000"/>
          <w:sz w:val="20"/>
        </w:rPr>
        <w:t xml:space="preserve">Section 409A of the Code (including, for the avoidance of doubt, that any Parent Series C Convertible Preferred Stock subject to a Company Option shall be “service recipient stock” within the meaning of Section 409A of the Code as a result of such Parent Series C Convertible Preferred Stock constituting common stock for purposes of Section 305 of the Code, not having any preference as to distributions, and not being subject to any mandatory repurchase obligation (other than a right of first refusal) or any put or call right); </w:t>
      </w:r>
      <w:r>
        <w:rPr>
          <w:rFonts w:ascii="Times New Roman" w:hAnsi="Times New Roman"/>
          <w:i/>
          <w:color w:val="000000"/>
          <w:sz w:val="20"/>
        </w:rPr>
        <w:t>provided, further</w:t>
      </w:r>
      <w:r>
        <w:rPr>
          <w:rFonts w:ascii="Times New Roman" w:hAnsi="Times New Roman"/>
          <w:color w:val="000000"/>
          <w:sz w:val="20"/>
        </w:rPr>
        <w:t xml:space="preserve">, that: </w:t>
      </w:r>
      <w:bookmarkStart w:id="233" w:name="DocXTextRef56"/>
      <w:bookmarkEnd w:id="233"/>
      <w:r>
        <w:rPr>
          <w:rFonts w:ascii="Times New Roman" w:hAnsi="Times New Roman"/>
          <w:color w:val="000000"/>
          <w:sz w:val="20"/>
        </w:rPr>
        <w:t xml:space="preserve">(x) Parent may amend the terms of the Company Options and the Company Plans as may be necessary to reflect Parent’s substitution of the Company Options with options to purchase Parent Series C Convertible Preferred Stock or Parent Common Stock (such as by making any change in control or similar definition relate to Parent and having any provision that provides for the adjustment of Company Options upon the occurrence of certain corporate events relate to corporate events that relate to Parent, Parent Series C Convertible Preferred Stock and/or Parent Common Stock); and </w:t>
      </w:r>
      <w:bookmarkStart w:id="234" w:name="DocXTextRef57"/>
      <w:bookmarkEnd w:id="234"/>
      <w:r>
        <w:rPr>
          <w:rFonts w:ascii="Times New Roman" w:hAnsi="Times New Roman"/>
          <w:color w:val="000000"/>
          <w:sz w:val="20"/>
        </w:rPr>
        <w:t>(y) the Parent Board or a committee thereof shall succeed to the authority and responsibility of the Company Board or any committee thereof with respect to each Company Option assumed by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(b)          Parent shall file with the SEC, promptly after the First Effective Time (and in any event, not later than 30 days thereafter), a registration statement on Form S-8 (or any successor form), if available for use by Parent, relating to the shares of Parent Series C Convertible Preferred Stock and Parent Common Stock issuable with respect to Company Options assumed by Parent in accordance with </w:t>
      </w:r>
      <w:r>
        <w:rPr>
          <w:rFonts w:ascii="Times New Roman" w:hAnsi="Times New Roman"/>
          <w:color w:val="000000"/>
          <w:sz w:val="20"/>
          <w:u w:val="single"/>
        </w:rPr>
        <w:t>Section 1.9</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35" w:name="z_Toc240403020"/>
      <w:bookmarkStart w:id="236" w:name="z_Ref238207253"/>
      <w:bookmarkEnd w:id="235"/>
      <w:bookmarkEnd w:id="236"/>
      <w:r>
        <w:rPr>
          <w:rFonts w:ascii="Times New Roman" w:hAnsi="Times New Roman"/>
          <w:color w:val="000000"/>
          <w:sz w:val="20"/>
        </w:rPr>
        <w:t xml:space="preserve">1.10       </w:t>
      </w:r>
      <w:r>
        <w:rPr>
          <w:rFonts w:ascii="Times New Roman" w:hAnsi="Times New Roman"/>
          <w:b/>
          <w:color w:val="000000"/>
          <w:sz w:val="20"/>
          <w:u w:val="single"/>
        </w:rPr>
        <w:t>Company SAFEs</w:t>
      </w:r>
      <w:r>
        <w:rPr>
          <w:rFonts w:ascii="Times New Roman" w:hAnsi="Times New Roman"/>
          <w:color w:val="000000"/>
          <w:sz w:val="20"/>
        </w:rPr>
        <w:t>. Pursuant to the terms and conditions of the Company SAFEs, immediately prior to and contingent upon the Closing, each Company SAFE shall automatically convert into the number of shares of Company Common Stock determined in accordance with Section 1(a)(i) of such Company SAFE. Each share of Company Common Stock issued upon conversion of the Company SAFEs (collectively, the “</w:t>
      </w:r>
      <w:r>
        <w:rPr>
          <w:rFonts w:ascii="Times New Roman" w:hAnsi="Times New Roman"/>
          <w:b/>
          <w:i/>
          <w:color w:val="000000"/>
          <w:sz w:val="20"/>
        </w:rPr>
        <w:t>Company SAFE Conversion Shares</w:t>
      </w:r>
      <w:r>
        <w:rPr>
          <w:rFonts w:ascii="Times New Roman" w:hAnsi="Times New Roman"/>
          <w:color w:val="000000"/>
          <w:sz w:val="20"/>
        </w:rPr>
        <w:t xml:space="preserve">”) shall be treated in the same manner as each other share of Company Common Stock outstanding immediately prior to the First Effective Time pursuant to </w:t>
      </w:r>
      <w:r>
        <w:rPr>
          <w:rFonts w:ascii="Times New Roman" w:hAnsi="Times New Roman"/>
          <w:color w:val="000000"/>
          <w:sz w:val="20"/>
          <w:u w:val="single"/>
        </w:rPr>
        <w:t>Section 1.6(a)(ii)</w:t>
      </w:r>
      <w:r>
        <w:rPr>
          <w:rFonts w:ascii="Times New Roman" w:hAnsi="Times New Roman"/>
          <w:color w:val="000000"/>
          <w:sz w:val="20"/>
        </w:rPr>
        <w:t xml:space="preserve"> and shall be converted into the right to receive shares of Parent Common Stock at the Exchange Ratio and/or Parent Series C Convertible Preferred Stock at the Preferred Exchange Ratio, as set forth on the Allocation Certificate.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37" w:name="z_Toc240403021"/>
      <w:bookmarkStart w:id="238" w:name="z_Ref238255921"/>
      <w:bookmarkEnd w:id="237"/>
      <w:bookmarkEnd w:id="238"/>
      <w:r>
        <w:rPr>
          <w:rFonts w:ascii="Times New Roman" w:hAnsi="Times New Roman"/>
          <w:color w:val="000000"/>
          <w:sz w:val="20"/>
        </w:rPr>
        <w:t xml:space="preserve">1.11        </w:t>
      </w:r>
      <w:r>
        <w:rPr>
          <w:rFonts w:ascii="Times New Roman" w:hAnsi="Times New Roman"/>
          <w:b/>
          <w:color w:val="000000"/>
          <w:sz w:val="20"/>
          <w:u w:val="single"/>
        </w:rPr>
        <w:t>Appraisal Rights</w:t>
      </w:r>
      <w:r>
        <w:rPr>
          <w:rFonts w:ascii="Times New Roman" w:hAnsi="Times New Roman"/>
          <w:color w:val="000000"/>
          <w:sz w:val="20"/>
        </w:rPr>
        <w:t>. Notwithstanding any provision of this Agreement to the contrary, shares of Company Capital Stock that are outstanding immediately prior to the First Effective Time and which are held by stockholders who have exercised and perfected appraisal rights for such shares of Company Capital Stock in accordance with the DGCL (collectively, the “</w:t>
      </w:r>
      <w:r>
        <w:rPr>
          <w:rFonts w:ascii="Times New Roman" w:hAnsi="Times New Roman"/>
          <w:b/>
          <w:i/>
          <w:color w:val="000000"/>
          <w:sz w:val="20"/>
        </w:rPr>
        <w:t>Dissenting Shares</w:t>
      </w:r>
      <w:r>
        <w:rPr>
          <w:rFonts w:ascii="Times New Roman" w:hAnsi="Times New Roman"/>
          <w:color w:val="000000"/>
          <w:sz w:val="20"/>
        </w:rPr>
        <w:t xml:space="preserve">”) shall not be converted into or represent the right to receive the Merger Consideration described in </w:t>
      </w:r>
      <w:r>
        <w:rPr>
          <w:rFonts w:ascii="Times New Roman" w:hAnsi="Times New Roman"/>
          <w:color w:val="000000"/>
          <w:sz w:val="20"/>
          <w:u w:val="single"/>
        </w:rPr>
        <w:t>Section 1.5</w:t>
      </w:r>
      <w:r>
        <w:rPr>
          <w:rFonts w:ascii="Times New Roman" w:hAnsi="Times New Roman"/>
          <w:color w:val="000000"/>
          <w:sz w:val="20"/>
        </w:rPr>
        <w:t xml:space="preserve"> or </w:t>
      </w:r>
      <w:r>
        <w:rPr>
          <w:rFonts w:ascii="Times New Roman" w:hAnsi="Times New Roman"/>
          <w:color w:val="000000"/>
          <w:sz w:val="20"/>
          <w:u w:val="single"/>
        </w:rPr>
        <w:t>Section 1.6</w:t>
      </w:r>
      <w:r>
        <w:rPr>
          <w:rFonts w:ascii="Times New Roman" w:hAnsi="Times New Roman"/>
          <w:color w:val="000000"/>
          <w:sz w:val="20"/>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under </w:t>
      </w:r>
      <w:r>
        <w:rPr>
          <w:rFonts w:ascii="Times New Roman" w:hAnsi="Times New Roman"/>
          <w:color w:val="000000"/>
          <w:sz w:val="20"/>
          <w:u w:val="single"/>
        </w:rPr>
        <w:t>Section 1.6</w:t>
      </w:r>
      <w:r>
        <w:rPr>
          <w:rFonts w:ascii="Times New Roman" w:hAnsi="Times New Roman"/>
          <w:color w:val="000000"/>
          <w:sz w:val="20"/>
        </w:rPr>
        <w:t xml:space="preserve"> upon their surrender in the manner provided in </w:t>
      </w:r>
      <w:r>
        <w:rPr>
          <w:rFonts w:ascii="Times New Roman" w:hAnsi="Times New Roman"/>
          <w:color w:val="000000"/>
          <w:sz w:val="20"/>
          <w:u w:val="single"/>
        </w:rPr>
        <w:t>Section 1.8</w:t>
      </w:r>
      <w:r>
        <w:rPr>
          <w:rFonts w:ascii="Times New Roman" w:hAnsi="Times New Roman"/>
          <w:color w:val="000000"/>
          <w:sz w:val="20"/>
        </w:rPr>
        <w:t>.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the Company shall have the right to direct all negotiations and proceedings with respect to such demands; provided that Parent shall have the right to participate in such negotiations and proceedings. Neither the Parent nor the Company shall, except with the other party’s prior written consent (which shall not be unreasonably withheld), voluntarily make any payment with respect to, or settle or offer to settle, any such demands, or approve any withdrawal of any such demands or agree to do any of the foregoing.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1.12       </w:t>
      </w:r>
      <w:r>
        <w:rPr>
          <w:rFonts w:ascii="Times New Roman" w:hAnsi="Times New Roman"/>
          <w:b/>
          <w:color w:val="000000"/>
          <w:sz w:val="20"/>
          <w:u w:val="single"/>
        </w:rPr>
        <w:t>Further Action</w:t>
      </w:r>
      <w:r>
        <w:rPr>
          <w:rFonts w:ascii="Times New Roman" w:hAnsi="Times New Roman"/>
          <w:color w:val="000000"/>
          <w:sz w:val="20"/>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reasonable best efforts (in the name of the Company, in the name of Merger Subs, in the name of the Surviving Entity and otherwise) to take such action.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39" w:name="z_Toc240403023"/>
      <w:bookmarkStart w:id="240" w:name="z_Ref237974631"/>
      <w:bookmarkStart w:id="241" w:name="z_Ref237973450"/>
      <w:bookmarkStart w:id="242" w:name="z_Ref237970864"/>
      <w:bookmarkEnd w:id="239"/>
      <w:bookmarkEnd w:id="240"/>
      <w:bookmarkEnd w:id="241"/>
      <w:bookmarkEnd w:id="242"/>
      <w:r>
        <w:rPr>
          <w:rFonts w:ascii="Times New Roman" w:hAnsi="Times New Roman"/>
          <w:color w:val="000000"/>
          <w:sz w:val="20"/>
        </w:rPr>
        <w:t xml:space="preserve">1.13       </w:t>
      </w:r>
      <w:r>
        <w:rPr>
          <w:rFonts w:ascii="Times New Roman" w:hAnsi="Times New Roman"/>
          <w:b/>
          <w:color w:val="000000"/>
          <w:sz w:val="20"/>
          <w:u w:val="single"/>
        </w:rPr>
        <w:t>Withholding</w:t>
      </w:r>
      <w:r>
        <w:rPr>
          <w:rFonts w:ascii="Times New Roman" w:hAnsi="Times New Roman"/>
          <w:color w:val="000000"/>
          <w:sz w:val="20"/>
        </w:rPr>
        <w:t>. The Parties and the Exchange Agent (each, a “</w:t>
      </w:r>
      <w:r>
        <w:rPr>
          <w:rFonts w:ascii="Times New Roman" w:hAnsi="Times New Roman"/>
          <w:b/>
          <w:i/>
          <w:color w:val="000000"/>
          <w:sz w:val="20"/>
        </w:rPr>
        <w:t>Withholding Agent</w:t>
      </w:r>
      <w:r>
        <w:rPr>
          <w:rFonts w:ascii="Times New Roman" w:hAnsi="Times New Roman"/>
          <w:color w:val="000000"/>
          <w:sz w:val="20"/>
        </w:rPr>
        <w:t xml:space="preserve">”) shall be entitled to deduct and withhold from the consideration otherwise payable pursuant to this Agreement to any holder of Company Capital Stock or any other Person such amounts as such Party or the Exchange Agent is required to deduct and withhold under the Code or any other Law with respect to the making of such payment;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a Withholding Agent determines that any payment to any stockholder of the Company hereunder is subject to deduction and/or withholding, then, except with respect to compensatory payments, or as a result of a failure to deliver the certificate described in </w:t>
      </w:r>
      <w:r>
        <w:rPr>
          <w:rFonts w:ascii="Times New Roman" w:hAnsi="Times New Roman"/>
          <w:color w:val="000000"/>
          <w:sz w:val="20"/>
          <w:u w:val="single"/>
        </w:rPr>
        <w:t>Section 6.2</w:t>
      </w:r>
      <w:r>
        <w:rPr>
          <w:rFonts w:ascii="Times New Roman" w:hAnsi="Times New Roman"/>
          <w:color w:val="000000"/>
          <w:sz w:val="20"/>
        </w:rPr>
        <w:t xml:space="preserve">, such Withholding Agent shall </w:t>
      </w:r>
      <w:bookmarkStart w:id="243" w:name="DocXTextRef60"/>
      <w:bookmarkEnd w:id="243"/>
      <w:r>
        <w:rPr>
          <w:rFonts w:ascii="Times New Roman" w:hAnsi="Times New Roman"/>
          <w:color w:val="000000"/>
          <w:sz w:val="20"/>
        </w:rPr>
        <w:t>(i) provide notice to such stockholder as soon as reasonably practicable after such determination (and no later than three Business Days prior to undertaking such deduction and/or withholding), and (ii) use commercially reasonable efforts to cooperate with such stockholder prior to Closing to reduce or eliminate any such deduction and/or withholding. To the extent that amounts are so withheld and paid over to the appropriate Governmental Body, such withheld amounts shall be treated for all purposes of this Agreement as having been paid to the Person in respect of whom such deduction and withholding was made.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color w:val="000000"/>
          <w:sz w:val="20"/>
        </w:rPr>
      </w:pPr>
      <w:bookmarkStart w:id="244" w:name="z_Toc240403024"/>
      <w:bookmarkStart w:id="245" w:name="z_Ref237973721"/>
      <w:bookmarkStart w:id="246" w:name="z_Ref237972188"/>
      <w:bookmarkStart w:id="247" w:name="z_Ref237970865"/>
      <w:bookmarkEnd w:id="244"/>
      <w:bookmarkEnd w:id="245"/>
      <w:bookmarkEnd w:id="246"/>
      <w:bookmarkEnd w:id="247"/>
      <w:r>
        <w:rPr>
          <w:rFonts w:ascii="Times New Roman" w:hAnsi="Times New Roman"/>
          <w:b/>
          <w:color w:val="000000"/>
          <w:sz w:val="20"/>
        </w:rPr>
        <w:t>SECTION 2.       REPRESENTATIONS AND WARRANTIES OF THE COMPANY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Subject to </w:t>
      </w:r>
      <w:r>
        <w:rPr>
          <w:rFonts w:ascii="Times New Roman" w:hAnsi="Times New Roman"/>
          <w:color w:val="000000"/>
          <w:sz w:val="20"/>
          <w:u w:val="single"/>
        </w:rPr>
        <w:t>Section 8.13(h)</w:t>
      </w:r>
      <w:r>
        <w:rPr>
          <w:rFonts w:ascii="Times New Roman" w:hAnsi="Times New Roman"/>
          <w:color w:val="000000"/>
          <w:sz w:val="20"/>
        </w:rPr>
        <w:t>, except as set forth in the disclosure schedule delivered by the Company to Parent (the “</w:t>
      </w:r>
      <w:r>
        <w:rPr>
          <w:rFonts w:ascii="Times New Roman" w:hAnsi="Times New Roman"/>
          <w:b/>
          <w:i/>
          <w:color w:val="000000"/>
          <w:sz w:val="20"/>
        </w:rPr>
        <w:t>Company Disclosure Schedule</w:t>
      </w:r>
      <w:r>
        <w:rPr>
          <w:rFonts w:ascii="Times New Roman" w:hAnsi="Times New Roman"/>
          <w:color w:val="000000"/>
          <w:sz w:val="20"/>
        </w:rPr>
        <w:t>”), the Company represents and warrants to Parent and Merger Subs as follows: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48" w:name="z_Toc240403025"/>
      <w:bookmarkStart w:id="249" w:name="z_Ref237970866"/>
      <w:bookmarkEnd w:id="248"/>
      <w:bookmarkEnd w:id="249"/>
      <w:r>
        <w:rPr>
          <w:rFonts w:ascii="Times New Roman" w:hAnsi="Times New Roman"/>
          <w:color w:val="000000"/>
          <w:sz w:val="20"/>
        </w:rPr>
        <w:t xml:space="preserve">2.1         </w:t>
      </w:r>
      <w:r>
        <w:rPr>
          <w:rFonts w:ascii="Times New Roman" w:hAnsi="Times New Roman"/>
          <w:b/>
          <w:color w:val="000000"/>
          <w:sz w:val="20"/>
          <w:u w:val="single"/>
        </w:rPr>
        <w:t>Due Organization; Subsidiaries.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50" w:name="z_Ref237970867"/>
      <w:bookmarkEnd w:id="250"/>
      <w:r>
        <w:rPr>
          <w:rFonts w:ascii="Times New Roman" w:hAnsi="Times New Roman"/>
          <w:color w:val="000000"/>
          <w:sz w:val="20"/>
        </w:rPr>
        <w:t xml:space="preserve">(a)          The Company is a corporation duly incorporated, validly existing and in good standing under the Laws of Delaware and has all necessary corporate power and authority: </w:t>
      </w:r>
      <w:bookmarkStart w:id="251" w:name="DocXTextRef62"/>
      <w:bookmarkEnd w:id="251"/>
      <w:r>
        <w:rPr>
          <w:rFonts w:ascii="Times New Roman" w:hAnsi="Times New Roman"/>
          <w:color w:val="000000"/>
          <w:sz w:val="20"/>
        </w:rPr>
        <w:t>(i)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52" w:name="z_Ref237970869"/>
      <w:bookmarkEnd w:id="252"/>
      <w:r>
        <w:rPr>
          <w:rFonts w:ascii="Times New Roman" w:hAnsi="Times New Roman"/>
          <w:color w:val="000000"/>
          <w:sz w:val="20"/>
        </w:rPr>
        <w:t xml:space="preserve">(c)          The Company has no Subsidiaries, except for the Entities identified in </w:t>
      </w:r>
      <w:r>
        <w:rPr>
          <w:rFonts w:ascii="Times New Roman" w:hAnsi="Times New Roman"/>
          <w:color w:val="000000"/>
          <w:sz w:val="20"/>
          <w:u w:val="single"/>
        </w:rPr>
        <w:t>Section 2.1(c)</w:t>
      </w:r>
      <w:r>
        <w:rPr>
          <w:rFonts w:ascii="Times New Roman" w:hAnsi="Times New Roman"/>
          <w:color w:val="000000"/>
          <w:sz w:val="20"/>
        </w:rPr>
        <w:t xml:space="preserve"> of the Company Disclosure Schedule, and the Company does not own any capital stock of, or any equity, ownership or profit-sharing interest of any nature in, or controls directly or indirectly, any other Entity other than the Entities identified in </w:t>
      </w:r>
      <w:r>
        <w:rPr>
          <w:rFonts w:ascii="Times New Roman" w:hAnsi="Times New Roman"/>
          <w:color w:val="000000"/>
          <w:sz w:val="20"/>
          <w:u w:val="single"/>
        </w:rPr>
        <w:t>Section 2.1(c)</w:t>
      </w:r>
      <w:r>
        <w:rPr>
          <w:rFonts w:ascii="Times New Roman" w:hAnsi="Times New Roman"/>
          <w:color w:val="000000"/>
          <w:sz w:val="20"/>
        </w:rPr>
        <w:t xml:space="preserve"> of the Company Disclosure Schedule. Each of the Company’s Subsidiaries is a corporation or other legal entity duly organized, validly existing and, if applicable, in good standing under the Laws of the jurisdiction of its organization and has all necessary corporate or other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53" w:name="z_Ref237970870"/>
      <w:bookmarkEnd w:id="253"/>
      <w:r>
        <w:rPr>
          <w:rFonts w:ascii="Times New Roman" w:hAnsi="Times New Roman"/>
          <w:color w:val="000000"/>
          <w:sz w:val="20"/>
        </w:rPr>
        <w:t>(d)          The Company is not nor has ever been, directly or indirectly, a party to, member of or participant in any partnership, joint venture or similar business entity. The Company has not agreed to, and is not obligated to make, nor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54" w:name="z_Toc240403026"/>
      <w:bookmarkStart w:id="255" w:name="z_Ref237970871"/>
      <w:bookmarkEnd w:id="254"/>
      <w:bookmarkEnd w:id="255"/>
      <w:r>
        <w:rPr>
          <w:rFonts w:ascii="Times New Roman" w:hAnsi="Times New Roman"/>
          <w:color w:val="000000"/>
          <w:sz w:val="20"/>
        </w:rPr>
        <w:t xml:space="preserve">2.2         </w:t>
      </w:r>
      <w:r>
        <w:rPr>
          <w:rFonts w:ascii="Times New Roman" w:hAnsi="Times New Roman"/>
          <w:b/>
          <w:color w:val="000000"/>
          <w:sz w:val="20"/>
          <w:u w:val="single"/>
        </w:rPr>
        <w:t>Organizational Documents</w:t>
      </w:r>
      <w:r>
        <w:rPr>
          <w:rFonts w:ascii="Times New Roman" w:hAnsi="Times New Roman"/>
          <w:color w:val="000000"/>
          <w:sz w:val="20"/>
        </w:rPr>
        <w:t>. The Company has made available to Parent accurate and complete copies of the Organizational Documents of the Company in effect as of the date of this Agreement. The Company is not in breach or violation of its respective Organizational Documents.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56" w:name="z_Toc240403027"/>
      <w:bookmarkStart w:id="257" w:name="z_Ref237970872"/>
      <w:bookmarkEnd w:id="256"/>
      <w:bookmarkEnd w:id="257"/>
      <w:r>
        <w:rPr>
          <w:rFonts w:ascii="Times New Roman" w:hAnsi="Times New Roman"/>
          <w:color w:val="000000"/>
          <w:sz w:val="20"/>
        </w:rPr>
        <w:t>2.3          </w:t>
      </w:r>
      <w:r>
        <w:rPr>
          <w:rFonts w:ascii="Times New Roman" w:hAnsi="Times New Roman"/>
          <w:b/>
          <w:color w:val="000000"/>
          <w:sz w:val="20"/>
          <w:u w:val="single"/>
        </w:rPr>
        <w:t>Authority; Binding Nature of Agreement.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58" w:name="z_Ref237970873"/>
      <w:bookmarkEnd w:id="258"/>
      <w:r>
        <w:rPr>
          <w:rFonts w:ascii="Times New Roman" w:hAnsi="Times New Roman"/>
          <w:color w:val="000000"/>
          <w:sz w:val="20"/>
        </w:rPr>
        <w:t xml:space="preserve">(a)          The Company has all necessary corporate power and authority to enter into and to perform its obligations under this Agreement and, subject to receipt of the Required Company Stockholder Vote, to consummate the Contemplated Transactions. The Company Board (at meetings duly called and held or by unanimous written consent) has: </w:t>
      </w:r>
      <w:bookmarkStart w:id="259" w:name="DocXTextRef63"/>
      <w:bookmarkEnd w:id="259"/>
      <w:r>
        <w:rPr>
          <w:rFonts w:ascii="Times New Roman" w:hAnsi="Times New Roman"/>
          <w:color w:val="000000"/>
          <w:sz w:val="20"/>
        </w:rPr>
        <w:t>(i) determined that the Contemplated Transactions are fair to, advisable and in the best interests of the Company and its stockholders; (ii) authorized, approved and declared advisable this Agreement and the Contemplated Transactions; and (iii) determined to recommend, upon the terms and subject to the conditions set forth in this Agreement, that the stockholders of the Company vote in favor of the Company Stockholder Matters.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This Agreement has been duly executed and delivered by the Company and, assuming the due authorization, execution and delivery by Parent and Merger Subs, constitutes the legal, valid and binding obligation of the Company, enforceable against the Company in accordance with its terms, subject to the Enforceability Exceptions.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60" w:name="z_Toc240403028"/>
      <w:bookmarkStart w:id="261" w:name="z_Ref237974578"/>
      <w:bookmarkStart w:id="262" w:name="z_Ref237970875"/>
      <w:bookmarkEnd w:id="260"/>
      <w:bookmarkEnd w:id="261"/>
      <w:bookmarkEnd w:id="262"/>
      <w:r>
        <w:rPr>
          <w:rFonts w:ascii="Times New Roman" w:hAnsi="Times New Roman"/>
          <w:color w:val="000000"/>
          <w:sz w:val="20"/>
        </w:rPr>
        <w:t xml:space="preserve">2.4         </w:t>
      </w:r>
      <w:r>
        <w:rPr>
          <w:rFonts w:ascii="Times New Roman" w:hAnsi="Times New Roman"/>
          <w:b/>
          <w:color w:val="000000"/>
          <w:sz w:val="20"/>
          <w:u w:val="single"/>
        </w:rPr>
        <w:t>Vote Required</w:t>
      </w:r>
      <w:r>
        <w:rPr>
          <w:rFonts w:ascii="Times New Roman" w:hAnsi="Times New Roman"/>
          <w:color w:val="000000"/>
          <w:sz w:val="20"/>
        </w:rPr>
        <w:t xml:space="preserve">. The affirmative vote (or written consent) of </w:t>
      </w:r>
      <w:bookmarkStart w:id="263" w:name="DocXTextRef64"/>
      <w:bookmarkEnd w:id="263"/>
      <w:r>
        <w:rPr>
          <w:rFonts w:ascii="Times New Roman" w:hAnsi="Times New Roman"/>
          <w:color w:val="000000"/>
          <w:sz w:val="20"/>
        </w:rPr>
        <w:t xml:space="preserve">(a) the holders of a majority of the shares of Company Common Stock and Company Preferred Stock each outstanding on the record date for the Stockholder Written Consent and entitled to vote thereon, voting as a single class on an as-converted basis, and </w:t>
      </w:r>
      <w:bookmarkStart w:id="264" w:name="DocXTextRef65"/>
      <w:bookmarkEnd w:id="264"/>
      <w:r>
        <w:rPr>
          <w:rFonts w:ascii="Times New Roman" w:hAnsi="Times New Roman"/>
          <w:color w:val="000000"/>
          <w:sz w:val="20"/>
        </w:rPr>
        <w:t>(b) the holders of at a majority of the shares of Company Preferred Stock designated ‘Series B Preferred Stock’ outstanding on the record date for the Stockholder Written Consent and entitled to vote thereon, voting as a single class on an as-converted basis, which majority must include at least three of the Lead Investors (as defined in the Amended and Restated Investors’ Rights Agreement, dated as of June 11, 2024, by and among the Company and each of the investors party thereto) (collectively, the “</w:t>
      </w:r>
      <w:r>
        <w:rPr>
          <w:rFonts w:ascii="Times New Roman" w:hAnsi="Times New Roman"/>
          <w:b/>
          <w:i/>
          <w:color w:val="000000"/>
          <w:sz w:val="20"/>
        </w:rPr>
        <w:t>Required Company Stockholder Vote</w:t>
      </w:r>
      <w:r>
        <w:rPr>
          <w:rFonts w:ascii="Times New Roman" w:hAnsi="Times New Roman"/>
          <w:color w:val="000000"/>
          <w:sz w:val="20"/>
        </w:rPr>
        <w:t>”), are the only votes (or written consents) of the holders of any class or series of Company Capital Stock necessary to adopt and approve this Agreement and approve the Contemplated Transactions. The Stockholder Written Consent became effective upon the execution of this Agreement by the parties hereto and provided the Required Company Stockholder Vote. No other corporate proceedings by the Company are necessary to authorize this Agreement or to consummate the Contemplated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65" w:name="z_Toc240403029"/>
      <w:bookmarkStart w:id="266" w:name="z_Ref237971582"/>
      <w:bookmarkStart w:id="267" w:name="z_Ref237970876"/>
      <w:bookmarkEnd w:id="265"/>
      <w:bookmarkEnd w:id="266"/>
      <w:bookmarkEnd w:id="267"/>
      <w:r>
        <w:rPr>
          <w:rFonts w:ascii="Times New Roman" w:hAnsi="Times New Roman"/>
          <w:color w:val="000000"/>
          <w:sz w:val="20"/>
        </w:rPr>
        <w:t xml:space="preserve">2.5         </w:t>
      </w:r>
      <w:r>
        <w:rPr>
          <w:rFonts w:ascii="Times New Roman" w:hAnsi="Times New Roman"/>
          <w:b/>
          <w:color w:val="000000"/>
          <w:sz w:val="20"/>
          <w:u w:val="single"/>
        </w:rPr>
        <w:t>Non-Contravention; Consents</w:t>
      </w:r>
      <w:r>
        <w:rPr>
          <w:rFonts w:ascii="Times New Roman" w:hAnsi="Times New Roman"/>
          <w:color w:val="000000"/>
          <w:sz w:val="20"/>
        </w:rPr>
        <w:t xml:space="preserve">. Subject to obtaining the required Company Stockholder Vote, the filing of the Certificates of Merger required by the DGCL, and the filing of the Series C Certificate of Designation, neither </w:t>
      </w:r>
      <w:bookmarkStart w:id="268" w:name="DocXTextRef66"/>
      <w:bookmarkEnd w:id="268"/>
      <w:r>
        <w:rPr>
          <w:rFonts w:ascii="Times New Roman" w:hAnsi="Times New Roman"/>
          <w:color w:val="000000"/>
          <w:sz w:val="20"/>
        </w:rPr>
        <w:t xml:space="preserve">(x) the execution, delivery or performance of this Agreement by the Company, nor </w:t>
      </w:r>
      <w:bookmarkStart w:id="269" w:name="DocXTextRef67"/>
      <w:bookmarkEnd w:id="269"/>
      <w:r>
        <w:rPr>
          <w:rFonts w:ascii="Times New Roman" w:hAnsi="Times New Roman"/>
          <w:color w:val="000000"/>
          <w:sz w:val="20"/>
        </w:rPr>
        <w:t>(y) the consummation of the Contemplated Transactions, will directly or indirectly (with or without notice or lapse of time):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70" w:name="z_Ref237970877"/>
      <w:bookmarkEnd w:id="270"/>
      <w:r>
        <w:rPr>
          <w:rFonts w:ascii="Times New Roman" w:hAnsi="Times New Roman"/>
          <w:color w:val="000000"/>
          <w:sz w:val="20"/>
        </w:rPr>
        <w:t>(a)          contravene, conflict with or result in a violation of any of the provisions of the Company’s Organizational Documents;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71" w:name="z_Ref237970878"/>
      <w:bookmarkEnd w:id="271"/>
      <w:r>
        <w:rPr>
          <w:rFonts w:ascii="Times New Roman" w:hAnsi="Times New Roman"/>
          <w:color w:val="000000"/>
          <w:sz w:val="20"/>
        </w:rPr>
        <w:t>(b)          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72" w:name="z_Ref237970879"/>
      <w:bookmarkEnd w:id="272"/>
      <w:r>
        <w:rPr>
          <w:rFonts w:ascii="Times New Roman" w:hAnsi="Times New Roman"/>
          <w:color w:val="000000"/>
          <w:sz w:val="20"/>
        </w:rPr>
        <w:t>(c)          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73" w:name="z_Ref237970880"/>
      <w:bookmarkEnd w:id="273"/>
      <w:r>
        <w:rPr>
          <w:rFonts w:ascii="Times New Roman" w:hAnsi="Times New Roman"/>
          <w:color w:val="000000"/>
          <w:sz w:val="20"/>
        </w:rPr>
        <w:t xml:space="preserve">(d)          contravene, conflict with or result in a violation or breach of, or result in a default under, any provision of any Company Material Contract, or give any Person the right to: </w:t>
      </w:r>
      <w:bookmarkStart w:id="274" w:name="DocXTextRef68"/>
      <w:bookmarkEnd w:id="274"/>
      <w:r>
        <w:rPr>
          <w:rFonts w:ascii="Times New Roman" w:hAnsi="Times New Roman"/>
          <w:color w:val="000000"/>
          <w:sz w:val="20"/>
        </w:rPr>
        <w:t>(i) declare a default or exercise any remedy under any Company Material Contract; (ii) receive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(e)          result in the imposition or creation of any Encumbrance upon or with respect to any asset owned or used by the Company (except for Permitted Encumbrances).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Except for </w:t>
      </w:r>
      <w:bookmarkStart w:id="275" w:name="DocXTextRef71"/>
      <w:bookmarkEnd w:id="275"/>
      <w:r>
        <w:rPr>
          <w:rFonts w:ascii="Times New Roman" w:hAnsi="Times New Roman"/>
          <w:color w:val="000000"/>
          <w:sz w:val="20"/>
        </w:rPr>
        <w:t xml:space="preserve">(i) any Consent set forth in </w:t>
      </w:r>
      <w:r>
        <w:rPr>
          <w:rFonts w:ascii="Times New Roman" w:hAnsi="Times New Roman"/>
          <w:color w:val="000000"/>
          <w:sz w:val="20"/>
          <w:u w:val="single"/>
        </w:rPr>
        <w:t>Section 2.5</w:t>
      </w:r>
      <w:r>
        <w:rPr>
          <w:rFonts w:ascii="Times New Roman" w:hAnsi="Times New Roman"/>
          <w:color w:val="000000"/>
          <w:sz w:val="20"/>
        </w:rPr>
        <w:t xml:space="preserve"> of the Company Disclosure Schedule under any Company Contract, (ii) the Required Company Stockholder Vote, (iii) the filing of the Certificates of Merger with the Secretary of State of the State of Delaware pursuant to the DGCL, (iv) the filing of the Series C Certificate of Designation with the Secretary of State of the State of Delaware pursuant to the DGCL and </w:t>
      </w:r>
      <w:bookmarkStart w:id="276" w:name="DocXTextRef72"/>
      <w:bookmarkEnd w:id="276"/>
      <w:r>
        <w:rPr>
          <w:rFonts w:ascii="Times New Roman" w:hAnsi="Times New Roman"/>
          <w:color w:val="000000"/>
          <w:sz w:val="20"/>
        </w:rPr>
        <w:t xml:space="preserve">(v) such consents, waivers, approvals, orders, authorizations, registrations, declarations and filings as may be required under applicable federal and state securities Laws or Nasdaq listing rules, the Company is not required to make any filing with or give any notice to, or to obtain any Consent from, any Person in connection with </w:t>
      </w:r>
      <w:bookmarkStart w:id="277" w:name="DocXTextRef73"/>
      <w:bookmarkEnd w:id="277"/>
      <w:r>
        <w:rPr>
          <w:rFonts w:ascii="Times New Roman" w:hAnsi="Times New Roman"/>
          <w:color w:val="000000"/>
          <w:sz w:val="20"/>
        </w:rPr>
        <w:t xml:space="preserve">(A) the execution, delivery or performance of this Agreement, or </w:t>
      </w:r>
      <w:bookmarkStart w:id="278" w:name="DocXTextRef74"/>
      <w:bookmarkEnd w:id="278"/>
      <w:r>
        <w:rPr>
          <w:rFonts w:ascii="Times New Roman" w:hAnsi="Times New Roman"/>
          <w:color w:val="000000"/>
          <w:sz w:val="20"/>
        </w:rPr>
        <w:t xml:space="preserve">(B) the consummation of the Contemplated Transactions. The Company Board has taken and will take all actions necessary to ensure that the restrictions applicable to business combinations contained in Section </w:t>
      </w:r>
      <w:bookmarkStart w:id="279" w:name="DocXTextRef69"/>
      <w:bookmarkEnd w:id="279"/>
      <w:r>
        <w:rPr>
          <w:rFonts w:ascii="Times New Roman" w:hAnsi="Times New Roman"/>
          <w:color w:val="000000"/>
          <w:sz w:val="20"/>
        </w:rPr>
        <w:t>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the Lock-Up Agreements or any of the Contemplated Transactions.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80" w:name="z_Toc240403030"/>
      <w:bookmarkStart w:id="281" w:name="z_Ref237970882"/>
      <w:bookmarkEnd w:id="280"/>
      <w:bookmarkEnd w:id="281"/>
      <w:r>
        <w:rPr>
          <w:rFonts w:ascii="Times New Roman" w:hAnsi="Times New Roman"/>
          <w:color w:val="000000"/>
          <w:sz w:val="20"/>
        </w:rPr>
        <w:t xml:space="preserve">2.6         </w:t>
      </w:r>
      <w:r>
        <w:rPr>
          <w:rFonts w:ascii="Times New Roman" w:hAnsi="Times New Roman"/>
          <w:b/>
          <w:color w:val="000000"/>
          <w:sz w:val="20"/>
          <w:u w:val="single"/>
        </w:rPr>
        <w:t>Capitalization.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82" w:name="z_Ref237970883"/>
      <w:bookmarkEnd w:id="282"/>
      <w:r>
        <w:rPr>
          <w:rFonts w:ascii="Times New Roman" w:hAnsi="Times New Roman"/>
          <w:color w:val="000000"/>
          <w:sz w:val="20"/>
        </w:rPr>
        <w:t xml:space="preserve">(a)          The authorized Company Capital Stock as of the date of this Agreement (after giving effect to the Pre-Closing Recombination) consists of </w:t>
      </w:r>
      <w:bookmarkStart w:id="283" w:name="DocXTextRef76"/>
      <w:bookmarkEnd w:id="283"/>
      <w:r>
        <w:rPr>
          <w:rFonts w:ascii="Times New Roman" w:hAnsi="Times New Roman"/>
          <w:color w:val="000000"/>
          <w:sz w:val="20"/>
        </w:rPr>
        <w:t xml:space="preserve">(i) 349,566,267 shares of Company Common Stock, of which 24,846,000 shares are issued and are outstanding as of the date of this Agreement (of which 3,613,906 shares are subject to restricted stock unit awards granted under the Company Plans), and (ii) 149,566,267 shares of Preferred Stock, of which (A) 35,946,930 shares have been designated ‘Series A Preferred Stock’ and are issued and outstanding as of the date of this Agreement and (B) 113,619,337 shares have been designated ‘Series B Preferred Stock’ and are issued and are outstanding as of the date of this Agreement. The Company does not hold any shares of its capital stock in its treasury. </w:t>
      </w:r>
      <w:r>
        <w:rPr>
          <w:rFonts w:ascii="Times New Roman" w:hAnsi="Times New Roman"/>
          <w:color w:val="000000"/>
          <w:sz w:val="20"/>
          <w:u w:val="single"/>
        </w:rPr>
        <w:t>Section 2.6(a)</w:t>
      </w:r>
      <w:r>
        <w:rPr>
          <w:rFonts w:ascii="Times New Roman" w:hAnsi="Times New Roman"/>
          <w:color w:val="000000"/>
          <w:sz w:val="20"/>
        </w:rPr>
        <w:t xml:space="preserve"> of the Company Disclosure Schedule lists, as of the date of this Agreement, each record holder of issued and outstanding Company Capital Stock and the number and type of shares of Company Capital Stock held by such holder.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84" w:name="z_Ref237970884"/>
      <w:bookmarkEnd w:id="284"/>
      <w:r>
        <w:rPr>
          <w:rFonts w:ascii="Times New Roman" w:hAnsi="Times New Roman"/>
          <w:color w:val="000000"/>
          <w:sz w:val="20"/>
        </w:rPr>
        <w:t xml:space="preserve">(b)          All of the outstanding shares of Company Capital Stock have been duly authorized and validly issued, and are fully paid and nonassessable. Except as set forth in the Investor Agreements,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or as set forth in the Investor Agreements, there is no Company Contract relating to the voting or registration of, or restricting any Person from purchasing, selling, pledging or otherwise disposing of (or granting any option or similar right with respect to), any shares of Company Capital Stock. The Company is not under any obligation, nor is it bound by any Contract pursuant to which it may become obligated, to repurchase, redeem or otherwise acquire any outstanding shares of Company Capital Stock or other securities. </w:t>
      </w:r>
      <w:r>
        <w:rPr>
          <w:rFonts w:ascii="Times New Roman" w:hAnsi="Times New Roman"/>
          <w:color w:val="000000"/>
          <w:sz w:val="20"/>
          <w:u w:val="single"/>
        </w:rPr>
        <w:t>Section 2.6(b)</w:t>
      </w:r>
      <w:r>
        <w:rPr>
          <w:rFonts w:ascii="Times New Roman" w:hAnsi="Times New Roman"/>
          <w:color w:val="000000"/>
          <w:sz w:val="20"/>
        </w:rPr>
        <w:t xml:space="preserve"> of the Company Disclosure Schedule accurately and completely lists all repurchase rights held by the Company with respect to shares of Company Capital Stock (including shares issued pursuant to the exercise of stock options) and specifies which of those repurchase rights are currently exercisable.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Except for the Company’s 2024 Stock Option and Grant Plan and the M2 Therapeutics, Inc. 2025 Stock Option and Grant Plan, each as amended from time to time (the “</w:t>
      </w:r>
      <w:r>
        <w:rPr>
          <w:rFonts w:ascii="Times New Roman" w:hAnsi="Times New Roman"/>
          <w:b/>
          <w:i/>
          <w:color w:val="000000"/>
          <w:sz w:val="20"/>
        </w:rPr>
        <w:t>Company Plans</w:t>
      </w:r>
      <w:r>
        <w:rPr>
          <w:rFonts w:ascii="Times New Roman" w:hAnsi="Times New Roman"/>
          <w:color w:val="000000"/>
          <w:sz w:val="20"/>
        </w:rPr>
        <w:t xml:space="preserve">”), the Company does not have any stock option plan or any other plan, program, agreement or arrangement providing for any equity-based compensation for any Person. As of the date of this Agreement, the Company has reserved 29,157,544 shares of Company Common Stock for issuance under the Company Plans, of which 27,065,851 shares have been issued and are currently outstanding. As of the date hereof, 23,451,945 shares of Company Common Stock have been reserved for issuance upon exercise of Company Options previously granted and currently outstanding under the Company Plans, and 1,881,958 shares of Company Common Stock remain available for future issuance of awards pursuant to the Company Plans. </w:t>
      </w:r>
      <w:r>
        <w:rPr>
          <w:rFonts w:ascii="Times New Roman" w:hAnsi="Times New Roman"/>
          <w:color w:val="000000"/>
          <w:sz w:val="20"/>
          <w:u w:val="single"/>
        </w:rPr>
        <w:t>Section 2.6(c)</w:t>
      </w:r>
      <w:r>
        <w:rPr>
          <w:rFonts w:ascii="Times New Roman" w:hAnsi="Times New Roman"/>
          <w:color w:val="000000"/>
          <w:sz w:val="20"/>
        </w:rPr>
        <w:t xml:space="preserve"> of the Company Disclosure Schedule sets forth the following information with respect to each Company Option outstanding as of the date of this Agreement: </w:t>
      </w:r>
      <w:bookmarkStart w:id="285" w:name="DocXTextRef80"/>
      <w:bookmarkEnd w:id="285"/>
      <w:r>
        <w:rPr>
          <w:rFonts w:ascii="Times New Roman" w:hAnsi="Times New Roman"/>
          <w:color w:val="000000"/>
          <w:sz w:val="20"/>
        </w:rPr>
        <w:t xml:space="preserve">(i) the name of the optionee; (ii) the number of shares of Company Common Stock subject to such Company Option at the time of grant; (iii) the number of shares of Company Common Stock subject to such Company Option as of the date of this Agreement; (iv) the exercise price of such Company Option; </w:t>
      </w:r>
      <w:bookmarkStart w:id="286" w:name="DocXTextRef81"/>
      <w:bookmarkEnd w:id="286"/>
      <w:r>
        <w:rPr>
          <w:rFonts w:ascii="Times New Roman" w:hAnsi="Times New Roman"/>
          <w:color w:val="000000"/>
          <w:sz w:val="20"/>
        </w:rPr>
        <w:t>(v) the date on which such Company Option was granted; (vi) the applicable vesting schedule, including the number of vested and unvested shares as of the date of this Agreement and any acceleration provisions; (vii) the date on which such Company Option expires; (viii) whether such Company Option is intended to constitute an “incentive stock option” (as defined in the Code) or a non-qualified stock option; and (ix) whether such Company Option is “early exercisable.” The Company has made available to Parent an accurate and complete copy of the Company Plans and a form of stock option agreement that is consistent in all material respects with the stock option agreements evidencing outstanding Company Options granted thereunder.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87" w:name="z_Ref238213795"/>
      <w:bookmarkStart w:id="288" w:name="z_Ref237970886"/>
      <w:bookmarkEnd w:id="287"/>
      <w:bookmarkEnd w:id="288"/>
      <w:r>
        <w:rPr>
          <w:rFonts w:ascii="Times New Roman" w:hAnsi="Times New Roman"/>
          <w:color w:val="000000"/>
          <w:sz w:val="20"/>
        </w:rPr>
        <w:t xml:space="preserve">(d)          Except for Company Options set forth in </w:t>
      </w:r>
      <w:r>
        <w:rPr>
          <w:rFonts w:ascii="Times New Roman" w:hAnsi="Times New Roman"/>
          <w:color w:val="000000"/>
          <w:sz w:val="20"/>
          <w:u w:val="single"/>
        </w:rPr>
        <w:t>Section 2.6(c)</w:t>
      </w:r>
      <w:r>
        <w:rPr>
          <w:rFonts w:ascii="Times New Roman" w:hAnsi="Times New Roman"/>
          <w:color w:val="000000"/>
          <w:sz w:val="20"/>
        </w:rPr>
        <w:t xml:space="preserve"> of the Company Disclosure Schedule and the Company SAFEs, there are no: </w:t>
      </w:r>
      <w:bookmarkStart w:id="289" w:name="DocXTextRef84"/>
      <w:bookmarkEnd w:id="289"/>
      <w:r>
        <w:rPr>
          <w:rFonts w:ascii="Times New Roman" w:hAnsi="Times New Roman"/>
          <w:color w:val="000000"/>
          <w:sz w:val="20"/>
        </w:rPr>
        <w:t>(i)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90" w:name="z_Ref237970887"/>
      <w:bookmarkEnd w:id="290"/>
      <w:r>
        <w:rPr>
          <w:rFonts w:ascii="Times New Roman" w:hAnsi="Times New Roman"/>
          <w:color w:val="000000"/>
          <w:sz w:val="20"/>
        </w:rPr>
        <w:t xml:space="preserve">(e)          All outstanding shares of Company Common Stock, Company Preferred Stock, Company Options, Company SAFEs and other securities of the Company have been issued and granted in material compliance with </w:t>
      </w:r>
      <w:bookmarkStart w:id="291" w:name="DocXTextRef85"/>
      <w:bookmarkEnd w:id="291"/>
      <w:r>
        <w:rPr>
          <w:rFonts w:ascii="Times New Roman" w:hAnsi="Times New Roman"/>
          <w:color w:val="000000"/>
          <w:sz w:val="20"/>
        </w:rPr>
        <w:t>(i) the Organizational Documents of the Company in effect as of the relevant time and all applicable securities Laws and other applicable Law, and (ii) all requirements set forth in applicable Contracts.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(f)          All distributions, dividends, repurchases and redemptions of the Company Capital Stock or other equity interests of the Company were undertaken in material compliance with </w:t>
      </w:r>
      <w:bookmarkStart w:id="292" w:name="DocXTextRef86"/>
      <w:bookmarkEnd w:id="292"/>
      <w:r>
        <w:rPr>
          <w:rFonts w:ascii="Times New Roman" w:hAnsi="Times New Roman"/>
          <w:color w:val="000000"/>
          <w:sz w:val="20"/>
        </w:rPr>
        <w:t>(i) the Organizational Documents of the Company in effect as of the relevant time and all applicable securities Laws and other applicable Laws, and (ii) all requirements set forth in applicable Contracts.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293" w:name="z_Toc240403031"/>
      <w:bookmarkStart w:id="294" w:name="z_Ref237970889"/>
      <w:bookmarkEnd w:id="293"/>
      <w:bookmarkEnd w:id="294"/>
      <w:r>
        <w:rPr>
          <w:rFonts w:ascii="Times New Roman" w:hAnsi="Times New Roman"/>
          <w:color w:val="000000"/>
          <w:sz w:val="20"/>
        </w:rPr>
        <w:t xml:space="preserve">2.7         </w:t>
      </w:r>
      <w:r>
        <w:rPr>
          <w:rFonts w:ascii="Times New Roman" w:hAnsi="Times New Roman"/>
          <w:b/>
          <w:color w:val="000000"/>
          <w:sz w:val="20"/>
          <w:u w:val="single"/>
        </w:rPr>
        <w:t>Financial Statements.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95" w:name="z_Ref237970890"/>
      <w:bookmarkEnd w:id="295"/>
      <w:r>
        <w:rPr>
          <w:rFonts w:ascii="Times New Roman" w:hAnsi="Times New Roman"/>
          <w:color w:val="000000"/>
          <w:sz w:val="20"/>
        </w:rPr>
        <w:t>(a)          Concurrently with the execution of this Agreement, the Company has provided to Parent true and complete copies of the Company’s unaudited consolidated balance sheet as of June 30, 2026 (the “</w:t>
      </w:r>
      <w:r>
        <w:rPr>
          <w:rFonts w:ascii="Times New Roman" w:hAnsi="Times New Roman"/>
          <w:b/>
          <w:i/>
          <w:color w:val="000000"/>
          <w:sz w:val="20"/>
        </w:rPr>
        <w:t>Company Unaudited Interim Balance Sheet</w:t>
      </w:r>
      <w:r>
        <w:rPr>
          <w:rFonts w:ascii="Times New Roman" w:hAnsi="Times New Roman"/>
          <w:color w:val="000000"/>
          <w:sz w:val="20"/>
        </w:rPr>
        <w:t>”), and the Company’s unaudited consolidated statements of operations and comprehensive loss and cash flows for the six months ended June 30, 2026 (collectively, the “</w:t>
      </w:r>
      <w:r>
        <w:rPr>
          <w:rFonts w:ascii="Times New Roman" w:hAnsi="Times New Roman"/>
          <w:b/>
          <w:i/>
          <w:color w:val="000000"/>
          <w:sz w:val="20"/>
        </w:rPr>
        <w:t>Company Financials</w:t>
      </w:r>
      <w:r>
        <w:rPr>
          <w:rFonts w:ascii="Times New Roman" w:hAnsi="Times New Roman"/>
          <w:color w:val="000000"/>
          <w:sz w:val="20"/>
        </w:rPr>
        <w:t>”).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96" w:name="z_Ref237970891"/>
      <w:bookmarkEnd w:id="296"/>
      <w:r>
        <w:rPr>
          <w:rFonts w:ascii="Times New Roman" w:hAnsi="Times New Roman"/>
          <w:color w:val="000000"/>
          <w:sz w:val="20"/>
        </w:rPr>
        <w:t xml:space="preserve">(b)          The Company maintains accurate books and records reflecting its assets and liabilities and maintains a system of internal accounting controls designed to provide reasonable assurance that: </w:t>
      </w:r>
      <w:bookmarkStart w:id="297" w:name="DocXTextRef87"/>
      <w:bookmarkEnd w:id="297"/>
      <w:r>
        <w:rPr>
          <w:rFonts w:ascii="Times New Roman" w:hAnsi="Times New Roman"/>
          <w:color w:val="000000"/>
          <w:sz w:val="20"/>
        </w:rPr>
        <w:t xml:space="preserve">(i) transactions are executed in accordance with management’s general 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w:t>
      </w:r>
      <w:bookmarkStart w:id="298" w:name="DocXTextRef88"/>
      <w:bookmarkEnd w:id="298"/>
      <w:r>
        <w:rPr>
          <w:rFonts w:ascii="Times New Roman" w:hAnsi="Times New Roman"/>
          <w:color w:val="000000"/>
          <w:sz w:val="20"/>
        </w:rPr>
        <w:t>(v) accounts, notes and other receivables and inventory are recorded accurately, and proper and adequate procedures are implemented which are designed to effect the collection thereof on a current and timely basis. The Company maintains internal controls consistent with the practices of similarly situated private companies over financial reporting that provide reasonable assurance regarding the reliability of financial reporting and the preparation of financial statements for external purposes in accordance with GAAP.</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299" w:name="z_Ref237970892"/>
      <w:bookmarkEnd w:id="299"/>
      <w:r>
        <w:rPr>
          <w:rFonts w:ascii="Times New Roman" w:hAnsi="Times New Roman"/>
          <w:color w:val="000000"/>
          <w:sz w:val="20"/>
        </w:rPr>
        <w:t xml:space="preserve">(c)          The Company is not currently party to, and since June 18, 2024 has not entered into, any securitization transactions or “off-balance sheet arrangements” (as defined in Item </w:t>
      </w:r>
      <w:bookmarkStart w:id="300" w:name="DocXTextRef90"/>
      <w:bookmarkEnd w:id="300"/>
      <w:r>
        <w:rPr>
          <w:rFonts w:ascii="Times New Roman" w:hAnsi="Times New Roman"/>
          <w:color w:val="000000"/>
          <w:sz w:val="20"/>
        </w:rPr>
        <w:t>303(c) of Regulation S-K under the Exchange Act) effected by the Company.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01" w:name="z_Ref237970893"/>
      <w:bookmarkEnd w:id="301"/>
      <w:r>
        <w:rPr>
          <w:rFonts w:ascii="Times New Roman" w:hAnsi="Times New Roman"/>
          <w:color w:val="000000"/>
          <w:sz w:val="20"/>
        </w:rPr>
        <w:t xml:space="preserve">(d)          Since June 18, 2024, there have been no formal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w:t>
      </w:r>
      <w:bookmarkStart w:id="302" w:name="DocXTextRef91"/>
      <w:bookmarkEnd w:id="302"/>
      <w:r>
        <w:rPr>
          <w:rFonts w:ascii="Times New Roman" w:hAnsi="Times New Roman"/>
          <w:color w:val="000000"/>
          <w:sz w:val="20"/>
        </w:rPr>
        <w:t>(i) any significant deficiency or material weakness in the design or operation of the system of internal accounting controls utilized by the Company since June 18, 2024,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2.8          </w:t>
      </w:r>
      <w:r>
        <w:rPr>
          <w:rFonts w:ascii="Times New Roman" w:hAnsi="Times New Roman"/>
          <w:b/>
          <w:color w:val="000000"/>
          <w:sz w:val="20"/>
          <w:u w:val="single"/>
        </w:rPr>
        <w:t>Absence of Changes</w:t>
      </w:r>
      <w:r>
        <w:rPr>
          <w:rFonts w:ascii="Times New Roman" w:hAnsi="Times New Roman"/>
          <w:color w:val="000000"/>
          <w:sz w:val="20"/>
        </w:rPr>
        <w:t xml:space="preserve">. Except for the Pre-Closing Recombination and as otherwise set forth in </w:t>
      </w:r>
      <w:r>
        <w:rPr>
          <w:rFonts w:ascii="Times New Roman" w:hAnsi="Times New Roman"/>
          <w:color w:val="000000"/>
          <w:sz w:val="20"/>
          <w:u w:val="single"/>
        </w:rPr>
        <w:t>Section 2.8</w:t>
      </w:r>
      <w:r>
        <w:rPr>
          <w:rFonts w:ascii="Times New Roman" w:hAnsi="Times New Roman"/>
          <w:color w:val="000000"/>
          <w:sz w:val="20"/>
        </w:rPr>
        <w:t xml:space="preserve"> of the Company Disclosure Schedule, after the date of the Company Unaudited Interim Balance Sheet, (x) the Company has conducted its business only in the Ordinary Course of Business (except for the execution and performance of this Agreement and the discussions, negotiations and transactions related thereto), (y) there has not been any Company Material Adverse Effect and </w:t>
      </w:r>
      <w:bookmarkStart w:id="303" w:name="DocXTextRef94"/>
      <w:bookmarkEnd w:id="303"/>
      <w:r>
        <w:rPr>
          <w:rFonts w:ascii="Times New Roman" w:hAnsi="Times New Roman"/>
          <w:color w:val="000000"/>
          <w:sz w:val="20"/>
        </w:rPr>
        <w:t>(z) the Company has not done any of the following:</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04" w:name="z_Ref237970895"/>
      <w:bookmarkEnd w:id="304"/>
      <w:r>
        <w:rPr>
          <w:rFonts w:ascii="Times New Roman" w:hAnsi="Times New Roman"/>
          <w:color w:val="000000"/>
          <w:sz w:val="20"/>
        </w:rPr>
        <w:t>(a)          declared, accrued, set aside or paid any dividend or made any other distribution in respect of any shares of its capital stock; or repurchased, redeemed or otherwise reacquired any shares of its capital stock or other securities (except for shares of Company Common Stock from terminated employees, directors or consultants of the Company or in connection with the payment of the exercise price and/or withholding Taxes incurred upon the exercise, settlement or vesting of any award granted under the Company Plans);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05" w:name="z_Ref237970896"/>
      <w:bookmarkEnd w:id="305"/>
      <w:r>
        <w:rPr>
          <w:rFonts w:ascii="Times New Roman" w:hAnsi="Times New Roman"/>
          <w:color w:val="000000"/>
          <w:sz w:val="20"/>
        </w:rPr>
        <w:t xml:space="preserve">(b)          sold, issued, granted, pledged or otherwise disposed of or encumbered or authorized any of the foregoing with respect to: </w:t>
      </w:r>
      <w:bookmarkStart w:id="306" w:name="DocXTextRef95"/>
      <w:bookmarkEnd w:id="306"/>
      <w:r>
        <w:rPr>
          <w:rFonts w:ascii="Times New Roman" w:hAnsi="Times New Roman"/>
          <w:color w:val="000000"/>
          <w:sz w:val="20"/>
        </w:rPr>
        <w:t xml:space="preserve">(i) any capital stock or other security of the Company (except for Company Common Stock issued upon the valid exercise of outstanding Company Options); </w:t>
      </w:r>
      <w:bookmarkStart w:id="307" w:name="DocXTextRef96"/>
      <w:bookmarkEnd w:id="307"/>
      <w:r>
        <w:rPr>
          <w:rFonts w:ascii="Times New Roman" w:hAnsi="Times New Roman"/>
          <w:color w:val="000000"/>
          <w:sz w:val="20"/>
        </w:rPr>
        <w:t xml:space="preserve">(ii) any option, warrant or right to acquire any capital stock or any other security, other than option grants to employees in the Ordinary Course of Business; or </w:t>
      </w:r>
      <w:bookmarkStart w:id="308" w:name="DocXTextRef97"/>
      <w:bookmarkEnd w:id="308"/>
      <w:r>
        <w:rPr>
          <w:rFonts w:ascii="Times New Roman" w:hAnsi="Times New Roman"/>
          <w:color w:val="000000"/>
          <w:sz w:val="20"/>
        </w:rPr>
        <w:t>(iii) any instrument convertible into or exchangeable for any capital stock or other security of the Company;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09" w:name="z_Ref237970897"/>
      <w:bookmarkEnd w:id="309"/>
      <w:r>
        <w:rPr>
          <w:rFonts w:ascii="Times New Roman" w:hAnsi="Times New Roman"/>
          <w:color w:val="000000"/>
          <w:sz w:val="20"/>
        </w:rPr>
        <w:t>(c)          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10" w:name="z_Ref237970898"/>
      <w:bookmarkEnd w:id="310"/>
      <w:r>
        <w:rPr>
          <w:rFonts w:ascii="Times New Roman" w:hAnsi="Times New Roman"/>
          <w:color w:val="000000"/>
          <w:sz w:val="20"/>
        </w:rPr>
        <w:t>(d)          formed any Subsidiary or acquired any equity interest or other interest in any other Entity or entered into a joint venture with any other Entity;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11" w:name="z_Ref237970899"/>
      <w:bookmarkEnd w:id="311"/>
      <w:r>
        <w:rPr>
          <w:rFonts w:ascii="Times New Roman" w:hAnsi="Times New Roman"/>
          <w:color w:val="000000"/>
          <w:sz w:val="20"/>
        </w:rPr>
        <w:t>(e)          (i) lent money to any Person (except for the advance of reasonable business expenses to employees, directors and consultants in the Ordinary Course of Business), (ii) incurred or guaranteed any indebtedness for borrowed money, or (iii) guaranteed any debt securities of others;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(f)          other than as required by applicable Law or the terms of any Company Benefit Plan as in effect on the date of this Agreement and other than the Company Plans or any Company Option: </w:t>
      </w:r>
      <w:bookmarkStart w:id="312" w:name="DocXTextRef98"/>
      <w:bookmarkEnd w:id="312"/>
      <w:r>
        <w:rPr>
          <w:rFonts w:ascii="Times New Roman" w:hAnsi="Times New Roman"/>
          <w:color w:val="000000"/>
          <w:sz w:val="20"/>
        </w:rPr>
        <w:t xml:space="preserve">(i) adopted, terminated, established or entered into any Company Benefit Plan; </w:t>
      </w:r>
      <w:bookmarkStart w:id="313" w:name="DocXTextRef99"/>
      <w:bookmarkEnd w:id="313"/>
      <w:r>
        <w:rPr>
          <w:rFonts w:ascii="Times New Roman" w:hAnsi="Times New Roman"/>
          <w:color w:val="000000"/>
          <w:sz w:val="20"/>
        </w:rPr>
        <w:t xml:space="preserve">(ii) caused or permitted any Company Benefit Plan to be amended in any material respect; </w:t>
      </w:r>
      <w:bookmarkStart w:id="314" w:name="DocXTextRef100"/>
      <w:bookmarkEnd w:id="314"/>
      <w:r>
        <w:rPr>
          <w:rFonts w:ascii="Times New Roman" w:hAnsi="Times New Roman"/>
          <w:color w:val="000000"/>
          <w:sz w:val="20"/>
        </w:rPr>
        <w:t xml:space="preserve">(iii) paid any material bonus or distributed any profit-sharing account balances or similar payment to, or, other than in the Ordinary Course of Business, increased the amount of the wages, salary, commissions, benefits or other compensation or remuneration payable to, any of its directors, officers or employees; </w:t>
      </w:r>
      <w:bookmarkStart w:id="315" w:name="DocXTextRef101"/>
      <w:bookmarkEnd w:id="315"/>
      <w:r>
        <w:rPr>
          <w:rFonts w:ascii="Times New Roman" w:hAnsi="Times New Roman"/>
          <w:color w:val="000000"/>
          <w:sz w:val="20"/>
        </w:rPr>
        <w:t xml:space="preserve">(iv) increased the severance or change-of-control benefits offered to any current, former or new employees, directors or consultants or </w:t>
      </w:r>
      <w:bookmarkStart w:id="316" w:name="DocXTextRef102"/>
      <w:bookmarkEnd w:id="316"/>
      <w:r>
        <w:rPr>
          <w:rFonts w:ascii="Times New Roman" w:hAnsi="Times New Roman"/>
          <w:color w:val="000000"/>
          <w:sz w:val="20"/>
        </w:rPr>
        <w:t xml:space="preserve">(v) hired, terminated or gave notice of termination (other than for cause) to, any </w:t>
      </w:r>
      <w:bookmarkStart w:id="317" w:name="DocXTextRef103"/>
      <w:bookmarkEnd w:id="317"/>
      <w:r>
        <w:rPr>
          <w:rFonts w:ascii="Times New Roman" w:hAnsi="Times New Roman"/>
          <w:color w:val="000000"/>
          <w:sz w:val="20"/>
        </w:rPr>
        <w:t xml:space="preserve">(A) officer or </w:t>
      </w:r>
      <w:bookmarkStart w:id="318" w:name="DocXTextRef104"/>
      <w:bookmarkEnd w:id="318"/>
      <w:r>
        <w:rPr>
          <w:rFonts w:ascii="Times New Roman" w:hAnsi="Times New Roman"/>
          <w:color w:val="000000"/>
          <w:sz w:val="20"/>
        </w:rPr>
        <w:t>(B) employee whose annual base salary is more than $250,000 per year;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19" w:name="z_Ref237970901"/>
      <w:bookmarkEnd w:id="319"/>
      <w:r>
        <w:rPr>
          <w:rFonts w:ascii="Times New Roman" w:hAnsi="Times New Roman"/>
          <w:color w:val="000000"/>
          <w:sz w:val="20"/>
        </w:rPr>
        <w:t>(g)          entered into any collective bargaining agreement or similar agreement with any labor union or similar labor organization;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0" w:name="z_Ref237970902"/>
      <w:bookmarkEnd w:id="320"/>
      <w:r>
        <w:rPr>
          <w:rFonts w:ascii="Times New Roman" w:hAnsi="Times New Roman"/>
          <w:color w:val="000000"/>
          <w:sz w:val="20"/>
        </w:rPr>
        <w:t>(h)          entered into any material transaction other than in connection with the Contemplated Transactions;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1" w:name="z_Ref237970903"/>
      <w:bookmarkEnd w:id="321"/>
      <w:r>
        <w:rPr>
          <w:rFonts w:ascii="Times New Roman" w:hAnsi="Times New Roman"/>
          <w:color w:val="000000"/>
          <w:sz w:val="20"/>
        </w:rPr>
        <w:t>(i)           acquired any material asset or sold, leased or otherwise irrevocably disposed of any of its assets or properties, or granted any Encumbrance (other than Permitted Encumbrances) with respect to such assets or properties;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2" w:name="z_Ref237970904"/>
      <w:bookmarkEnd w:id="322"/>
      <w:r>
        <w:rPr>
          <w:rFonts w:ascii="Times New Roman" w:hAnsi="Times New Roman"/>
          <w:color w:val="000000"/>
          <w:sz w:val="20"/>
        </w:rPr>
        <w:t>(j)           sold, assigned, transferred, licensed, sublicensed or otherwise disposed of any material Company IP (other than accounting methods adopted in the Ordinary Course of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3" w:name="z_Ref237970905"/>
      <w:bookmarkEnd w:id="323"/>
      <w:r>
        <w:rPr>
          <w:rFonts w:ascii="Times New Roman" w:hAnsi="Times New Roman"/>
          <w:color w:val="000000"/>
          <w:sz w:val="20"/>
        </w:rPr>
        <w:t>(k)          made, changed or revoked any material Tax election (other than elections made in the Ordinary Course of Business), failed to pay any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 (other than accounting methods adopted in the Ordinary Course of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4" w:name="z_Ref237970906"/>
      <w:bookmarkEnd w:id="324"/>
      <w:r>
        <w:rPr>
          <w:rFonts w:ascii="Times New Roman" w:hAnsi="Times New Roman"/>
          <w:color w:val="000000"/>
          <w:sz w:val="20"/>
        </w:rPr>
        <w:t>(l)          made any expenditures, incurred any Liabilities or discharged or satisfied any Liabilities, in each case, in amounts that exceed $250,000 individually or $500,000 in the aggregate;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5" w:name="z_Ref237970907"/>
      <w:bookmarkEnd w:id="325"/>
      <w:r>
        <w:rPr>
          <w:rFonts w:ascii="Times New Roman" w:hAnsi="Times New Roman"/>
          <w:color w:val="000000"/>
          <w:sz w:val="20"/>
        </w:rPr>
        <w:t>(m)          other than as required by Law or GAAP, taken any action to change accounting policies or procedures;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6" w:name="z_Ref237970908"/>
      <w:bookmarkEnd w:id="326"/>
      <w:r>
        <w:rPr>
          <w:rFonts w:ascii="Times New Roman" w:hAnsi="Times New Roman"/>
          <w:color w:val="000000"/>
          <w:sz w:val="20"/>
        </w:rPr>
        <w:t>(n)          initiated or settled any Legal Proceeding; or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27" w:name="z_Ref237970909"/>
      <w:bookmarkEnd w:id="327"/>
      <w:r>
        <w:rPr>
          <w:rFonts w:ascii="Times New Roman" w:hAnsi="Times New Roman"/>
          <w:color w:val="000000"/>
          <w:sz w:val="20"/>
        </w:rPr>
        <w:t>(o)          agreed, resolved or committed to do any of the foregoing.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2.9          </w:t>
      </w:r>
      <w:r>
        <w:rPr>
          <w:rFonts w:ascii="Times New Roman" w:hAnsi="Times New Roman"/>
          <w:b/>
          <w:color w:val="000000"/>
          <w:sz w:val="20"/>
          <w:u w:val="single"/>
        </w:rPr>
        <w:t>Absence of Undisclosed Liabilities</w:t>
      </w:r>
      <w:r>
        <w:rPr>
          <w:rFonts w:ascii="Times New Roman" w:hAnsi="Times New Roman"/>
          <w:color w:val="000000"/>
          <w:sz w:val="20"/>
        </w:rPr>
        <w:t>. As of the date hereof, the Company has no liability, indebtedness, obligation or expense of any kind, whether accrued, absolute, contingent, matured or unmatured (whether or not required to be reflected in the financial statements in accordance with GAAP) (each a “</w:t>
      </w:r>
      <w:r>
        <w:rPr>
          <w:rFonts w:ascii="Times New Roman" w:hAnsi="Times New Roman"/>
          <w:b/>
          <w:i/>
          <w:color w:val="000000"/>
          <w:sz w:val="20"/>
        </w:rPr>
        <w:t>Liability</w:t>
      </w:r>
      <w:r>
        <w:rPr>
          <w:rFonts w:ascii="Times New Roman" w:hAnsi="Times New Roman"/>
          <w:color w:val="000000"/>
          <w:sz w:val="20"/>
        </w:rPr>
        <w:t xml:space="preserve">”), individually or in the aggregate, of a type required to be recorded or reflected on a balance sheet or disclosed in the footnotes thereto under GAAP, except for: </w:t>
      </w:r>
      <w:bookmarkStart w:id="328" w:name="DocXTextRef106"/>
      <w:bookmarkEnd w:id="328"/>
      <w:r>
        <w:rPr>
          <w:rFonts w:ascii="Times New Roman" w:hAnsi="Times New Roman"/>
          <w:color w:val="000000"/>
          <w:sz w:val="20"/>
        </w:rPr>
        <w:t xml:space="preserve">(a) Liabilities disclosed, reflected or reserved against in the Company Unaudited Interim Balance Sheet; </w:t>
      </w:r>
      <w:bookmarkStart w:id="329" w:name="DocXTextRef107"/>
      <w:bookmarkEnd w:id="329"/>
      <w:r>
        <w:rPr>
          <w:rFonts w:ascii="Times New Roman" w:hAnsi="Times New Roman"/>
          <w:color w:val="000000"/>
          <w:sz w:val="20"/>
        </w:rPr>
        <w:t xml:space="preserve">(b) Liabilities that have been incurred by the Company since the date of the Company Unaudited Interim Balance Sheet in the Ordinary Course of Business; </w:t>
      </w:r>
      <w:bookmarkStart w:id="330" w:name="DocXTextRef108"/>
      <w:bookmarkEnd w:id="330"/>
      <w:r>
        <w:rPr>
          <w:rFonts w:ascii="Times New Roman" w:hAnsi="Times New Roman"/>
          <w:color w:val="000000"/>
          <w:sz w:val="20"/>
        </w:rPr>
        <w:t xml:space="preserve">(c) Liabilities for performance of obligations under Company Contracts in the Ordinary Course of Business; </w:t>
      </w:r>
      <w:bookmarkStart w:id="331" w:name="DocXTextRef109"/>
      <w:bookmarkEnd w:id="331"/>
      <w:r>
        <w:rPr>
          <w:rFonts w:ascii="Times New Roman" w:hAnsi="Times New Roman"/>
          <w:color w:val="000000"/>
          <w:sz w:val="20"/>
        </w:rPr>
        <w:t xml:space="preserve">(d) Liabilities incurred in connection with the Contemplated Transactions; </w:t>
      </w:r>
      <w:bookmarkStart w:id="332" w:name="DocXTextRef110"/>
      <w:bookmarkEnd w:id="332"/>
      <w:r>
        <w:rPr>
          <w:rFonts w:ascii="Times New Roman" w:hAnsi="Times New Roman"/>
          <w:color w:val="000000"/>
          <w:sz w:val="20"/>
        </w:rPr>
        <w:t xml:space="preserve">(e) Liabilities which would not, individually or in the aggregate, reasonably be expected to be material to the Company; and </w:t>
      </w:r>
      <w:bookmarkStart w:id="333" w:name="DocXTextRef111"/>
      <w:bookmarkEnd w:id="333"/>
      <w:r>
        <w:rPr>
          <w:rFonts w:ascii="Times New Roman" w:hAnsi="Times New Roman"/>
          <w:color w:val="000000"/>
          <w:sz w:val="20"/>
        </w:rPr>
        <w:t xml:space="preserve">(f) Liabilities described in </w:t>
      </w:r>
      <w:r>
        <w:rPr>
          <w:rFonts w:ascii="Times New Roman" w:hAnsi="Times New Roman"/>
          <w:color w:val="000000"/>
          <w:sz w:val="20"/>
          <w:u w:val="single"/>
        </w:rPr>
        <w:t>Section 2.9</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334" w:name="z_Toc240403034"/>
      <w:bookmarkStart w:id="335" w:name="z_Ref237970911"/>
      <w:bookmarkEnd w:id="334"/>
      <w:bookmarkEnd w:id="335"/>
      <w:r>
        <w:rPr>
          <w:rFonts w:ascii="Times New Roman" w:hAnsi="Times New Roman"/>
          <w:color w:val="000000"/>
          <w:sz w:val="20"/>
        </w:rPr>
        <w:t xml:space="preserve">2.10        </w:t>
      </w:r>
      <w:r>
        <w:rPr>
          <w:rFonts w:ascii="Times New Roman" w:hAnsi="Times New Roman"/>
          <w:b/>
          <w:color w:val="000000"/>
          <w:sz w:val="20"/>
          <w:u w:val="single"/>
        </w:rPr>
        <w:t>Title to Assets</w:t>
      </w:r>
      <w:r>
        <w:rPr>
          <w:rFonts w:ascii="Times New Roman" w:hAnsi="Times New Roman"/>
          <w:color w:val="000000"/>
          <w:sz w:val="20"/>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that are material to the Company or its business, including: </w:t>
      </w:r>
      <w:bookmarkStart w:id="336" w:name="DocXTextRef112"/>
      <w:bookmarkEnd w:id="336"/>
      <w:r>
        <w:rPr>
          <w:rFonts w:ascii="Times New Roman" w:hAnsi="Times New Roman"/>
          <w:color w:val="000000"/>
          <w:sz w:val="20"/>
        </w:rPr>
        <w:t xml:space="preserve">(a) all tangible assets reflected on the Company Unaudited Interim Balance Sheet; and </w:t>
      </w:r>
      <w:bookmarkStart w:id="337" w:name="DocXTextRef113"/>
      <w:bookmarkEnd w:id="337"/>
      <w:r>
        <w:rPr>
          <w:rFonts w:ascii="Times New Roman" w:hAnsi="Times New Roman"/>
          <w:color w:val="000000"/>
          <w:sz w:val="20"/>
        </w:rPr>
        <w:t>(b) all other tangible assets reflected in the books and records of the Company as being owned by the Company. All of such assets are owned or, in the case of leased assets, leased by the Company free and clear of any Encumbrances, other than Permitted Encumbrances.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338" w:name="z_Toc240403035"/>
      <w:bookmarkStart w:id="339" w:name="z_Ref237973866"/>
      <w:bookmarkStart w:id="340" w:name="z_Ref237970912"/>
      <w:bookmarkEnd w:id="338"/>
      <w:bookmarkEnd w:id="339"/>
      <w:bookmarkEnd w:id="340"/>
      <w:r>
        <w:rPr>
          <w:rFonts w:ascii="Times New Roman" w:hAnsi="Times New Roman"/>
          <w:color w:val="000000"/>
          <w:sz w:val="20"/>
        </w:rPr>
        <w:t xml:space="preserve">2.11       </w:t>
      </w:r>
      <w:r>
        <w:rPr>
          <w:rFonts w:ascii="Times New Roman" w:hAnsi="Times New Roman"/>
          <w:b/>
          <w:color w:val="000000"/>
          <w:sz w:val="20"/>
          <w:u w:val="single"/>
        </w:rPr>
        <w:t>Real Property; Leasehold</w:t>
      </w:r>
      <w:r>
        <w:rPr>
          <w:rFonts w:ascii="Times New Roman" w:hAnsi="Times New Roman"/>
          <w:color w:val="000000"/>
          <w:sz w:val="20"/>
        </w:rPr>
        <w:t xml:space="preserve">. The Company does not own, nor has ever owned, any real property. The Company has made available to Parent </w:t>
      </w:r>
      <w:bookmarkStart w:id="341" w:name="DocXTextRef114"/>
      <w:bookmarkEnd w:id="341"/>
      <w:r>
        <w:rPr>
          <w:rFonts w:ascii="Times New Roman" w:hAnsi="Times New Roman"/>
          <w:color w:val="000000"/>
          <w:sz w:val="20"/>
        </w:rPr>
        <w:t xml:space="preserve">(a) an accurate and complete list of all real properties with respect to which the Company directly or indirectly holds a valid leasehold interest as well as any other real estate that is in the possession of, or occupied or leased by, the Company and </w:t>
      </w:r>
      <w:bookmarkStart w:id="342" w:name="DocXTextRef115"/>
      <w:bookmarkEnd w:id="342"/>
      <w:r>
        <w:rPr>
          <w:rFonts w:ascii="Times New Roman" w:hAnsi="Times New Roman"/>
          <w:color w:val="000000"/>
          <w:sz w:val="20"/>
        </w:rPr>
        <w:t>(b) copies of all leases under which any such real property is possessed, occupied or leased (the “</w:t>
      </w:r>
      <w:r>
        <w:rPr>
          <w:rFonts w:ascii="Times New Roman" w:hAnsi="Times New Roman"/>
          <w:b/>
          <w:i/>
          <w:color w:val="000000"/>
          <w:sz w:val="20"/>
        </w:rPr>
        <w:t>Company Real Estate Leases</w:t>
      </w:r>
      <w:r>
        <w:rPr>
          <w:rFonts w:ascii="Times New Roman" w:hAnsi="Times New Roman"/>
          <w:color w:val="000000"/>
          <w:sz w:val="20"/>
        </w:rPr>
        <w:t xml:space="preserve">”), each of which is in full force and effect, with no existing material default thereunder by the Company, or to the Knowledge of the Company, any other party thereto.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has not received any written notice from its landlords or any Governmental Body that: </w:t>
      </w:r>
      <w:bookmarkStart w:id="343" w:name="DocXTextRef116"/>
      <w:bookmarkEnd w:id="343"/>
      <w:r>
        <w:rPr>
          <w:rFonts w:ascii="Times New Roman" w:hAnsi="Times New Roman"/>
          <w:color w:val="000000"/>
          <w:sz w:val="20"/>
        </w:rPr>
        <w:t>(i) relates to violations of building, zoning, safety or fire ordinances or regulations; (ii) claims any defect or deficiency with respect to any of such properties; or (iii) requests the performance of any repairs, alterations or other work to such properties.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2.12       </w:t>
      </w:r>
      <w:r>
        <w:rPr>
          <w:rFonts w:ascii="Times New Roman" w:hAnsi="Times New Roman"/>
          <w:b/>
          <w:color w:val="000000"/>
          <w:sz w:val="20"/>
          <w:u w:val="single"/>
        </w:rPr>
        <w:t>Intellectual Property; Privacy.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44" w:name="z_Ref237970914"/>
      <w:bookmarkEnd w:id="344"/>
      <w:r>
        <w:rPr>
          <w:rFonts w:ascii="Times New Roman" w:hAnsi="Times New Roman"/>
          <w:color w:val="000000"/>
          <w:sz w:val="20"/>
        </w:rPr>
        <w:t>(a)          </w:t>
      </w:r>
      <w:r>
        <w:rPr>
          <w:rFonts w:ascii="Times New Roman" w:hAnsi="Times New Roman"/>
          <w:color w:val="000000"/>
          <w:sz w:val="20"/>
          <w:u w:val="single"/>
        </w:rPr>
        <w:t>Section 2.12(a)</w:t>
      </w:r>
      <w:r>
        <w:rPr>
          <w:rFonts w:ascii="Times New Roman" w:hAnsi="Times New Roman"/>
          <w:color w:val="000000"/>
          <w:sz w:val="20"/>
        </w:rPr>
        <w:t xml:space="preserve"> of the Company Disclosure Schedule identifies each item of material Registered IP owned or co-owned by the Company or its Subsidiaries, in whole or in part, or exclusively licensed to the Company, including, with respect to each application and registration: </w:t>
      </w:r>
      <w:bookmarkStart w:id="345" w:name="DocXTextRef119"/>
      <w:bookmarkEnd w:id="345"/>
      <w:r>
        <w:rPr>
          <w:rFonts w:ascii="Times New Roman" w:hAnsi="Times New Roman"/>
          <w:color w:val="000000"/>
          <w:sz w:val="20"/>
        </w:rPr>
        <w:t xml:space="preserve">(i) the name of the applicant or registrant, (ii) the jurisdiction of application or registration, and (iii) the application or registration number. To the Knowledge of the Company, each of the patents and patent applications included in </w:t>
      </w:r>
      <w:r>
        <w:rPr>
          <w:rFonts w:ascii="Times New Roman" w:hAnsi="Times New Roman"/>
          <w:color w:val="000000"/>
          <w:sz w:val="20"/>
          <w:u w:val="single"/>
        </w:rPr>
        <w:t>Section 2.12(a)</w:t>
      </w:r>
      <w:r>
        <w:rPr>
          <w:rFonts w:ascii="Times New Roman" w:hAnsi="Times New Roman"/>
          <w:color w:val="000000"/>
          <w:sz w:val="20"/>
        </w:rPr>
        <w:t xml:space="preserve"> of the Company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the Company, threatened in writing, in which the scope, validity, enforceability or ownership of any Company IP is being or has been contested or challenged. To the Knowledge of the Company, each item of Company IP is valid and enforceable, and with respect to the Company’s Registered IP, subsisting. Except as set forth in </w:t>
      </w:r>
      <w:r>
        <w:rPr>
          <w:rFonts w:ascii="Times New Roman" w:hAnsi="Times New Roman"/>
          <w:color w:val="000000"/>
          <w:sz w:val="20"/>
          <w:u w:val="single"/>
        </w:rPr>
        <w:t>Section 2.12(a)</w:t>
      </w:r>
      <w:r>
        <w:rPr>
          <w:rFonts w:ascii="Times New Roman" w:hAnsi="Times New Roman"/>
          <w:color w:val="000000"/>
          <w:sz w:val="20"/>
        </w:rPr>
        <w:t xml:space="preserve"> of the Company Disclosure Schedule, there are no actions that must be taken within 90 days of the Closing, the failure of which will result in the abandonment, lapse or cancellation of any material Registered IP owned or co-owned by the Company or its Subsidiaries, in whole or in part.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46" w:name="z_Ref237970915"/>
      <w:bookmarkEnd w:id="346"/>
      <w:r>
        <w:rPr>
          <w:rFonts w:ascii="Times New Roman" w:hAnsi="Times New Roman"/>
          <w:color w:val="000000"/>
          <w:sz w:val="20"/>
        </w:rPr>
        <w:t xml:space="preserve">(b)          Except as has not had and would not reasonably be expected to have, individually or in the aggregate, a Company Material Adverse Effect, the Company or its Subsidiaries exclusively owns, is the sole assignee of, or has exclusively licensed all material Company IP (other than as disclosed in </w:t>
      </w:r>
      <w:r>
        <w:rPr>
          <w:rFonts w:ascii="Times New Roman" w:hAnsi="Times New Roman"/>
          <w:color w:val="000000"/>
          <w:sz w:val="20"/>
          <w:u w:val="single"/>
        </w:rPr>
        <w:t>Section 2.12(b)</w:t>
      </w:r>
      <w:r>
        <w:rPr>
          <w:rFonts w:ascii="Times New Roman" w:hAnsi="Times New Roman"/>
          <w:color w:val="000000"/>
          <w:sz w:val="20"/>
        </w:rPr>
        <w:t xml:space="preserve"> of the Company Disclosure Schedule), free and clear of all Encumbrances other than Permitted Encumbrances. The Company IP and the Intellectual Property Rights licensed to the Company pursuant to a valid, enforceable written agreement constitute all Intellectual Property Rights used in, material to or otherwise necessary for the operation of the Company’s business as currently conducted. For clarity, nothing in this </w:t>
      </w:r>
      <w:r>
        <w:rPr>
          <w:rFonts w:ascii="Times New Roman" w:hAnsi="Times New Roman"/>
          <w:color w:val="000000"/>
          <w:sz w:val="20"/>
          <w:u w:val="single"/>
        </w:rPr>
        <w:t>Section 2.12(b)</w:t>
      </w:r>
      <w:r>
        <w:rPr>
          <w:rFonts w:ascii="Times New Roman" w:hAnsi="Times New Roman"/>
          <w:color w:val="000000"/>
          <w:sz w:val="20"/>
        </w:rPr>
        <w:t xml:space="preserve"> shall be deemed a representation or warranty with respect to infringement, misappropriation, or other violation of any Intellectual Property Rights of another Person, which is covered under </w:t>
      </w:r>
      <w:r>
        <w:rPr>
          <w:rFonts w:ascii="Times New Roman" w:hAnsi="Times New Roman"/>
          <w:color w:val="000000"/>
          <w:sz w:val="20"/>
          <w:u w:val="single"/>
        </w:rPr>
        <w:t>Section 2.12(e)</w:t>
      </w:r>
      <w:r>
        <w:rPr>
          <w:rFonts w:ascii="Times New Roman" w:hAnsi="Times New Roman"/>
          <w:color w:val="000000"/>
          <w:sz w:val="20"/>
        </w:rPr>
        <w:t>. All Intellectual Property Rights licensed to the Company are licensed pursuant to a valid, enforceable written agreement.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Each Company Associate who has or has had access to the Company’s trade secrets or confidential information has signed a valid and enforceable written agreement containing confidentiality provisions protecting the Company IP, trade secrets and confidential information. The Company has taken commercially reasonable steps to protect and preserve the confidentiality of its trade secrets and confidential information.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47" w:name="z_Ref237970916"/>
      <w:bookmarkEnd w:id="347"/>
      <w:r>
        <w:rPr>
          <w:rFonts w:ascii="Times New Roman" w:hAnsi="Times New Roman"/>
          <w:color w:val="000000"/>
          <w:sz w:val="20"/>
        </w:rPr>
        <w:t>(c)          To the Knowledge of the Company, no funding, facilities or personnel of any Governmental Body or any university, college, research institute or other educational institution has been used to create Company IP, except for any such funding or use of facilities or personnel that does not result in such Governmental Body or educational institution owning such Company IP as of the date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Section 2.12(d)</w:t>
      </w:r>
      <w:r>
        <w:rPr>
          <w:rFonts w:ascii="Times New Roman" w:hAnsi="Times New Roman"/>
          <w:color w:val="000000"/>
          <w:sz w:val="20"/>
        </w:rPr>
        <w:t xml:space="preserve"> of the Company Disclosure Schedule sets forth each license agreement pursuant to which the Company </w:t>
      </w:r>
      <w:bookmarkStart w:id="348" w:name="DocXTextRef123"/>
      <w:bookmarkEnd w:id="348"/>
      <w:r>
        <w:rPr>
          <w:rFonts w:ascii="Times New Roman" w:hAnsi="Times New Roman"/>
          <w:color w:val="000000"/>
          <w:sz w:val="20"/>
        </w:rPr>
        <w:t>(i) is granted a license under any material Intellectual Property Right owned by any third party that is used by the Company in its business as currently conducted (each a “</w:t>
      </w:r>
      <w:r>
        <w:rPr>
          <w:rFonts w:ascii="Times New Roman" w:hAnsi="Times New Roman"/>
          <w:b/>
          <w:i/>
          <w:color w:val="000000"/>
          <w:sz w:val="20"/>
        </w:rPr>
        <w:t>Company In-bound License</w:t>
      </w:r>
      <w:r>
        <w:rPr>
          <w:rFonts w:ascii="Times New Roman" w:hAnsi="Times New Roman"/>
          <w:color w:val="000000"/>
          <w:sz w:val="20"/>
        </w:rPr>
        <w:t>”) or (ii) grants to any third party a license under any material Company IP or material Intellectual Property Right licensed to the Company under a Company In-bound License (each a “</w:t>
      </w:r>
      <w:r>
        <w:rPr>
          <w:rFonts w:ascii="Times New Roman" w:hAnsi="Times New Roman"/>
          <w:b/>
          <w:i/>
          <w:color w:val="000000"/>
          <w:sz w:val="20"/>
        </w:rPr>
        <w:t>Company</w:t>
      </w:r>
      <w:r>
        <w:rPr>
          <w:rFonts w:ascii="Times New Roman" w:hAnsi="Times New Roman"/>
          <w:color w:val="000000"/>
          <w:sz w:val="20"/>
        </w:rPr>
        <w:t> </w:t>
      </w:r>
      <w:r>
        <w:rPr>
          <w:rFonts w:ascii="Times New Roman" w:hAnsi="Times New Roman"/>
          <w:b/>
          <w:i/>
          <w:color w:val="000000"/>
          <w:sz w:val="20"/>
        </w:rPr>
        <w:t>Out-bound License</w:t>
      </w:r>
      <w:r>
        <w:rPr>
          <w:rFonts w:ascii="Times New Roman" w:hAnsi="Times New Roman"/>
          <w:color w:val="000000"/>
          <w:sz w:val="20"/>
        </w:rPr>
        <w:t>”) (</w:t>
      </w:r>
      <w:r>
        <w:rPr>
          <w:rFonts w:ascii="Times New Roman" w:hAnsi="Times New Roman"/>
          <w:i/>
          <w:color w:val="000000"/>
          <w:sz w:val="20"/>
        </w:rPr>
        <w:t>provided</w:t>
      </w:r>
      <w:r>
        <w:rPr>
          <w:rFonts w:ascii="Times New Roman" w:hAnsi="Times New Roman"/>
          <w:color w:val="000000"/>
          <w:sz w:val="20"/>
        </w:rPr>
        <w:t xml:space="preserve">, that, Company In-bound Licenses shall not include, when entered into in the Ordinary Course of Business, material transfer agreements, clinical trial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clinical trial agreements, services agreements, non-disclosure agreements, or non-exclusive outbound licenses). All Company In-bound Licenses and Company Out-bound Licenses are in full force and effect and are valid, enforceable and binding obligations of the Company and, to the Knowledge of Company, each other party to such Company In-bound Licenses or Company Out-bound Licenses. Neither the Company, nor to the Knowledge of the Company, any other party to such Company In-bound Licenses or Company Out-bound Licenses, is in material breach under any Company In-bound Licenses or Company Out-bound Licenses. Except as set forth in </w:t>
      </w:r>
      <w:r>
        <w:rPr>
          <w:rFonts w:ascii="Times New Roman" w:hAnsi="Times New Roman"/>
          <w:color w:val="000000"/>
          <w:sz w:val="20"/>
          <w:u w:val="single"/>
        </w:rPr>
        <w:t>Section 2.12(d)</w:t>
      </w:r>
      <w:r>
        <w:rPr>
          <w:rFonts w:ascii="Times New Roman" w:hAnsi="Times New Roman"/>
          <w:color w:val="000000"/>
          <w:sz w:val="20"/>
        </w:rPr>
        <w:t xml:space="preserve"> of the Company Disclosure Schedule, none of the terms or conditions of any Company In-Bound License or any Company Out-Bound License requires the Company or any of its Affiliates to maintain, develop, or prosecute any Intellectual Property Rights.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49" w:name="z_Ref237970918"/>
      <w:bookmarkEnd w:id="349"/>
      <w:r>
        <w:rPr>
          <w:rFonts w:ascii="Times New Roman" w:hAnsi="Times New Roman"/>
          <w:color w:val="000000"/>
          <w:sz w:val="20"/>
        </w:rPr>
        <w:t xml:space="preserve">(e)          To the Knowledge of the Company: </w:t>
      </w:r>
      <w:bookmarkStart w:id="350" w:name="DocXTextRef124"/>
      <w:bookmarkEnd w:id="350"/>
      <w:r>
        <w:rPr>
          <w:rFonts w:ascii="Times New Roman" w:hAnsi="Times New Roman"/>
          <w:color w:val="000000"/>
          <w:sz w:val="20"/>
        </w:rPr>
        <w:t xml:space="preserve">(i) the operation of the business of the Company as currently conducted does not infringe, misappropriate or otherwise violate any Intellectual Property Rights of any other Person and (ii) no other Person is infringing, misappropriating or otherwise violating any Company IP. No Legal Proceeding is pending (or, to the Knowledge of the Company, is threatened in writing) </w:t>
      </w:r>
      <w:bookmarkStart w:id="351" w:name="DocXTextRef125"/>
      <w:bookmarkEnd w:id="351"/>
      <w:r>
        <w:rPr>
          <w:rFonts w:ascii="Times New Roman" w:hAnsi="Times New Roman"/>
          <w:color w:val="000000"/>
          <w:sz w:val="20"/>
        </w:rPr>
        <w:t xml:space="preserve">(A) against the Company alleging that the operation of the business of the Company infringes or constitutes the misappropriation or other violation of any Intellectual Property Rights of another Person or </w:t>
      </w:r>
      <w:bookmarkStart w:id="352" w:name="DocXTextRef126"/>
      <w:bookmarkEnd w:id="352"/>
      <w:r>
        <w:rPr>
          <w:rFonts w:ascii="Times New Roman" w:hAnsi="Times New Roman"/>
          <w:color w:val="000000"/>
          <w:sz w:val="20"/>
        </w:rPr>
        <w:t>(B) by the Company alleging that another Person has infringed, misappropriated or otherwise violated any of the Company IP. Since May 3, 2022, the Company has not received any written notice or other written communication alleging that the operation of the business of the Company infringes or constitutes the misappropriation or other violation of any Intellectual Property Right of another Person.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53" w:name="z_Ref237970919"/>
      <w:bookmarkEnd w:id="353"/>
      <w:r>
        <w:rPr>
          <w:rFonts w:ascii="Times New Roman" w:hAnsi="Times New Roman"/>
          <w:color w:val="000000"/>
          <w:sz w:val="20"/>
        </w:rPr>
        <w:t>(f)          None of the Company IP owned by the Company or its Subsidiaries or, to the Knowledge of the Company, none of the material Intellectual Property Rights exclusively licensed to the Company is subject to any pending or outstanding injunction, directive, order, judgment or other disposition of dispute that adversely and materially restricts the use, transfer, registration or licensing by the Company or its Subsidiaries of any such Company IP.</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54" w:name="z_Ref237970920"/>
      <w:bookmarkEnd w:id="354"/>
      <w:r>
        <w:rPr>
          <w:rFonts w:ascii="Times New Roman" w:hAnsi="Times New Roman"/>
          <w:color w:val="000000"/>
          <w:sz w:val="20"/>
        </w:rPr>
        <w:t>(g)          To the Knowledge of the Company, the Company and the operation of the Company’s business are and since May 3, 2022 have been, in material compliance with all Privacy and Data Processing Requirements. To the Knowledge of the Company, the Company has at all applicable times provided all notices, and obtained and maintained all rights, consents, and authorizations in each case, as required by applicable Privacy and Data Processing Requirements, to Process Company Data as Processed by or for the Company. Since May 3, 2022, there have been (i) no loss or theft of, or security breach relating to, Company Data, and/or (ii) no unauthorized access to, or unauthorized, unintended, or improper use disclosure, or other Processing of any Company Data. The Company has taken commercially reasonable measures and steps and have implemented, maintained and tested reasonable disaster recovery and security plans and procedures to protect the information technology systems used in, material to or necessary for operation of the Company’s business as currently conducted and all Company Data from unauthorized use, access, disclosure and/or other Processing. To the Knowledge of the Company, since May 3, 2022, there have been no (A) material malfunctions or unauthorized intrusions or breaches of the information technology systems used in, material to or necessary for the operation of the Company’s business or (B) material unauthorized access to, or other processing of, Company Data.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2.13       </w:t>
      </w:r>
      <w:r>
        <w:rPr>
          <w:rFonts w:ascii="Times New Roman" w:hAnsi="Times New Roman"/>
          <w:b/>
          <w:color w:val="000000"/>
          <w:sz w:val="20"/>
          <w:u w:val="single"/>
        </w:rPr>
        <w:t>Agreements, Contracts and Commitments.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55" w:name="z_Ref237970922"/>
      <w:bookmarkEnd w:id="355"/>
      <w:r>
        <w:rPr>
          <w:rFonts w:ascii="Times New Roman" w:hAnsi="Times New Roman"/>
          <w:color w:val="000000"/>
          <w:sz w:val="20"/>
        </w:rPr>
        <w:t>(a)          </w:t>
      </w:r>
      <w:r>
        <w:rPr>
          <w:rFonts w:ascii="Times New Roman" w:hAnsi="Times New Roman"/>
          <w:color w:val="000000"/>
          <w:sz w:val="20"/>
          <w:u w:val="single"/>
        </w:rPr>
        <w:t>Section 2.13(a)</w:t>
      </w:r>
      <w:r>
        <w:rPr>
          <w:rFonts w:ascii="Times New Roman" w:hAnsi="Times New Roman"/>
          <w:color w:val="000000"/>
          <w:sz w:val="20"/>
        </w:rPr>
        <w:t xml:space="preserve"> of the Company Disclosure Schedule lists the following Company Contracts in effect as of the date of this Agreement other than any Company Benefit Plans (each, a “</w:t>
      </w:r>
      <w:r>
        <w:rPr>
          <w:rFonts w:ascii="Times New Roman" w:hAnsi="Times New Roman"/>
          <w:b/>
          <w:i/>
          <w:color w:val="000000"/>
          <w:sz w:val="20"/>
        </w:rPr>
        <w:t>Company Material Contract</w:t>
      </w:r>
      <w:r>
        <w:rPr>
          <w:rFonts w:ascii="Times New Roman" w:hAnsi="Times New Roman"/>
          <w:color w:val="000000"/>
          <w:sz w:val="20"/>
        </w:rPr>
        <w:t>” and collectively, the “</w:t>
      </w:r>
      <w:r>
        <w:rPr>
          <w:rFonts w:ascii="Times New Roman" w:hAnsi="Times New Roman"/>
          <w:b/>
          <w:i/>
          <w:color w:val="000000"/>
          <w:sz w:val="20"/>
        </w:rPr>
        <w:t>Company Material Contracts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56" w:name="z_Ref237970923"/>
      <w:bookmarkEnd w:id="356"/>
      <w:r>
        <w:rPr>
          <w:rFonts w:ascii="Times New Roman" w:hAnsi="Times New Roman"/>
          <w:color w:val="000000"/>
          <w:sz w:val="20"/>
        </w:rPr>
        <w:t>(i)          each Company Contract relating to any agreement of indemnification or guaranty not entered into in the Ordinary Course of Business;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57" w:name="z_Ref237970924"/>
      <w:bookmarkEnd w:id="357"/>
      <w:r>
        <w:rPr>
          <w:rFonts w:ascii="Times New Roman" w:hAnsi="Times New Roman"/>
          <w:color w:val="000000"/>
          <w:sz w:val="20"/>
        </w:rPr>
        <w:t xml:space="preserve">(ii)         each Company Contract containing </w:t>
      </w:r>
      <w:bookmarkStart w:id="358" w:name="DocXTextRef130"/>
      <w:bookmarkEnd w:id="358"/>
      <w:r>
        <w:rPr>
          <w:rFonts w:ascii="Times New Roman" w:hAnsi="Times New Roman"/>
          <w:color w:val="000000"/>
          <w:sz w:val="20"/>
        </w:rPr>
        <w:t xml:space="preserve">(A) any covenant limiting in any material respect the freedom of the Company or the Surviving Entity to engage in any line of business or compete with any Person, </w:t>
      </w:r>
      <w:bookmarkStart w:id="359" w:name="DocXTextRef131"/>
      <w:bookmarkEnd w:id="359"/>
      <w:r>
        <w:rPr>
          <w:rFonts w:ascii="Times New Roman" w:hAnsi="Times New Roman"/>
          <w:color w:val="000000"/>
          <w:sz w:val="20"/>
        </w:rPr>
        <w:t xml:space="preserve">(B) any most-favored nation or other preferred pricing arrangement in favor of a Person other than the Company or any similar term by which any Person is or could become entitled to any benefit, right or privilege that must be at least as favorable to such Person as those offered to any other Person, </w:t>
      </w:r>
      <w:bookmarkStart w:id="360" w:name="DocXTextRef132"/>
      <w:bookmarkEnd w:id="360"/>
      <w:r>
        <w:rPr>
          <w:rFonts w:ascii="Times New Roman" w:hAnsi="Times New Roman"/>
          <w:color w:val="000000"/>
          <w:sz w:val="20"/>
        </w:rPr>
        <w:t xml:space="preserve">(C) any exclusivity provision, option to receive a license, right of first refusal or right of first negotiation or similar covenant in favor of a Person other than the Company, or </w:t>
      </w:r>
      <w:bookmarkStart w:id="361" w:name="DocXTextRef133"/>
      <w:bookmarkEnd w:id="361"/>
      <w:r>
        <w:rPr>
          <w:rFonts w:ascii="Times New Roman" w:hAnsi="Times New Roman"/>
          <w:color w:val="000000"/>
          <w:sz w:val="20"/>
        </w:rPr>
        <w:t>(D) any non-solicitation provision, other than, in the case of this clause (D) any Company Contract that is a (1) confidentiality, non-disclosure or similar agreement, (2) a license agreement or (3) a services, consulting or similar agreement, in each case, entered into in the Ordinary Course of Business;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62" w:name="z_Ref237970925"/>
      <w:bookmarkEnd w:id="362"/>
      <w:r>
        <w:rPr>
          <w:rFonts w:ascii="Times New Roman" w:hAnsi="Times New Roman"/>
          <w:color w:val="000000"/>
          <w:sz w:val="20"/>
        </w:rPr>
        <w:t>(iii)        each Company Contract relating to capital expenditures and requiring payments after the date of this Agreement in excess of $500,000 pursuant to its express terms and not cancelable without penalty;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63" w:name="z_Ref237970926"/>
      <w:bookmarkEnd w:id="363"/>
      <w:r>
        <w:rPr>
          <w:rFonts w:ascii="Times New Roman" w:hAnsi="Times New Roman"/>
          <w:color w:val="000000"/>
          <w:sz w:val="20"/>
        </w:rPr>
        <w:t>(iv)        each Company Contract relating to the disposition or acquisition of material tangible assets or any ownership interest in any Entity, except as contemplated hereby;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64" w:name="z_Ref237970927"/>
      <w:bookmarkEnd w:id="364"/>
      <w:r>
        <w:rPr>
          <w:rFonts w:ascii="Times New Roman" w:hAnsi="Times New Roman"/>
          <w:color w:val="000000"/>
          <w:sz w:val="20"/>
        </w:rPr>
        <w:t>(v)         each Company Contract relating to (A) the Company SAFEs or (B) any mortgages, indentures, loans, notes or credit agreements, security agreements or other agreements or instruments relating to the borrowing of money or extension of credit or creating any material Encumbrances with respect to any assets of the Company or any loans or debt obligations with officers or directors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 xml:space="preserve">(vi)        each Company Contract requiring payment by or to the Company after the date of this Agreement in excess of $500,000 in the aggregate in the current calendar year or any future calendar year pursuant to its express terms relating to: </w:t>
      </w:r>
      <w:bookmarkStart w:id="365" w:name="DocXTextRef134"/>
      <w:bookmarkEnd w:id="365"/>
      <w:r>
        <w:rPr>
          <w:rFonts w:ascii="Times New Roman" w:hAnsi="Times New Roman"/>
          <w:color w:val="000000"/>
          <w:sz w:val="20"/>
        </w:rPr>
        <w:t xml:space="preserve">(A) any distribution agreement ; </w:t>
      </w:r>
      <w:bookmarkStart w:id="366" w:name="DocXTextRef135"/>
      <w:bookmarkEnd w:id="366"/>
      <w:r>
        <w:rPr>
          <w:rFonts w:ascii="Times New Roman" w:hAnsi="Times New Roman"/>
          <w:color w:val="000000"/>
          <w:sz w:val="20"/>
        </w:rPr>
        <w:t xml:space="preserve">(B) any agreement involving provision of services or products with respect to any non-clinical or clinical development activities of the Company; </w:t>
      </w:r>
      <w:bookmarkStart w:id="367" w:name="DocXTextRef136"/>
      <w:bookmarkEnd w:id="367"/>
      <w:r>
        <w:rPr>
          <w:rFonts w:ascii="Times New Roman" w:hAnsi="Times New Roman"/>
          <w:color w:val="000000"/>
          <w:sz w:val="20"/>
        </w:rPr>
        <w:t xml:space="preserve">(C)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Rights that will not be owned, in whole or in part, by the Company; or </w:t>
      </w:r>
      <w:bookmarkStart w:id="368" w:name="DocXTextRef137"/>
      <w:bookmarkEnd w:id="368"/>
      <w:r>
        <w:rPr>
          <w:rFonts w:ascii="Times New Roman" w:hAnsi="Times New Roman"/>
          <w:color w:val="000000"/>
          <w:sz w:val="20"/>
        </w:rPr>
        <w:t>(D) any Contract with any third party providing any services relating to the manufacture or production of any product, service or technology of the Company or any Contract to sell, distribute or commercialize any products or service of the Company;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69" w:name="z_Ref237970929"/>
      <w:bookmarkEnd w:id="369"/>
      <w:r>
        <w:rPr>
          <w:rFonts w:ascii="Times New Roman" w:hAnsi="Times New Roman"/>
          <w:color w:val="000000"/>
          <w:sz w:val="20"/>
        </w:rPr>
        <w:t>(vii)       each Company Contract with any financial advisor, broker, finder, investment banker or other similar Person providing financial advisory services to the Company in connection with the Contemplated Transactions;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0" w:name="z_Ref237970930"/>
      <w:bookmarkEnd w:id="370"/>
      <w:r>
        <w:rPr>
          <w:rFonts w:ascii="Times New Roman" w:hAnsi="Times New Roman"/>
          <w:color w:val="000000"/>
          <w:sz w:val="20"/>
        </w:rPr>
        <w:t>(viii)      each Company Real Estate Lease;</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1" w:name="z_Ref237970931"/>
      <w:bookmarkEnd w:id="371"/>
      <w:r>
        <w:rPr>
          <w:rFonts w:ascii="Times New Roman" w:hAnsi="Times New Roman"/>
          <w:color w:val="000000"/>
          <w:sz w:val="20"/>
        </w:rPr>
        <w:t>(ix)        each Company Contract with any Governmental Body;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2" w:name="z_Ref237970932"/>
      <w:bookmarkEnd w:id="372"/>
      <w:r>
        <w:rPr>
          <w:rFonts w:ascii="Times New Roman" w:hAnsi="Times New Roman"/>
          <w:color w:val="000000"/>
          <w:sz w:val="20"/>
        </w:rPr>
        <w:t>(x)         each Company Out-bound License and Company In-bound License, and each Company Contract containing a covenant not to sue or otherwise enforce any Intellectual Property Rights;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3" w:name="z_Ref237970933"/>
      <w:bookmarkEnd w:id="373"/>
      <w:r>
        <w:rPr>
          <w:rFonts w:ascii="Times New Roman" w:hAnsi="Times New Roman"/>
          <w:color w:val="000000"/>
          <w:sz w:val="20"/>
        </w:rPr>
        <w:t>(xi)        each Company Contract requiring the payment of any royalty, dividend or similar arrangement based on the revenues or profits of the Company;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4" w:name="z_Ref237970934"/>
      <w:bookmarkEnd w:id="374"/>
      <w:r>
        <w:rPr>
          <w:rFonts w:ascii="Times New Roman" w:hAnsi="Times New Roman"/>
          <w:color w:val="000000"/>
          <w:sz w:val="20"/>
        </w:rPr>
        <w:t xml:space="preserve">(xii)       each Company Contract, offer letter, employment agreement, or independent contractor agreement with any employee, independent contractor or other natural person service provider whose annual compensation equals or exceeds $250,000 that </w:t>
      </w:r>
      <w:bookmarkStart w:id="375" w:name="DocXTextRef138"/>
      <w:bookmarkEnd w:id="375"/>
      <w:r>
        <w:rPr>
          <w:rFonts w:ascii="Times New Roman" w:hAnsi="Times New Roman"/>
          <w:color w:val="000000"/>
          <w:sz w:val="20"/>
        </w:rPr>
        <w:t xml:space="preserve">(A) is not immediately terminable at will by the Company without notice, severance or other cost or payment, except as required under applicable Law, or </w:t>
      </w:r>
      <w:bookmarkStart w:id="376" w:name="DocXTextRef139"/>
      <w:bookmarkEnd w:id="376"/>
      <w:r>
        <w:rPr>
          <w:rFonts w:ascii="Times New Roman" w:hAnsi="Times New Roman"/>
          <w:color w:val="000000"/>
          <w:sz w:val="20"/>
        </w:rPr>
        <w:t>(B) provides for retention payments, change of control payments, severance, accelerated vesting, or any similar payment or benefit that may or will become due as a result of the Merger;</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7" w:name="z_Ref237970935"/>
      <w:bookmarkEnd w:id="377"/>
      <w:r>
        <w:rPr>
          <w:rFonts w:ascii="Times New Roman" w:hAnsi="Times New Roman"/>
          <w:color w:val="000000"/>
          <w:sz w:val="20"/>
        </w:rPr>
        <w:t>(xiii)      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8" w:name="z_Ref237970936"/>
      <w:bookmarkEnd w:id="378"/>
      <w:r>
        <w:rPr>
          <w:rFonts w:ascii="Times New Roman" w:hAnsi="Times New Roman"/>
          <w:color w:val="000000"/>
          <w:sz w:val="20"/>
        </w:rPr>
        <w:t>(xiv)      each Company Contract entered into in settlement of any Legal Proceeding or other dispute; and</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379" w:name="z_Ref237970937"/>
      <w:bookmarkEnd w:id="379"/>
      <w:r>
        <w:rPr>
          <w:rFonts w:ascii="Times New Roman" w:hAnsi="Times New Roman"/>
          <w:color w:val="000000"/>
          <w:sz w:val="20"/>
        </w:rPr>
        <w:t xml:space="preserve">(xv)       any other Company Contract that is not terminable at will (with no penalty or payment or requirement for prior notice, except as required by applicable Law) by the Company and </w:t>
      </w:r>
      <w:bookmarkStart w:id="380" w:name="DocXTextRef140"/>
      <w:bookmarkEnd w:id="380"/>
      <w:r>
        <w:rPr>
          <w:rFonts w:ascii="Times New Roman" w:hAnsi="Times New Roman"/>
          <w:color w:val="000000"/>
          <w:sz w:val="20"/>
        </w:rPr>
        <w:t xml:space="preserve">(A) which involves payment or receipt by the Company after the date of this Agreement under any such agreement, Contract or commitment of more than $500,000 in the aggregate, or obligations after the date of this Agreement in excess of $500,000 in the aggregate, or </w:t>
      </w:r>
      <w:bookmarkStart w:id="381" w:name="DocXTextRef141"/>
      <w:bookmarkEnd w:id="381"/>
      <w:r>
        <w:rPr>
          <w:rFonts w:ascii="Times New Roman" w:hAnsi="Times New Roman"/>
          <w:color w:val="000000"/>
          <w:sz w:val="20"/>
        </w:rPr>
        <w:t>(B) that is material to the business or operations of the Company taken as a whole.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(b)          The Company has delivered or made available to Parent accurate and complete copies of all Company Material Contracts, including all amendments thereto. Except as set forth in </w:t>
      </w:r>
      <w:r>
        <w:rPr>
          <w:rFonts w:ascii="Times New Roman" w:hAnsi="Times New Roman"/>
          <w:color w:val="000000"/>
          <w:sz w:val="20"/>
          <w:u w:val="single"/>
        </w:rPr>
        <w:t>Section 2.13(b)</w:t>
      </w:r>
      <w:r>
        <w:rPr>
          <w:rFonts w:ascii="Times New Roman" w:hAnsi="Times New Roman"/>
          <w:color w:val="000000"/>
          <w:sz w:val="20"/>
        </w:rPr>
        <w:t xml:space="preserve"> of the Company Disclosure Schedule, there are no Company Material Contracts that are not in written form. Neither the Company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and no Person has indicated in writing to the Company that it desires to renegotiate, modify, not renew or cancel any Company Material Contract.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382" w:name="z_Toc240403038"/>
      <w:bookmarkStart w:id="383" w:name="z_Ref237973803"/>
      <w:bookmarkStart w:id="384" w:name="z_Ref237971942"/>
      <w:bookmarkStart w:id="385" w:name="z_Ref237970939"/>
      <w:bookmarkEnd w:id="382"/>
      <w:bookmarkEnd w:id="383"/>
      <w:bookmarkEnd w:id="384"/>
      <w:bookmarkEnd w:id="385"/>
      <w:r>
        <w:rPr>
          <w:rFonts w:ascii="Times New Roman" w:hAnsi="Times New Roman"/>
          <w:color w:val="000000"/>
          <w:sz w:val="20"/>
        </w:rPr>
        <w:t xml:space="preserve">2.14       </w:t>
      </w:r>
      <w:r>
        <w:rPr>
          <w:rFonts w:ascii="Times New Roman" w:hAnsi="Times New Roman"/>
          <w:b/>
          <w:color w:val="000000"/>
          <w:sz w:val="20"/>
          <w:u w:val="single"/>
        </w:rPr>
        <w:t>Compliance; Permits</w:t>
      </w:r>
      <w:r>
        <w:rPr>
          <w:rFonts w:ascii="Times New Roman" w:hAnsi="Times New Roman"/>
          <w:b/>
          <w:color w:val="000000"/>
          <w:sz w:val="20"/>
        </w:rPr>
        <w:t>.</w:t>
      </w:r>
    </w:p>
    <w:p>
      <w:pPr>
        <w:pStyle w:val="TextBody"/>
        <w:bidi w:val="0"/>
        <w:spacing w:before="0" w:after="0"/>
        <w:jc w:val="left"/>
        <w:rPr>
          <w:b/>
        </w:rPr>
      </w:pPr>
      <w:r>
        <w:rPr>
          <w:b/>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The Company holds all required Governmental Authorizations which are material to the operation of the business of the Company as currently conducted (the “</w:t>
      </w:r>
      <w:r>
        <w:rPr>
          <w:rFonts w:ascii="Times New Roman" w:hAnsi="Times New Roman"/>
          <w:b/>
          <w:i/>
          <w:color w:val="000000"/>
          <w:sz w:val="20"/>
        </w:rPr>
        <w:t>Company Permits</w:t>
      </w:r>
      <w:r>
        <w:rPr>
          <w:rFonts w:ascii="Times New Roman" w:hAnsi="Times New Roman"/>
          <w:color w:val="000000"/>
          <w:sz w:val="20"/>
        </w:rPr>
        <w:t xml:space="preserve">”). </w:t>
      </w:r>
      <w:r>
        <w:rPr>
          <w:rFonts w:ascii="Times New Roman" w:hAnsi="Times New Roman"/>
          <w:color w:val="000000"/>
          <w:sz w:val="20"/>
          <w:u w:val="single"/>
        </w:rPr>
        <w:t>Section 2.14</w:t>
      </w:r>
      <w:r>
        <w:rPr>
          <w:rFonts w:ascii="Times New Roman" w:hAnsi="Times New Roman"/>
          <w:color w:val="000000"/>
          <w:sz w:val="20"/>
        </w:rPr>
        <w:t xml:space="preserve"> of the Company Disclosure Schedule identifies each Company Permit. Each such Company Permit is valid and in full force and effect, and the Company is in material compliance with the terms of the Company Permits. No Legal Proceeding is pending or, to the Knowledge of the Company, threatened, which seeks to revoke, limit, suspend, or materially modify any Company Permit.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The Company is, and for the last five years, has been, in compliance in all material respects with the Federal Food, Drug and Cosmetic Act and regulations issued thereunder (the “</w:t>
      </w:r>
      <w:r>
        <w:rPr>
          <w:rFonts w:ascii="Times New Roman" w:hAnsi="Times New Roman"/>
          <w:b/>
          <w:i/>
          <w:color w:val="000000"/>
          <w:sz w:val="20"/>
        </w:rPr>
        <w:t>FDCA</w:t>
      </w:r>
      <w:r>
        <w:rPr>
          <w:rFonts w:ascii="Times New Roman" w:hAnsi="Times New Roman"/>
          <w:color w:val="000000"/>
          <w:sz w:val="20"/>
        </w:rPr>
        <w:t>”),  and any other similar Law administered or promulgated by the United States Food and Drug Administration (“</w:t>
      </w:r>
      <w:r>
        <w:rPr>
          <w:rFonts w:ascii="Times New Roman" w:hAnsi="Times New Roman"/>
          <w:b/>
          <w:i/>
          <w:color w:val="000000"/>
          <w:sz w:val="20"/>
        </w:rPr>
        <w:t>FDA</w:t>
      </w:r>
      <w:r>
        <w:rPr>
          <w:rFonts w:ascii="Times New Roman" w:hAnsi="Times New Roman"/>
          <w:color w:val="000000"/>
          <w:sz w:val="20"/>
        </w:rPr>
        <w:t>”) or other comparable Governmental Body responsible for regulation of the research, development, non-clinical and clinical testing, manufacturing, storage, supply, approval, sale, marketing, distribution and importation or exportation of drug and biological products, except for any noncompliance, either individually or in the aggregate, which would not be material to the Company. No Legal Proceeding by any Governmental Body is pending or, to the Knowledge of the Company, threatened against the Company. There is no written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or (ii) is reasonably likely to have a material adverse effect on the Company’s ability to comply with or perform any covenant or obligation under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Neither the Company nor, to the Company’s Knowledge, any Representatives of the Company (i) has been, is, or is employing or utilizing the services of any individual who has been debarred or excluded from participating in any federal or state health care programs, is listed on the U.S. General Services Administration/System for Award Management or the Department of Health and Human Services Office of Inspector General excluded individuals and entities listings, or on any FDA debarment list, (ii) has been convicted under any criminal Laws or engaged in any conduct that would reasonably be expected to result in (A) debarment under 21 U.S.C. §335a or any similar state or foreign applicable Law or (B) exclusion under 42 U.S.C. §1320a–7 or any similar state or foreign applicable Law, nor has the Company received notice of an impending or potential exclusion, debarment, suspension or listing.</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386" w:name="z_Toc240403039"/>
      <w:bookmarkStart w:id="387" w:name="z_Ref237970940"/>
      <w:bookmarkEnd w:id="386"/>
      <w:bookmarkEnd w:id="387"/>
      <w:r>
        <w:rPr>
          <w:rFonts w:ascii="Times New Roman" w:hAnsi="Times New Roman"/>
          <w:color w:val="000000"/>
          <w:sz w:val="20"/>
        </w:rPr>
        <w:t xml:space="preserve">2.15       </w:t>
      </w:r>
      <w:r>
        <w:rPr>
          <w:rFonts w:ascii="Times New Roman" w:hAnsi="Times New Roman"/>
          <w:b/>
          <w:color w:val="000000"/>
          <w:sz w:val="20"/>
          <w:u w:val="single"/>
        </w:rPr>
        <w:t>Legal Proceedings; Orders.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88" w:name="z_Ref237970941"/>
      <w:bookmarkEnd w:id="388"/>
      <w:r>
        <w:rPr>
          <w:rFonts w:ascii="Times New Roman" w:hAnsi="Times New Roman"/>
          <w:color w:val="000000"/>
          <w:sz w:val="20"/>
        </w:rPr>
        <w:t xml:space="preserve">(a)          As of the date of this Agreement, there is no material pending Legal Proceeding and, to the Knowledge of the Company, no Person has threatened in writing to commence any Legal Proceeding: </w:t>
      </w:r>
      <w:bookmarkStart w:id="389" w:name="DocXTextRef144"/>
      <w:bookmarkEnd w:id="389"/>
      <w:r>
        <w:rPr>
          <w:rFonts w:ascii="Times New Roman" w:hAnsi="Times New Roman"/>
          <w:color w:val="000000"/>
          <w:sz w:val="20"/>
        </w:rPr>
        <w:t xml:space="preserve">(i) that involves </w:t>
      </w:r>
      <w:bookmarkStart w:id="390" w:name="DocXTextRef145"/>
      <w:bookmarkEnd w:id="390"/>
      <w:r>
        <w:rPr>
          <w:rFonts w:ascii="Times New Roman" w:hAnsi="Times New Roman"/>
          <w:color w:val="000000"/>
          <w:sz w:val="20"/>
        </w:rPr>
        <w:t xml:space="preserve">(A) the Company, </w:t>
      </w:r>
      <w:bookmarkStart w:id="391" w:name="DocXTextRef146"/>
      <w:bookmarkEnd w:id="391"/>
      <w:r>
        <w:rPr>
          <w:rFonts w:ascii="Times New Roman" w:hAnsi="Times New Roman"/>
          <w:color w:val="000000"/>
          <w:sz w:val="20"/>
        </w:rPr>
        <w:t xml:space="preserve">(B) any Company Associate (in his or her capacity as such) or </w:t>
      </w:r>
      <w:bookmarkStart w:id="392" w:name="DocXTextRef147"/>
      <w:bookmarkEnd w:id="392"/>
      <w:r>
        <w:rPr>
          <w:rFonts w:ascii="Times New Roman" w:hAnsi="Times New Roman"/>
          <w:color w:val="000000"/>
          <w:sz w:val="20"/>
        </w:rPr>
        <w:t>(C) any of the material assets owned or used by the Company; or (ii) that challenges, or that would have the effect of preventing, delaying, making illegal or otherwise interfering with, the Contemplated Transactions.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93" w:name="z_Ref237970942"/>
      <w:bookmarkEnd w:id="393"/>
      <w:r>
        <w:rPr>
          <w:rFonts w:ascii="Times New Roman" w:hAnsi="Times New Roman"/>
          <w:color w:val="000000"/>
          <w:sz w:val="20"/>
        </w:rPr>
        <w:t xml:space="preserve">(b)         Except as set forth in Section </w:t>
      </w:r>
      <w:r>
        <w:rPr>
          <w:rFonts w:ascii="Times New Roman" w:hAnsi="Times New Roman"/>
          <w:color w:val="000000"/>
          <w:sz w:val="20"/>
          <w:u w:val="single"/>
        </w:rPr>
        <w:t>2.15(b)</w:t>
      </w:r>
      <w:r>
        <w:rPr>
          <w:rFonts w:ascii="Times New Roman" w:hAnsi="Times New Roman"/>
          <w:color w:val="000000"/>
          <w:sz w:val="20"/>
        </w:rPr>
        <w:t xml:space="preserve"> of the Company Disclosure Schedule, since June 18, 2024 through the date of this Agreement, no Legal Proceeding has been pending against the Company that resulted in material liability to the Company.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94" w:name="z_Ref237970943"/>
      <w:bookmarkEnd w:id="394"/>
      <w:r>
        <w:rPr>
          <w:rFonts w:ascii="Times New Roman" w:hAnsi="Times New Roman"/>
          <w:color w:val="000000"/>
          <w:sz w:val="20"/>
        </w:rPr>
        <w:t>(c)          There is no written order, writ, injunction, judgment or decree to which the Company, or any of the material assets owned or used by the Company, is subject. To the Knowledge of the Company, no officer or employees of the Company is subject to any written order, writ, injunction, judgment or decree that prohibits such officer or employee from engaging in or continuing any conduct, activity or practice relating to the business of the Company or to any material assets owned or used by the Company.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395" w:name="z_Toc240403040"/>
      <w:bookmarkStart w:id="396" w:name="z_Ref237972022"/>
      <w:bookmarkStart w:id="397" w:name="z_Ref237970944"/>
      <w:bookmarkEnd w:id="395"/>
      <w:bookmarkEnd w:id="396"/>
      <w:bookmarkEnd w:id="397"/>
      <w:r>
        <w:rPr>
          <w:rFonts w:ascii="Times New Roman" w:hAnsi="Times New Roman"/>
          <w:color w:val="000000"/>
          <w:sz w:val="20"/>
        </w:rPr>
        <w:t xml:space="preserve">2.16       </w:t>
      </w:r>
      <w:r>
        <w:rPr>
          <w:rFonts w:ascii="Times New Roman" w:hAnsi="Times New Roman"/>
          <w:b/>
          <w:color w:val="000000"/>
          <w:sz w:val="20"/>
          <w:u w:val="single"/>
        </w:rPr>
        <w:t>Tax Matters.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98" w:name="z_Ref237970945"/>
      <w:bookmarkEnd w:id="398"/>
      <w:r>
        <w:rPr>
          <w:rFonts w:ascii="Times New Roman" w:hAnsi="Times New Roman"/>
          <w:color w:val="000000"/>
          <w:sz w:val="20"/>
        </w:rPr>
        <w:t>(a)          The Company and each of its Subsidiaries has timely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the Company does not file a particular Tax Return or pay a particular Tax that the Company or such Subsidiary is subject to taxation by that jurisdiction.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399" w:name="z_Ref237970946"/>
      <w:bookmarkEnd w:id="399"/>
      <w:r>
        <w:rPr>
          <w:rFonts w:ascii="Times New Roman" w:hAnsi="Times New Roman"/>
          <w:color w:val="000000"/>
          <w:sz w:val="20"/>
        </w:rPr>
        <w:t>(b)          All income and other material Taxes due and owing by the Company and each of its Subsidiaries on or before the date hereof (whether or not shown on any Tax Return) have been fully and timely paid. The unpaid Taxes of the Company and its Subsidiaries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Since the date of the Company Unaudited Interim Balance Sheet, the Company has not incurred any material Liability for Taxes outside the Ordinary Course of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All Taxes that the Company and each of its Subsidiaries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00" w:name="z_Ref237970948"/>
      <w:bookmarkEnd w:id="400"/>
      <w:r>
        <w:rPr>
          <w:rFonts w:ascii="Times New Roman" w:hAnsi="Times New Roman"/>
          <w:color w:val="000000"/>
          <w:sz w:val="20"/>
        </w:rPr>
        <w:t>(d)          There are no Encumbrances for material Taxes (other than Taxes not yet due and payable) upon any of the assets of the Company and each of its Subsidiaries.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01" w:name="z_Ref237970949"/>
      <w:bookmarkEnd w:id="401"/>
      <w:r>
        <w:rPr>
          <w:rFonts w:ascii="Times New Roman" w:hAnsi="Times New Roman"/>
          <w:color w:val="000000"/>
          <w:sz w:val="20"/>
        </w:rPr>
        <w:t>(e)          No deficiencies for a material amount of Taxes with respect to the Company and any of its Subsidiaries have been claimed, proposed or assessed by any Governmental Body in writing, that have not been fully resolved. There are no pending or ongoing and, to the Knowledge of the Company, no threatened audits, assessments or other actions for or relating to any liability in respect of a material amount of Taxes of the Company or any of its Subsidiaries. Neither the Company nor any of its Subsidiaries has waived any statute of limitations or agreed to any extension of time with respect to any income or other material Tax assessment or deficiency (in each case, excluding automatic extensions of time within which to file a Tax Return).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02" w:name="z_Ref237970950"/>
      <w:bookmarkEnd w:id="402"/>
      <w:r>
        <w:rPr>
          <w:rFonts w:ascii="Times New Roman" w:hAnsi="Times New Roman"/>
          <w:color w:val="000000"/>
          <w:sz w:val="20"/>
        </w:rPr>
        <w:t>(f)          Neither the Company nor any of its Subsidiaries has been a United States real property holding corporation within the meaning of Section 897(c)(2) of the Code during the applicable period specified in Section 897(c)(1)(A)(ii)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03" w:name="z_Ref237970951"/>
      <w:bookmarkEnd w:id="403"/>
      <w:r>
        <w:rPr>
          <w:rFonts w:ascii="Times New Roman" w:hAnsi="Times New Roman"/>
          <w:color w:val="000000"/>
          <w:sz w:val="20"/>
        </w:rPr>
        <w:t>(g)         Neither the Company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04" w:name="z_Ref237970952"/>
      <w:bookmarkEnd w:id="404"/>
      <w:r>
        <w:rPr>
          <w:rFonts w:ascii="Times New Roman" w:hAnsi="Times New Roman"/>
          <w:color w:val="000000"/>
          <w:sz w:val="20"/>
        </w:rPr>
        <w:t xml:space="preserve">(h)          Neither the Company nor any of its Subsidiaries (nor Parent or its Subsidiaries as a result of the Mergers) will  be required to include any item of income in, or exclude any item of deduction from, taxable income for any Tax period (or portion thereof) ending after the Closing Date as a result of any: </w:t>
      </w:r>
      <w:bookmarkStart w:id="405" w:name="DocXTextRef149"/>
      <w:bookmarkEnd w:id="405"/>
      <w:r>
        <w:rPr>
          <w:rFonts w:ascii="Times New Roman" w:hAnsi="Times New Roman"/>
          <w:color w:val="000000"/>
          <w:sz w:val="20"/>
        </w:rPr>
        <w:t xml:space="preserve">(i)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foreign Law) executed at or prior to the Closing; (iv) intercompany transaction or excess loss account described in Treasury Regulations under Section 1502 of the Code (or any similar provision of state, local or foreign Law) entered into or existing, respectively, at or prior to the Closing; </w:t>
      </w:r>
      <w:bookmarkStart w:id="406" w:name="DocXTextRef150"/>
      <w:bookmarkEnd w:id="406"/>
      <w:r>
        <w:rPr>
          <w:rFonts w:ascii="Times New Roman" w:hAnsi="Times New Roman"/>
          <w:color w:val="000000"/>
          <w:sz w:val="20"/>
        </w:rPr>
        <w:t>(v) installment sale or open transaction disposition made at or prior to the Closing; (vi) prepaid amount, advance payment or deferred revenue received or accrued at or prior to the Closing or (vii) application of Section 367(d) of the Code to any transfer of intangible property on or prior to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          Neither the Company nor any of its Subsidiaries has ever been </w:t>
      </w:r>
      <w:bookmarkStart w:id="407" w:name="DocXTextRef151"/>
      <w:bookmarkEnd w:id="407"/>
      <w:r>
        <w:rPr>
          <w:rFonts w:ascii="Times New Roman" w:hAnsi="Times New Roman"/>
          <w:color w:val="000000"/>
          <w:sz w:val="20"/>
        </w:rPr>
        <w:t>(i) a member of a consolidated, combined or unitary Tax group (other than such a group the common parent of which is the Company) or (ii) a party to any joint venture, partnership, or other arrangement that is treated as a partnership for U.S. federal income Tax purposes. The Company has no Liability for any material Taxes of any Person (other than the Company or any of its Subsidiaries)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08" w:name="z_Ref237970954"/>
      <w:bookmarkEnd w:id="408"/>
      <w:r>
        <w:rPr>
          <w:rFonts w:ascii="Times New Roman" w:hAnsi="Times New Roman"/>
          <w:color w:val="000000"/>
          <w:sz w:val="20"/>
        </w:rPr>
        <w:t xml:space="preserve">(j)          Within the past three years, neither the Company nor any of its Subsidiaries has distributed stock of another Person, or had its stock distributed by another Person, in a transaction that was purported or intended to be governed in whole or in part by Section </w:t>
      </w:r>
      <w:bookmarkStart w:id="409" w:name="DocXTextRef152"/>
      <w:bookmarkEnd w:id="409"/>
      <w:r>
        <w:rPr>
          <w:rFonts w:ascii="Times New Roman" w:hAnsi="Times New Roman"/>
          <w:color w:val="000000"/>
          <w:sz w:val="20"/>
        </w:rPr>
        <w:t xml:space="preserve">355 of the Code or Section </w:t>
      </w:r>
      <w:bookmarkStart w:id="410" w:name="DocXTextRef153"/>
      <w:bookmarkEnd w:id="410"/>
      <w:r>
        <w:rPr>
          <w:rFonts w:ascii="Times New Roman" w:hAnsi="Times New Roman"/>
          <w:color w:val="000000"/>
          <w:sz w:val="20"/>
        </w:rPr>
        <w:t>361 of the Code (or any similar provisions of state, local or foreign Law).</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11" w:name="z_Ref237970955"/>
      <w:bookmarkEnd w:id="411"/>
      <w:r>
        <w:rPr>
          <w:rFonts w:ascii="Times New Roman" w:hAnsi="Times New Roman"/>
          <w:color w:val="000000"/>
          <w:sz w:val="20"/>
        </w:rPr>
        <w:t>(k)          Neither the Company nor any of its Subsidiaries has had a permanent establishment (within the meaning of an applicable Tax treaty) or otherwise had an office or fixed place of business in a country other than the country in which it is organized.</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12" w:name="z_Ref237970956"/>
      <w:bookmarkEnd w:id="412"/>
      <w:r>
        <w:rPr>
          <w:rFonts w:ascii="Times New Roman" w:hAnsi="Times New Roman"/>
          <w:color w:val="000000"/>
          <w:sz w:val="20"/>
        </w:rPr>
        <w:t>(l)          Neither the Company nor any of its Subsidiaries has participated in or been a party to a transaction that, as of the date of this Agreement, constitutes a “listed transaction” within the meaning of Section 6707A(c)(2) of the Code and Treasury Regulations Section 1.6011-4(b)(2).</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13" w:name="z_Ref237970957"/>
      <w:bookmarkEnd w:id="413"/>
      <w:r>
        <w:rPr>
          <w:rFonts w:ascii="Times New Roman" w:hAnsi="Times New Roman"/>
          <w:color w:val="000000"/>
          <w:sz w:val="20"/>
        </w:rPr>
        <w:t xml:space="preserve">(m)          The Company is treated as a corporation for U.S. federal income tax purposes. </w:t>
      </w:r>
      <w:r>
        <w:rPr>
          <w:rFonts w:ascii="Times New Roman" w:hAnsi="Times New Roman"/>
          <w:color w:val="000000"/>
          <w:sz w:val="20"/>
          <w:u w:val="single"/>
        </w:rPr>
        <w:t>Section 2.16(m)</w:t>
      </w:r>
      <w:r>
        <w:rPr>
          <w:rFonts w:ascii="Times New Roman" w:hAnsi="Times New Roman"/>
          <w:color w:val="000000"/>
          <w:sz w:val="20"/>
        </w:rPr>
        <w:t xml:space="preserve"> of the Company Disclosure Schedule sets forth the entity classification of each of the Company’s Subsidiaries for U.S. federal income tax purposes. Neither the Company nor any of its Subsidiaries has made an election or taken any other action to change its federal and state income tax classification from such classification.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(n)          Neither the Company nor any of its Subsidiaries has taken or agreed to take any action that could reasonably be expected to prevent the transactions contemplated in this Agreement from qualifying for the Intended Tax Treatment. After reasonable diligence, to the knowledge of Company, no facts or circumstances exist that could reasonably be expected to prevent the transactions contemplated in this Agreement from qualifying for the Intended Tax Treatment.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For purposes of this </w:t>
      </w:r>
      <w:r>
        <w:rPr>
          <w:rFonts w:ascii="Times New Roman" w:hAnsi="Times New Roman"/>
          <w:color w:val="000000"/>
          <w:sz w:val="20"/>
          <w:u w:val="single"/>
        </w:rPr>
        <w:t>Section 2.16</w:t>
      </w:r>
      <w:r>
        <w:rPr>
          <w:rFonts w:ascii="Times New Roman" w:hAnsi="Times New Roman"/>
          <w:color w:val="000000"/>
          <w:sz w:val="20"/>
        </w:rPr>
        <w:t>, each reference to the Company or any of its Subsidiaries shall be deemed to include any Person that was liquidated into, merged with, or is otherwise a predecessor to, the Company or Subsidiary, as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2.17       </w:t>
      </w:r>
      <w:r>
        <w:rPr>
          <w:rFonts w:ascii="Times New Roman" w:hAnsi="Times New Roman"/>
          <w:b/>
          <w:color w:val="000000"/>
          <w:sz w:val="20"/>
          <w:u w:val="single"/>
        </w:rPr>
        <w:t>Employee and Labor Matters; Benefit Plans.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14" w:name="z_Ref237970959"/>
      <w:bookmarkEnd w:id="414"/>
      <w:r>
        <w:rPr>
          <w:rFonts w:ascii="Times New Roman" w:hAnsi="Times New Roman"/>
          <w:color w:val="000000"/>
          <w:sz w:val="20"/>
        </w:rPr>
        <w:t>(a)          </w:t>
      </w:r>
      <w:r>
        <w:rPr>
          <w:rFonts w:ascii="Times New Roman" w:hAnsi="Times New Roman"/>
          <w:color w:val="000000"/>
          <w:sz w:val="20"/>
          <w:u w:val="single"/>
        </w:rPr>
        <w:t>Section 2.17(a)</w:t>
      </w:r>
      <w:r>
        <w:rPr>
          <w:rFonts w:ascii="Times New Roman" w:hAnsi="Times New Roman"/>
          <w:color w:val="000000"/>
          <w:sz w:val="20"/>
        </w:rPr>
        <w:t xml:space="preserve"> of the Company Disclosure Schedule is a list of all material Company Benefit Plans, other than at-will employment offer letters on the Company’s standard form and other than individual Company Options or other compensatory equity award agreements made pursuant to the Company’s standard forms, in which case only representative standard forms of such agreements shall be </w:t>
      </w:r>
      <w:bookmarkStart w:id="415" w:name="DocXTextRef157"/>
      <w:bookmarkEnd w:id="415"/>
      <w:r>
        <w:rPr>
          <w:rFonts w:ascii="Times New Roman" w:hAnsi="Times New Roman"/>
          <w:color w:val="000000"/>
          <w:sz w:val="20"/>
        </w:rPr>
        <w:t>scheduled. “</w:t>
      </w:r>
      <w:r>
        <w:rPr>
          <w:rFonts w:ascii="Times New Roman" w:hAnsi="Times New Roman"/>
          <w:b/>
          <w:i/>
          <w:color w:val="000000"/>
          <w:sz w:val="20"/>
        </w:rPr>
        <w:t>Company Benefit Plan</w:t>
      </w:r>
      <w:r>
        <w:rPr>
          <w:rFonts w:ascii="Times New Roman" w:hAnsi="Times New Roman"/>
          <w:color w:val="000000"/>
          <w:sz w:val="20"/>
        </w:rPr>
        <w:t xml:space="preserve">” means each </w:t>
      </w:r>
      <w:bookmarkStart w:id="416" w:name="DocXTextRef158"/>
      <w:bookmarkEnd w:id="416"/>
      <w:r>
        <w:rPr>
          <w:rFonts w:ascii="Times New Roman" w:hAnsi="Times New Roman"/>
          <w:color w:val="000000"/>
          <w:sz w:val="20"/>
        </w:rPr>
        <w:t>(i) “employee benefit plan” as defined in Section 3(3) of ERISA and (ii) other pension, retirement, deferred compensation, excess benefit, profit-sharing, bonus, incentive, equity or equity-based, phantom equity, employment, consulting, severance, change-of-control, retention, health, life, disability, group insurance, paid time off, reimbursement, holiday,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the Company for the benefit of any current or former employee, director, officer or independent contractor of the Company (or beneficiary thereof) or under which the Company has any actual or contingent liability (including, without limitation, by reason of having a Company ERISA Affiliate).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17" w:name="z_Ref237970960"/>
      <w:bookmarkEnd w:id="417"/>
      <w:r>
        <w:rPr>
          <w:rFonts w:ascii="Times New Roman" w:hAnsi="Times New Roman"/>
          <w:color w:val="000000"/>
          <w:sz w:val="20"/>
        </w:rPr>
        <w:t xml:space="preserve">(b)          As applicable with respect to each material Company Benefit Plan, the Company has made available to Parent, true and complete copies of </w:t>
      </w:r>
      <w:bookmarkStart w:id="418" w:name="DocXTextRef161"/>
      <w:bookmarkEnd w:id="418"/>
      <w:r>
        <w:rPr>
          <w:rFonts w:ascii="Times New Roman" w:hAnsi="Times New Roman"/>
          <w:color w:val="000000"/>
          <w:sz w:val="20"/>
        </w:rPr>
        <w:t>(i) each material Company Benefit Plan, including all amendments thereto, and in the case of an unwritten material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 w:hAnsi="Times New Roman"/>
          <w:i/>
          <w:color w:val="000000"/>
          <w:sz w:val="20"/>
        </w:rPr>
        <w:t>e.g.</w:t>
      </w:r>
      <w:r>
        <w:rPr>
          <w:rFonts w:ascii="Times New Roman" w:hAnsi="Times New Roman"/>
          <w:color w:val="000000"/>
          <w:sz w:val="20"/>
        </w:rPr>
        <w:t xml:space="preserve">, Form 5500 and all </w:t>
      </w:r>
      <w:bookmarkStart w:id="419" w:name="DocXTextRef160"/>
      <w:bookmarkEnd w:id="419"/>
      <w:r>
        <w:rPr>
          <w:rFonts w:ascii="Times New Roman" w:hAnsi="Times New Roman"/>
          <w:color w:val="000000"/>
          <w:sz w:val="20"/>
        </w:rPr>
        <w:t xml:space="preserve">schedules thereto), </w:t>
      </w:r>
      <w:bookmarkStart w:id="420" w:name="DocXTextRef162"/>
      <w:bookmarkEnd w:id="420"/>
      <w:r>
        <w:rPr>
          <w:rFonts w:ascii="Times New Roman" w:hAnsi="Times New Roman"/>
          <w:color w:val="000000"/>
          <w:sz w:val="20"/>
        </w:rPr>
        <w:t xml:space="preserve">(v) the most recent IRS determination, opinion or advisory letter, (vi) the most recent summary annual reports, nondiscrimination testing reports, actuarial reports, financial statements and trustee reports, (vii) substantiation of ACA Information Reporting on Forms 1094/1095, and (viii) all written notices and filings from the IRS or Department of Labor or other Governmental Body concerning audits or investigations, or “prohibited transactions” within the meaning of Section </w:t>
      </w:r>
      <w:bookmarkStart w:id="421" w:name="DocXTextRef159"/>
      <w:bookmarkEnd w:id="421"/>
      <w:r>
        <w:rPr>
          <w:rFonts w:ascii="Times New Roman" w:hAnsi="Times New Roman"/>
          <w:color w:val="000000"/>
          <w:sz w:val="20"/>
        </w:rPr>
        <w:t>406 of ERISA or Section 4975 of the Code, or other written non-routine correspondence.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22" w:name="z_Ref237970961"/>
      <w:bookmarkEnd w:id="422"/>
      <w:r>
        <w:rPr>
          <w:rFonts w:ascii="Times New Roman" w:hAnsi="Times New Roman"/>
          <w:color w:val="000000"/>
          <w:sz w:val="20"/>
        </w:rPr>
        <w:t>(c)          Each Company Benefit Plan has been maintained, operated and administered in compliance in all material respects with its terms and the applicable provisions of ERISA, the Code and all other Laws.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23" w:name="z_Ref237970962"/>
      <w:bookmarkEnd w:id="423"/>
      <w:r>
        <w:rPr>
          <w:rFonts w:ascii="Times New Roman" w:hAnsi="Times New Roman"/>
          <w:color w:val="000000"/>
          <w:sz w:val="20"/>
        </w:rPr>
        <w:t xml:space="preserve">(d)          The Company Benefit Plans which are “employee pension benefit plans” within the meaning of Section 3(2) of ERISA and which are intended to meet the qualification requirements of Section </w:t>
      </w:r>
      <w:bookmarkStart w:id="424" w:name="DocXTextRef163"/>
      <w:bookmarkEnd w:id="424"/>
      <w:r>
        <w:rPr>
          <w:rFonts w:ascii="Times New Roman" w:hAnsi="Times New Roman"/>
          <w:color w:val="000000"/>
          <w:sz w:val="20"/>
        </w:rPr>
        <w:t xml:space="preserve">401(a) of the Code have received determination or opinion letters from the IRS on which they may currently rely to the effect that such plans are qualified under Section </w:t>
      </w:r>
      <w:bookmarkStart w:id="425" w:name="DocXTextRef164"/>
      <w:bookmarkEnd w:id="425"/>
      <w:r>
        <w:rPr>
          <w:rFonts w:ascii="Times New Roman" w:hAnsi="Times New Roman"/>
          <w:color w:val="000000"/>
          <w:sz w:val="20"/>
        </w:rPr>
        <w:t xml:space="preserve">401(a) of the Code and the related trusts are exempt from federal income Taxes under Section </w:t>
      </w:r>
      <w:bookmarkStart w:id="426" w:name="DocXTextRef165"/>
      <w:bookmarkEnd w:id="426"/>
      <w:r>
        <w:rPr>
          <w:rFonts w:ascii="Times New Roman" w:hAnsi="Times New Roman"/>
          <w:color w:val="000000"/>
          <w:sz w:val="20"/>
        </w:rPr>
        <w:t>501(a) of the Code, respectively, and  to the Knowledge of the Company, nothing has occurred that would reasonably be expected to materially adversely affect the qualification of such Company Benefit Plan or the tax exempt status of the related trust.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27" w:name="z_Ref237970963"/>
      <w:bookmarkEnd w:id="427"/>
      <w:r>
        <w:rPr>
          <w:rFonts w:ascii="Times New Roman" w:hAnsi="Times New Roman"/>
          <w:color w:val="000000"/>
          <w:sz w:val="20"/>
        </w:rPr>
        <w:t xml:space="preserve">(e)          Neither the Company nor any Company ERISA Affiliate maintains, contributes to, is required to contribute to, or has any actual or contingent liability with respect to, </w:t>
      </w:r>
      <w:bookmarkStart w:id="428" w:name="DocXTextRef169"/>
      <w:bookmarkEnd w:id="428"/>
      <w:r>
        <w:rPr>
          <w:rFonts w:ascii="Times New Roman" w:hAnsi="Times New Roman"/>
          <w:color w:val="000000"/>
          <w:sz w:val="20"/>
        </w:rPr>
        <w:t xml:space="preserve">(i) any “employee pension benefit plan” (within the meaning of Section 3(2) of ERISA) that is subject to Title IV or Section </w:t>
      </w:r>
      <w:bookmarkStart w:id="429" w:name="DocXTextRef166"/>
      <w:bookmarkEnd w:id="429"/>
      <w:r>
        <w:rPr>
          <w:rFonts w:ascii="Times New Roman" w:hAnsi="Times New Roman"/>
          <w:color w:val="000000"/>
          <w:sz w:val="20"/>
        </w:rPr>
        <w:t xml:space="preserve">302 of ERISA or Section </w:t>
      </w:r>
      <w:bookmarkStart w:id="430" w:name="DocXTextRef167"/>
      <w:bookmarkEnd w:id="430"/>
      <w:r>
        <w:rPr>
          <w:rFonts w:ascii="Times New Roman" w:hAnsi="Times New Roman"/>
          <w:color w:val="000000"/>
          <w:sz w:val="20"/>
        </w:rPr>
        <w:t xml:space="preserve">412 of the Code, (ii) any “multiemployer plan” (within the meaning of Section 3(37) of ERISA), (iii) any “multiple employer plan” (within the meaning of Section </w:t>
      </w:r>
      <w:bookmarkStart w:id="431" w:name="DocXTextRef168"/>
      <w:bookmarkEnd w:id="431"/>
      <w:r>
        <w:rPr>
          <w:rFonts w:ascii="Times New Roman" w:hAnsi="Times New Roman"/>
          <w:color w:val="000000"/>
          <w:sz w:val="20"/>
        </w:rPr>
        <w:t>413 of the Code) or (iv) any “multiple employer welfare arrangement” (within the meaning of Section 3(40) of ERISA).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(f)          There are no pending audits or investigations by any Governmental Body involving any Company Benefit Plan, and no pending or, to the Knowledge of the Company, threatened claims (except for routine individual claims for benefits payable in the normal operation of the Company Benefit Plans), suits or proceedings involving any Company Benefit Plan, or, to the Knowledge of the Company, any fiduciary thereof or service provider thereto, in any case except as would not be reasonably expected to result in material liability to the Company. All contributions and premium payments required to have been made under any of the Company Benefit Plans or by applicable Law (without regard to any waivers granted under Section </w:t>
      </w:r>
      <w:bookmarkStart w:id="432" w:name="DocXTextRef170"/>
      <w:bookmarkEnd w:id="432"/>
      <w:r>
        <w:rPr>
          <w:rFonts w:ascii="Times New Roman" w:hAnsi="Times New Roman"/>
          <w:color w:val="000000"/>
          <w:sz w:val="20"/>
        </w:rPr>
        <w:t>412 of the Code), have been timely made and the Company has no material liability for any unpaid contributions with respect to any Company Benefit Plan. Neither the Company, nor any Company Benefit Plan, is liable for, nor reasonably expected to be liable for, any excise tax or penalty under ERISA or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33" w:name="z_Ref237970965"/>
      <w:bookmarkEnd w:id="433"/>
      <w:r>
        <w:rPr>
          <w:rFonts w:ascii="Times New Roman" w:hAnsi="Times New Roman"/>
          <w:color w:val="000000"/>
          <w:sz w:val="20"/>
        </w:rPr>
        <w:t xml:space="preserve">(g)          None of the Company, any Company ERISA Affiliate or, to the Knowledge of the Company, any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w:t>
      </w:r>
      <w:bookmarkStart w:id="434" w:name="DocXTextRef171"/>
      <w:bookmarkEnd w:id="434"/>
      <w:r>
        <w:rPr>
          <w:rFonts w:ascii="Times New Roman" w:hAnsi="Times New Roman"/>
          <w:color w:val="000000"/>
          <w:sz w:val="20"/>
        </w:rPr>
        <w:t>406 of ERISA or Section 4975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35" w:name="z_Ref237970966"/>
      <w:bookmarkEnd w:id="435"/>
      <w:r>
        <w:rPr>
          <w:rFonts w:ascii="Times New Roman" w:hAnsi="Times New Roman"/>
          <w:color w:val="000000"/>
          <w:sz w:val="20"/>
        </w:rPr>
        <w:t>(h)          No Company Benefit Plan provides death, medical, dental, vision, life insurance, disability or other welfare benefits beyond termination of service or retirement other than coverage mandated by Law and, to the Knowledge of the Company, the Company has not made a written representation promising the same.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36" w:name="z_Ref237970967"/>
      <w:bookmarkEnd w:id="436"/>
      <w:r>
        <w:rPr>
          <w:rFonts w:ascii="Times New Roman" w:hAnsi="Times New Roman"/>
          <w:color w:val="000000"/>
          <w:sz w:val="20"/>
        </w:rPr>
        <w:t xml:space="preserve">(i)          Each Company Benefit Plan that is a “nonqualified deferred compensation plan” within the meaning of </w:t>
      </w:r>
      <w:bookmarkStart w:id="437" w:name="DocXTextRef172"/>
      <w:bookmarkEnd w:id="437"/>
      <w:r>
        <w:rPr>
          <w:rFonts w:ascii="Times New Roman" w:hAnsi="Times New Roman"/>
          <w:color w:val="000000"/>
          <w:sz w:val="20"/>
        </w:rPr>
        <w:t xml:space="preserve">Section 409A of the Code to which the Company or any Affiliate thereof is a party has been administered and operated in documentary and operational compliance with the provisions of </w:t>
      </w:r>
      <w:bookmarkStart w:id="438" w:name="DocXTextRef173"/>
      <w:bookmarkEnd w:id="438"/>
      <w:r>
        <w:rPr>
          <w:rFonts w:ascii="Times New Roman" w:hAnsi="Times New Roman"/>
          <w:color w:val="000000"/>
          <w:sz w:val="20"/>
        </w:rPr>
        <w:t xml:space="preserve">Section 409A of the Code and the Treasury Regulations thereunder in all material respects, and no additional tax under Section </w:t>
      </w:r>
      <w:bookmarkStart w:id="439" w:name="DocXTextRef174"/>
      <w:bookmarkEnd w:id="439"/>
      <w:r>
        <w:rPr>
          <w:rFonts w:ascii="Times New Roman" w:hAnsi="Times New Roman"/>
          <w:color w:val="000000"/>
          <w:sz w:val="20"/>
        </w:rPr>
        <w:t>409A(a)(1)(B) of the Code has been or could reasonably be expected to be incurred by a participant in any such Company Benefit Plan.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40" w:name="z_Ref237970968"/>
      <w:bookmarkEnd w:id="440"/>
      <w:r>
        <w:rPr>
          <w:rFonts w:ascii="Times New Roman" w:hAnsi="Times New Roman"/>
          <w:color w:val="000000"/>
          <w:sz w:val="20"/>
        </w:rPr>
        <w:t xml:space="preserve">(j)          Neither the execution of this Agreement, nor the performance of the Contemplated Transactions (either alone or when combined with the occurrence of any other event, including without limitation, a termination of employment), will: </w:t>
      </w:r>
      <w:bookmarkStart w:id="441" w:name="DocXTextRef175"/>
      <w:bookmarkEnd w:id="441"/>
      <w:r>
        <w:rPr>
          <w:rFonts w:ascii="Times New Roman" w:hAnsi="Times New Roman"/>
          <w:color w:val="000000"/>
          <w:sz w:val="20"/>
        </w:rPr>
        <w:t xml:space="preserve">(i) result in any payment becoming due to any current or former employee, director, officer, or independent contractor of the Company thereof, pursuant to any Company Benefit Plan (ii) increase any amount of compensation or benefits otherwise payable under any Company Benefit Plan, (iii) result in the acceleration of the time of payment, funding or vesting of any benefits under any Company Benefit Plan, (iv) require any contribution or payment to fund any obligation under any Company Benefit Plan or </w:t>
      </w:r>
      <w:bookmarkStart w:id="442" w:name="DocXTextRef176"/>
      <w:bookmarkEnd w:id="442"/>
      <w:r>
        <w:rPr>
          <w:rFonts w:ascii="Times New Roman" w:hAnsi="Times New Roman"/>
          <w:color w:val="000000"/>
          <w:sz w:val="20"/>
        </w:rPr>
        <w:t>(v) limit the right to merge, amend or terminate any Company Benefit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(k)          Except as set forth in </w:t>
      </w:r>
      <w:r>
        <w:rPr>
          <w:rFonts w:ascii="Times New Roman" w:hAnsi="Times New Roman"/>
          <w:color w:val="000000"/>
          <w:sz w:val="20"/>
          <w:u w:val="single"/>
        </w:rPr>
        <w:t>Section 2.17(a)</w:t>
      </w:r>
      <w:r>
        <w:rPr>
          <w:rFonts w:ascii="Times New Roman" w:hAnsi="Times New Roman"/>
          <w:color w:val="000000"/>
          <w:sz w:val="20"/>
        </w:rPr>
        <w:t xml:space="preserve"> of the Company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w:t>
      </w:r>
      <w:bookmarkStart w:id="443" w:name="DocXTextRef177"/>
      <w:bookmarkEnd w:id="443"/>
      <w:r>
        <w:rPr>
          <w:rFonts w:ascii="Times New Roman" w:hAnsi="Times New Roman"/>
          <w:color w:val="000000"/>
          <w:sz w:val="20"/>
        </w:rPr>
        <w:t xml:space="preserve">Section 280G of the Code) with respect to the Company of any payment or benefit that is or could be characterized as a “parachute payment” (within the meaning of </w:t>
      </w:r>
      <w:bookmarkStart w:id="444" w:name="DocXTextRef178"/>
      <w:bookmarkEnd w:id="444"/>
      <w:r>
        <w:rPr>
          <w:rFonts w:ascii="Times New Roman" w:hAnsi="Times New Roman"/>
          <w:color w:val="000000"/>
          <w:sz w:val="20"/>
        </w:rPr>
        <w:t xml:space="preserve">Section 280G of the Code), determined without regard to the application of Section </w:t>
      </w:r>
      <w:bookmarkStart w:id="445" w:name="DocXTextRef179"/>
      <w:bookmarkEnd w:id="445"/>
      <w:r>
        <w:rPr>
          <w:rFonts w:ascii="Times New Roman" w:hAnsi="Times New Roman"/>
          <w:color w:val="000000"/>
          <w:sz w:val="20"/>
        </w:rPr>
        <w:t>280G(b)(5)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46" w:name="z_Ref237970970"/>
      <w:bookmarkEnd w:id="446"/>
      <w:r>
        <w:rPr>
          <w:rFonts w:ascii="Times New Roman" w:hAnsi="Times New Roman"/>
          <w:color w:val="000000"/>
          <w:sz w:val="20"/>
        </w:rPr>
        <w:t xml:space="preserve">(l)          No current or former employee, officer, director or independent contractor of the Company has any “gross up” agreements with the Company or other assurance of reimbursement by the Company for any Taxes imposed under </w:t>
      </w:r>
      <w:bookmarkStart w:id="447" w:name="DocXTextRef181"/>
      <w:bookmarkEnd w:id="447"/>
      <w:r>
        <w:rPr>
          <w:rFonts w:ascii="Times New Roman" w:hAnsi="Times New Roman"/>
          <w:color w:val="000000"/>
          <w:sz w:val="20"/>
        </w:rPr>
        <w:t>Section 409A of the Code or Section 4999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48" w:name="z_Ref237970971"/>
      <w:bookmarkEnd w:id="448"/>
      <w:r>
        <w:rPr>
          <w:rFonts w:ascii="Times New Roman" w:hAnsi="Times New Roman"/>
          <w:color w:val="000000"/>
          <w:sz w:val="20"/>
        </w:rPr>
        <w:t>(m)         The Company does not maintain any Company Benefit Plan for the benefit of any service providers located outside of the United States.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49" w:name="z_Ref237970972"/>
      <w:bookmarkEnd w:id="449"/>
      <w:r>
        <w:rPr>
          <w:rFonts w:ascii="Times New Roman" w:hAnsi="Times New Roman"/>
          <w:color w:val="000000"/>
          <w:sz w:val="20"/>
        </w:rPr>
        <w:t xml:space="preserve">(n)          The Company has provided to Parent a true and correct list, as of the date of this Agreement, containing the names of all current full-time, part-time or temporary employees and independent contractors (and indication as such), and, as applicable: </w:t>
      </w:r>
      <w:bookmarkStart w:id="450" w:name="DocXTextRef182"/>
      <w:bookmarkEnd w:id="450"/>
      <w:r>
        <w:rPr>
          <w:rFonts w:ascii="Times New Roman" w:hAnsi="Times New Roman"/>
          <w:color w:val="000000"/>
          <w:sz w:val="20"/>
        </w:rPr>
        <w:t xml:space="preserve">(i) the annual dollar amount of all cash compensation in the form of wages or salary payable to each person; (ii) dates of employment or service; (iii) title and, with respect to independent contractors, a current written description of such person’s contracting services; (iv) visa status, if applicable; and </w:t>
      </w:r>
      <w:bookmarkStart w:id="451" w:name="DocXTextRef183"/>
      <w:bookmarkEnd w:id="451"/>
      <w:r>
        <w:rPr>
          <w:rFonts w:ascii="Times New Roman" w:hAnsi="Times New Roman"/>
          <w:color w:val="000000"/>
          <w:sz w:val="20"/>
        </w:rPr>
        <w:t xml:space="preserve">(v) with respect to employees, </w:t>
      </w:r>
      <w:bookmarkStart w:id="452" w:name="DocXTextRef184"/>
      <w:bookmarkEnd w:id="452"/>
      <w:r>
        <w:rPr>
          <w:rFonts w:ascii="Times New Roman" w:hAnsi="Times New Roman"/>
          <w:color w:val="000000"/>
          <w:sz w:val="20"/>
        </w:rPr>
        <w:t>(A) a designation of whether they are classified as exempt or non-exempt for purposes of the Fair Labor Standards Act, as amended (“</w:t>
      </w:r>
      <w:r>
        <w:rPr>
          <w:rFonts w:ascii="Times New Roman" w:hAnsi="Times New Roman"/>
          <w:b/>
          <w:i/>
          <w:color w:val="000000"/>
          <w:sz w:val="20"/>
        </w:rPr>
        <w:t>FLSA</w:t>
      </w:r>
      <w:r>
        <w:rPr>
          <w:rFonts w:ascii="Times New Roman" w:hAnsi="Times New Roman"/>
          <w:color w:val="000000"/>
          <w:sz w:val="20"/>
        </w:rPr>
        <w:t xml:space="preserve">”) and any similar state, federal or ex-U.S. law and </w:t>
      </w:r>
      <w:bookmarkStart w:id="453" w:name="DocXTextRef185"/>
      <w:bookmarkEnd w:id="453"/>
      <w:r>
        <w:rPr>
          <w:rFonts w:ascii="Times New Roman" w:hAnsi="Times New Roman"/>
          <w:color w:val="000000"/>
          <w:sz w:val="20"/>
        </w:rPr>
        <w:t>(B) whether such an employee is on leave and, if so, the expected return date.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54" w:name="z_Ref237970973"/>
      <w:bookmarkEnd w:id="454"/>
      <w:r>
        <w:rPr>
          <w:rFonts w:ascii="Times New Roman" w:hAnsi="Times New Roman"/>
          <w:color w:val="000000"/>
          <w:sz w:val="20"/>
        </w:rPr>
        <w:t>(o)          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including through the filing of a petition for representation election. There is not and has not been since June 18, 2024, nor, to the Knowledge of the Company, is there or has there been since June 18, 2024 any threat of, any strike, slowdown, work stoppage, lockout, union election petition, demand for recognition, or any similar activity or dispute or any union organizing activity, affecting the Company.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55" w:name="z_Ref237970974"/>
      <w:bookmarkEnd w:id="455"/>
      <w:r>
        <w:rPr>
          <w:rFonts w:ascii="Times New Roman" w:hAnsi="Times New Roman"/>
          <w:color w:val="000000"/>
          <w:sz w:val="20"/>
        </w:rPr>
        <w:t>(p)          The Company is, and for the prior three years has been, in material compliance with all applicable Laws respecting labor, employment, employment practices, and terms and conditions of employment, including worker classification, contractor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with respect to employees of the Company, the Company has withheld and reported all material amounts required by Law to be withheld and reported with respect to wages, salaries and other payments, benefits, or compensation to employees. There is no material Legal Proceeding pending or, to the Knowledge of the Company, threatened or reasonably anticipated against the Company relating to any current or former employee, applicant for employment, or consultant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(q)          Since June 18, 2024, the Company has complied in all material respects with the WARN Act.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56" w:name="z_Toc240403042"/>
      <w:bookmarkStart w:id="457" w:name="z_Ref237970976"/>
      <w:bookmarkEnd w:id="456"/>
      <w:bookmarkEnd w:id="457"/>
      <w:r>
        <w:rPr>
          <w:rFonts w:ascii="Times New Roman" w:hAnsi="Times New Roman"/>
          <w:color w:val="000000"/>
          <w:sz w:val="20"/>
        </w:rPr>
        <w:t xml:space="preserve">2.18       </w:t>
      </w:r>
      <w:r>
        <w:rPr>
          <w:rFonts w:ascii="Times New Roman" w:hAnsi="Times New Roman"/>
          <w:b/>
          <w:color w:val="000000"/>
          <w:sz w:val="20"/>
          <w:u w:val="single"/>
        </w:rPr>
        <w:t>Environmental Matters</w:t>
      </w:r>
      <w:r>
        <w:rPr>
          <w:rFonts w:ascii="Times New Roman" w:hAnsi="Times New Roman"/>
          <w:color w:val="000000"/>
          <w:sz w:val="20"/>
        </w:rPr>
        <w:t>. The Company is and since June 18, 2024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June 18, 2024 any written notice or other communication (in writing or otherwise), whether from a Governmental Body or other Person, that alleges that the Company is not in compliance with or has liability pursuant to any Environmental Law and, to the Knowledge of the Company,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 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Prior to the date hereof, the Company has provided or otherwise made available to Parent true and correct copies of all material environmental reports, assessments, studies and audits in the possession or control of the Company with respect to any property leased or controlled by the Company or any business operated by it.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58" w:name="z_Toc240403043"/>
      <w:bookmarkStart w:id="459" w:name="z_Ref237970977"/>
      <w:bookmarkEnd w:id="458"/>
      <w:bookmarkEnd w:id="459"/>
      <w:r>
        <w:rPr>
          <w:rFonts w:ascii="Times New Roman" w:hAnsi="Times New Roman"/>
          <w:color w:val="000000"/>
          <w:sz w:val="20"/>
        </w:rPr>
        <w:t xml:space="preserve">2.19       </w:t>
      </w:r>
      <w:r>
        <w:rPr>
          <w:rFonts w:ascii="Times New Roman" w:hAnsi="Times New Roman"/>
          <w:b/>
          <w:color w:val="000000"/>
          <w:sz w:val="20"/>
          <w:u w:val="single"/>
        </w:rPr>
        <w:t>Insurance</w:t>
      </w:r>
      <w:r>
        <w:rPr>
          <w:rFonts w:ascii="Times New Roman" w:hAnsi="Times New Roman"/>
          <w:color w:val="000000"/>
          <w:sz w:val="20"/>
        </w:rPr>
        <w:t xml:space="preserve">.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June 18, 2024, the Company has not received any notice or other communication regarding any actual or possible: </w:t>
      </w:r>
      <w:bookmarkStart w:id="460" w:name="DocXTextRef186"/>
      <w:bookmarkEnd w:id="460"/>
      <w:r>
        <w:rPr>
          <w:rFonts w:ascii="Times New Roman" w:hAnsi="Times New Roman"/>
          <w:color w:val="000000"/>
          <w:sz w:val="20"/>
        </w:rPr>
        <w:t xml:space="preserve">(a) cancellation or invalidation of any insurance policy; or </w:t>
      </w:r>
      <w:bookmarkStart w:id="461" w:name="DocXTextRef187"/>
      <w:bookmarkEnd w:id="461"/>
      <w:r>
        <w:rPr>
          <w:rFonts w:ascii="Times New Roman" w:hAnsi="Times New Roman"/>
          <w:color w:val="000000"/>
          <w:sz w:val="20"/>
        </w:rPr>
        <w:t>(b)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2.20       </w:t>
      </w:r>
      <w:r>
        <w:rPr>
          <w:rFonts w:ascii="Times New Roman" w:hAnsi="Times New Roman"/>
          <w:b/>
          <w:color w:val="000000"/>
          <w:sz w:val="20"/>
          <w:u w:val="single"/>
        </w:rPr>
        <w:t>No Financial Advisors</w:t>
      </w:r>
      <w:r>
        <w:rPr>
          <w:rFonts w:ascii="Times New Roman" w:hAnsi="Times New Roman"/>
          <w:color w:val="000000"/>
          <w:sz w:val="20"/>
        </w:rPr>
        <w:t xml:space="preserve">. Except as set forth in </w:t>
      </w:r>
      <w:r>
        <w:rPr>
          <w:rFonts w:ascii="Times New Roman" w:hAnsi="Times New Roman"/>
          <w:color w:val="000000"/>
          <w:sz w:val="20"/>
          <w:u w:val="single"/>
        </w:rPr>
        <w:t>Section 2.20</w:t>
      </w:r>
      <w:r>
        <w:rPr>
          <w:rFonts w:ascii="Times New Roman" w:hAnsi="Times New Roman"/>
          <w:color w:val="000000"/>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62" w:name="z_Toc240403045"/>
      <w:bookmarkStart w:id="463" w:name="z_Ref237970979"/>
      <w:bookmarkEnd w:id="462"/>
      <w:bookmarkEnd w:id="463"/>
      <w:r>
        <w:rPr>
          <w:rFonts w:ascii="Times New Roman" w:hAnsi="Times New Roman"/>
          <w:color w:val="000000"/>
          <w:sz w:val="20"/>
        </w:rPr>
        <w:t xml:space="preserve">2.21        </w:t>
      </w:r>
      <w:r>
        <w:rPr>
          <w:rFonts w:ascii="Times New Roman" w:hAnsi="Times New Roman"/>
          <w:b/>
          <w:color w:val="000000"/>
          <w:sz w:val="20"/>
          <w:u w:val="single"/>
        </w:rPr>
        <w:t>Transactions with Affiliates.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64" w:name="z_Ref237970980"/>
      <w:bookmarkEnd w:id="464"/>
      <w:r>
        <w:rPr>
          <w:rFonts w:ascii="Times New Roman" w:hAnsi="Times New Roman"/>
          <w:color w:val="000000"/>
          <w:sz w:val="20"/>
        </w:rPr>
        <w:t>(a)          </w:t>
      </w:r>
      <w:r>
        <w:rPr>
          <w:rFonts w:ascii="Times New Roman" w:hAnsi="Times New Roman"/>
          <w:color w:val="000000"/>
          <w:sz w:val="20"/>
          <w:u w:val="single"/>
        </w:rPr>
        <w:t>Section 2.21(a)</w:t>
      </w:r>
      <w:r>
        <w:rPr>
          <w:rFonts w:ascii="Times New Roman" w:hAnsi="Times New Roman"/>
          <w:color w:val="000000"/>
          <w:sz w:val="20"/>
        </w:rPr>
        <w:t xml:space="preserve"> of the Company Disclosure Schedule describes any material transactions or relationships, since January 1, 2023, between, on one hand, the Company and, on the other hand, any </w:t>
      </w:r>
      <w:bookmarkStart w:id="465" w:name="DocXTextRef192"/>
      <w:bookmarkEnd w:id="465"/>
      <w:r>
        <w:rPr>
          <w:rFonts w:ascii="Times New Roman" w:hAnsi="Times New Roman"/>
          <w:color w:val="000000"/>
          <w:sz w:val="20"/>
        </w:rPr>
        <w:t xml:space="preserve">(i) officer or director of the Company or, to the Knowledge of the Company, any of such officer’s or director’s immediate family members, (ii) owner of more than 5% of the voting power of the outstanding Company Capital Stock or (iii) to the Knowledge of the Company, any “related person” (within the meaning of Item </w:t>
      </w:r>
      <w:bookmarkStart w:id="466" w:name="DocXTextRef190"/>
      <w:bookmarkEnd w:id="466"/>
      <w:r>
        <w:rPr>
          <w:rFonts w:ascii="Times New Roman" w:hAnsi="Times New Roman"/>
          <w:color w:val="000000"/>
          <w:sz w:val="20"/>
        </w:rPr>
        <w:t xml:space="preserve">404 of Regulation S-K under the Securities Act) of any such officer, director or owner (other than the Company) in the case of each of </w:t>
      </w:r>
      <w:bookmarkStart w:id="467" w:name="DocXTextRef193"/>
      <w:bookmarkEnd w:id="467"/>
      <w:r>
        <w:rPr>
          <w:rFonts w:ascii="Times New Roman" w:hAnsi="Times New Roman"/>
          <w:color w:val="000000"/>
          <w:sz w:val="20"/>
        </w:rPr>
        <w:t xml:space="preserve">(i), (ii) or (iii) that is of the type that would be required to be disclosed under Item </w:t>
      </w:r>
      <w:bookmarkStart w:id="468" w:name="DocXTextRef191"/>
      <w:bookmarkEnd w:id="468"/>
      <w:r>
        <w:rPr>
          <w:rFonts w:ascii="Times New Roman" w:hAnsi="Times New Roman"/>
          <w:color w:val="000000"/>
          <w:sz w:val="20"/>
        </w:rPr>
        <w:t>404 of Regulation S-K under the Securities Act.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69" w:name="z_Ref237970981"/>
      <w:bookmarkEnd w:id="469"/>
      <w:r>
        <w:rPr>
          <w:rFonts w:ascii="Times New Roman" w:hAnsi="Times New Roman"/>
          <w:color w:val="000000"/>
          <w:sz w:val="20"/>
        </w:rPr>
        <w:t>(b)          </w:t>
      </w:r>
      <w:r>
        <w:rPr>
          <w:rFonts w:ascii="Times New Roman" w:hAnsi="Times New Roman"/>
          <w:color w:val="000000"/>
          <w:sz w:val="20"/>
          <w:u w:val="single"/>
        </w:rPr>
        <w:t>Section 2.21(a)</w:t>
      </w:r>
      <w:r>
        <w:rPr>
          <w:rFonts w:ascii="Times New Roman" w:hAnsi="Times New Roman"/>
          <w:color w:val="000000"/>
          <w:sz w:val="20"/>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Times New Roman" w:hAnsi="Times New Roman"/>
          <w:b/>
          <w:i/>
          <w:color w:val="000000"/>
          <w:sz w:val="20"/>
        </w:rPr>
        <w:t>Investor Agreements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70" w:name="z_Toc240403046"/>
      <w:bookmarkStart w:id="471" w:name="z_Ref237973601"/>
      <w:bookmarkStart w:id="472" w:name="z_Ref237970982"/>
      <w:bookmarkEnd w:id="470"/>
      <w:bookmarkEnd w:id="471"/>
      <w:bookmarkEnd w:id="472"/>
      <w:r>
        <w:rPr>
          <w:rFonts w:ascii="Times New Roman" w:hAnsi="Times New Roman"/>
          <w:color w:val="000000"/>
          <w:sz w:val="20"/>
        </w:rPr>
        <w:t xml:space="preserve">2.22       </w:t>
      </w:r>
      <w:r>
        <w:rPr>
          <w:rFonts w:ascii="Times New Roman" w:hAnsi="Times New Roman"/>
          <w:b/>
          <w:color w:val="000000"/>
          <w:sz w:val="20"/>
          <w:u w:val="single"/>
        </w:rPr>
        <w:t>Anti-Bribery</w:t>
      </w:r>
      <w:r>
        <w:rPr>
          <w:rFonts w:ascii="Times New Roman" w:hAnsi="Times New Roman"/>
          <w:color w:val="000000"/>
          <w:sz w:val="20"/>
        </w:rPr>
        <w:t>. None of the Company nor any of its directors, officers, employees or, to the Company’s Knowledge, agents or any other Person acting on their behalf (in each in their 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 w:hAnsi="Times New Roman"/>
          <w:b/>
          <w:i/>
          <w:color w:val="000000"/>
          <w:sz w:val="20"/>
        </w:rPr>
        <w:t>Anti-Bribery Laws</w:t>
      </w:r>
      <w:r>
        <w:rPr>
          <w:rFonts w:ascii="Times New Roman" w:hAnsi="Times New Roman"/>
          <w:color w:val="000000"/>
          <w:sz w:val="20"/>
        </w:rPr>
        <w:t>”). The Company is not, nor has ever been, the subject of any investigation or inquiry by any Governmental Body with respect to potential violations of Anti-Bribery Laws.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73" w:name="z_Toc240403047"/>
      <w:bookmarkStart w:id="474" w:name="z_Ref238282262"/>
      <w:bookmarkEnd w:id="473"/>
      <w:bookmarkEnd w:id="474"/>
      <w:r>
        <w:rPr>
          <w:rFonts w:ascii="Times New Roman" w:hAnsi="Times New Roman"/>
          <w:color w:val="000000"/>
          <w:sz w:val="20"/>
        </w:rPr>
        <w:t xml:space="preserve">2.23        </w:t>
      </w:r>
      <w:r>
        <w:rPr>
          <w:rFonts w:ascii="Times New Roman" w:hAnsi="Times New Roman"/>
          <w:b/>
          <w:color w:val="000000"/>
          <w:sz w:val="20"/>
          <w:u w:val="single"/>
        </w:rPr>
        <w:t>Export Control and Sanctions Compliance</w:t>
      </w:r>
      <w:r>
        <w:rPr>
          <w:rFonts w:ascii="Times New Roman" w:hAnsi="Times New Roman"/>
          <w:color w:val="000000"/>
          <w:sz w:val="20"/>
        </w:rPr>
        <w:t>. The Company has conducted its business in compliance with U.S. export and re-export controls, sanctions, and anti-boycott laws and regulations, including the Export Administration Act and Regulations, the Foreign Assets Control Regulations, the International Traffic in Arms Regulations, other controls administered by the United States Department of Commerce or the United States Department of State, the regulations administered by the Office of Foreign Assets Control of the U.S. Treasury Department (“</w:t>
      </w:r>
      <w:r>
        <w:rPr>
          <w:rFonts w:ascii="Times New Roman" w:hAnsi="Times New Roman"/>
          <w:b/>
          <w:i/>
          <w:color w:val="000000"/>
          <w:sz w:val="20"/>
        </w:rPr>
        <w:t>OFAC</w:t>
      </w:r>
      <w:r>
        <w:rPr>
          <w:rFonts w:ascii="Times New Roman" w:hAnsi="Times New Roman"/>
          <w:color w:val="000000"/>
          <w:sz w:val="20"/>
        </w:rPr>
        <w:t>”), and all other applicable import/export controls and sanctions laws and regulations in other countries in which the Company conducts business (collectively, “</w:t>
      </w:r>
      <w:r>
        <w:rPr>
          <w:rFonts w:ascii="Times New Roman" w:hAnsi="Times New Roman"/>
          <w:b/>
          <w:i/>
          <w:color w:val="000000"/>
          <w:sz w:val="20"/>
        </w:rPr>
        <w:t>Trade Laws</w:t>
      </w:r>
      <w:r>
        <w:rPr>
          <w:rFonts w:ascii="Times New Roman" w:hAnsi="Times New Roman"/>
          <w:color w:val="000000"/>
          <w:sz w:val="20"/>
        </w:rPr>
        <w:t>”). Since June 18, 2024, the Company and the Company Subsidiary have not engaged in any direct or indirect transactions or dealings with (a) any country or territory that is, or has been, subject to a U.S. Government embargo (including, Cuba, Iran, North Korea, Syria (prior to July 1, 2025), and the Crimea, so-called Donetsk People’s Republic, and so-called Luhansk People’s Republic) (collectively, the “</w:t>
      </w:r>
      <w:r>
        <w:rPr>
          <w:rFonts w:ascii="Times New Roman" w:hAnsi="Times New Roman"/>
          <w:b/>
          <w:i/>
          <w:color w:val="000000"/>
          <w:sz w:val="20"/>
        </w:rPr>
        <w:t>Embargoed Countries</w:t>
      </w:r>
      <w:r>
        <w:rPr>
          <w:rFonts w:ascii="Times New Roman" w:hAnsi="Times New Roman"/>
          <w:color w:val="000000"/>
          <w:sz w:val="20"/>
        </w:rPr>
        <w:t>”); (b) any instrumentality, agent, entity, or individual that is located in, or acting on behalf of, or directly or indirectly owned or controlled by any Governmental Body of, any Embargoed Country; or (c) any individual or entity identified on, or 50% or more owned (individually or in the aggregate) or otherwise controlled by persons identified on, any list of designated and prohibited parties maintained by the U.S. Government, the United Kingdom, or the European Union, including, but not limited to, the List of Specially Designated Nationals and Blocked Persons, the Foreign Sanctions Evaders List, or the Sectoral Sanctions Identifications List, which are maintained by OFAC, or the Entity List, Denied Persons List, or Unverified List, which are maintained by the Bureau of Industry and Security of the U.S. Commerce Department (a “</w:t>
      </w:r>
      <w:r>
        <w:rPr>
          <w:rFonts w:ascii="Times New Roman" w:hAnsi="Times New Roman"/>
          <w:b/>
          <w:i/>
          <w:color w:val="000000"/>
          <w:sz w:val="20"/>
        </w:rPr>
        <w:t>Sanctioned Party</w:t>
      </w:r>
      <w:r>
        <w:rPr>
          <w:rFonts w:ascii="Times New Roman" w:hAnsi="Times New Roman"/>
          <w:color w:val="000000"/>
          <w:sz w:val="20"/>
        </w:rPr>
        <w:t>”). The Company and the Company Subsidiary are not, nor have they since June 18, 2024, been, the subject of any investigation, prosecution, inquiry, or enforcement action by, or made any voluntary disclosures to, any Governmental Body with respect to potential violations of Trade Laws.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2.24       </w:t>
      </w:r>
      <w:r>
        <w:rPr>
          <w:rFonts w:ascii="Times New Roman" w:hAnsi="Times New Roman"/>
          <w:b/>
          <w:color w:val="000000"/>
          <w:sz w:val="20"/>
          <w:u w:val="single"/>
        </w:rPr>
        <w:t>Disclaimer of Other Representations or Warranties.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75" w:name="z_Ref237970984"/>
      <w:bookmarkEnd w:id="475"/>
      <w:r>
        <w:rPr>
          <w:rFonts w:ascii="Times New Roman" w:hAnsi="Times New Roman"/>
          <w:color w:val="000000"/>
          <w:sz w:val="20"/>
        </w:rPr>
        <w:t xml:space="preserve">(a)          Except as previously set forth in this </w:t>
      </w:r>
      <w:r>
        <w:rPr>
          <w:rFonts w:ascii="Times New Roman" w:hAnsi="Times New Roman"/>
          <w:color w:val="000000"/>
          <w:sz w:val="20"/>
          <w:u w:val="single"/>
        </w:rPr>
        <w:t>Section 2</w:t>
      </w:r>
      <w:r>
        <w:rPr>
          <w:rFonts w:ascii="Times New Roman" w:hAnsi="Times New Roman"/>
          <w:color w:val="000000"/>
          <w:sz w:val="20"/>
        </w:rPr>
        <w:t xml:space="preserve"> or in any certificate delivered by the Company to Parent and/or Merger Subs pursuant to this Agreement, the Company makes no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76" w:name="z_Ref237970985"/>
      <w:bookmarkEnd w:id="476"/>
      <w:r>
        <w:rPr>
          <w:rFonts w:ascii="Times New Roman" w:hAnsi="Times New Roman"/>
          <w:color w:val="000000"/>
          <w:sz w:val="20"/>
        </w:rPr>
        <w:t xml:space="preserve">(b)          The Company acknowledges and agrees that, except for the representations and warranties of Parent and Merger Subs set forth in </w:t>
      </w:r>
      <w:r>
        <w:rPr>
          <w:rFonts w:ascii="Times New Roman" w:hAnsi="Times New Roman"/>
          <w:color w:val="000000"/>
          <w:sz w:val="20"/>
          <w:u w:val="single"/>
        </w:rPr>
        <w:t>Section 3</w:t>
      </w:r>
      <w:r>
        <w:rPr>
          <w:rFonts w:ascii="Times New Roman" w:hAnsi="Times New Roman"/>
          <w:color w:val="000000"/>
          <w:sz w:val="20"/>
        </w:rPr>
        <w:t xml:space="preserve"> or in any certificate delivered by Parent and/or Merger Subs to the Company pursuant to this Agreement, none of Parent, Merger Subs or any of their respective Representatives is relying on any other representation or warranty of Parent or any other Person made outside of </w:t>
      </w:r>
      <w:r>
        <w:rPr>
          <w:rFonts w:ascii="Times New Roman" w:hAnsi="Times New Roman"/>
          <w:color w:val="000000"/>
          <w:sz w:val="20"/>
          <w:u w:val="single"/>
        </w:rPr>
        <w:t>Section 3</w:t>
      </w:r>
      <w:r>
        <w:rPr>
          <w:rFonts w:ascii="Times New Roman" w:hAnsi="Times New Roman"/>
          <w:color w:val="000000"/>
          <w:sz w:val="20"/>
        </w:rPr>
        <w:t xml:space="preserve"> or such certificate, including regarding the accuracy or completeness of any such other representations or warranties or the omission of any material information, whether express or implied, in each case, with respect to the Contemplated Transactions.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color w:val="000000"/>
          <w:sz w:val="20"/>
        </w:rPr>
      </w:pPr>
      <w:bookmarkStart w:id="477" w:name="z_Toc240403049"/>
      <w:bookmarkStart w:id="478" w:name="z_Ref237974238"/>
      <w:bookmarkStart w:id="479" w:name="z_Ref237972234"/>
      <w:bookmarkStart w:id="480" w:name="z_Ref237972207"/>
      <w:bookmarkStart w:id="481" w:name="z_Ref237970986"/>
      <w:bookmarkEnd w:id="477"/>
      <w:bookmarkEnd w:id="478"/>
      <w:bookmarkEnd w:id="479"/>
      <w:bookmarkEnd w:id="480"/>
      <w:bookmarkEnd w:id="481"/>
      <w:r>
        <w:rPr>
          <w:rFonts w:ascii="Times New Roman" w:hAnsi="Times New Roman"/>
          <w:b/>
          <w:color w:val="000000"/>
          <w:sz w:val="20"/>
        </w:rPr>
        <w:t>SECTION 3.       REPRESENTATIONS AND WARRANTIES OF PARENT AND MERGER SUBS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Subject to </w:t>
      </w:r>
      <w:r>
        <w:rPr>
          <w:rFonts w:ascii="Times New Roman" w:hAnsi="Times New Roman"/>
          <w:color w:val="000000"/>
          <w:sz w:val="20"/>
          <w:u w:val="single"/>
        </w:rPr>
        <w:t>Section 8.13(h)</w:t>
      </w:r>
      <w:r>
        <w:rPr>
          <w:rFonts w:ascii="Times New Roman" w:hAnsi="Times New Roman"/>
          <w:color w:val="000000"/>
          <w:sz w:val="20"/>
        </w:rPr>
        <w:t xml:space="preserve">, except </w:t>
      </w:r>
      <w:bookmarkStart w:id="482" w:name="DocXTextRef206"/>
      <w:bookmarkEnd w:id="482"/>
      <w:r>
        <w:rPr>
          <w:rFonts w:ascii="Times New Roman" w:hAnsi="Times New Roman"/>
          <w:color w:val="000000"/>
          <w:sz w:val="20"/>
        </w:rPr>
        <w:t>(a) as set forth in the disclosure schedule delivered by Parent to the Company (the “</w:t>
      </w:r>
      <w:r>
        <w:rPr>
          <w:rFonts w:ascii="Times New Roman" w:hAnsi="Times New Roman"/>
          <w:b/>
          <w:i/>
          <w:color w:val="000000"/>
          <w:sz w:val="20"/>
        </w:rPr>
        <w:t>Parent Disclosure Schedule</w:t>
      </w:r>
      <w:r>
        <w:rPr>
          <w:rFonts w:ascii="Times New Roman" w:hAnsi="Times New Roman"/>
          <w:color w:val="000000"/>
          <w:sz w:val="20"/>
        </w:rPr>
        <w:t xml:space="preserve">”) or </w:t>
      </w:r>
      <w:bookmarkStart w:id="483" w:name="DocXTextRef207"/>
      <w:bookmarkEnd w:id="483"/>
      <w:r>
        <w:rPr>
          <w:rFonts w:ascii="Times New Roman" w:hAnsi="Times New Roman"/>
          <w:color w:val="000000"/>
          <w:sz w:val="20"/>
        </w:rPr>
        <w:t xml:space="preserve">(b) as disclosed in the Parent SEC Documents filed with the SEC after December 31, 2023 and prior to the date hereof and publicly available on the SEC’s Electronic Data Gathering Analysis and Retrieval system (but </w:t>
      </w:r>
      <w:bookmarkStart w:id="484" w:name="DocXTextRef208"/>
      <w:bookmarkEnd w:id="484"/>
      <w:r>
        <w:rPr>
          <w:rFonts w:ascii="Times New Roman" w:hAnsi="Times New Roman"/>
          <w:color w:val="000000"/>
          <w:sz w:val="20"/>
        </w:rPr>
        <w:t xml:space="preserve">(i)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w:t>
      </w:r>
      <w:bookmarkStart w:id="485" w:name="DocXTextRef209"/>
      <w:bookmarkEnd w:id="485"/>
      <w:r>
        <w:rPr>
          <w:rFonts w:ascii="Times New Roman" w:hAnsi="Times New Roman"/>
          <w:color w:val="000000"/>
          <w:sz w:val="20"/>
        </w:rPr>
        <w:t xml:space="preserve">(x) shall not be deemed disclosed for purposes of </w:t>
      </w:r>
      <w:r>
        <w:rPr>
          <w:rFonts w:ascii="Times New Roman" w:hAnsi="Times New Roman"/>
          <w:color w:val="000000"/>
          <w:sz w:val="20"/>
          <w:u w:val="single"/>
        </w:rPr>
        <w:t>Section 3.1,</w:t>
      </w:r>
      <w:r>
        <w:rPr>
          <w:rFonts w:ascii="Times New Roman" w:hAnsi="Times New Roman"/>
          <w:color w:val="000000"/>
          <w:sz w:val="20"/>
        </w:rPr>
        <w:t>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color w:val="000000"/>
          <w:sz w:val="20"/>
          <w:u w:val="single"/>
        </w:rPr>
        <w:t>Section 3.4</w:t>
      </w:r>
      <w:r>
        <w:rPr>
          <w:rFonts w:ascii="Times New Roman" w:hAnsi="Times New Roman"/>
          <w:color w:val="000000"/>
          <w:sz w:val="20"/>
        </w:rPr>
        <w:t xml:space="preserve">,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and </w:t>
      </w:r>
      <w:r>
        <w:rPr>
          <w:rFonts w:ascii="Times New Roman" w:hAnsi="Times New Roman"/>
          <w:color w:val="000000"/>
          <w:sz w:val="20"/>
          <w:u w:val="single"/>
        </w:rPr>
        <w:t>Section 3.7</w:t>
      </w:r>
      <w:r>
        <w:rPr>
          <w:rFonts w:ascii="Times New Roman" w:hAnsi="Times New Roman"/>
          <w:color w:val="000000"/>
          <w:sz w:val="20"/>
        </w:rPr>
        <w:t xml:space="preserve"> and </w:t>
      </w:r>
      <w:bookmarkStart w:id="486" w:name="DocXTextRef210"/>
      <w:bookmarkEnd w:id="486"/>
      <w:r>
        <w:rPr>
          <w:rFonts w:ascii="Times New Roman" w:hAnsi="Times New Roman"/>
          <w:color w:val="000000"/>
          <w:sz w:val="20"/>
        </w:rPr>
        <w:t>(y) shall be deemed to be disclosed in a section of the Parent Disclosure Schedule only to the extent that it is readily apparent from a reading of such Parent SEC Documents that is applicable to such section of the Parent Disclosure Schedule, Parent and Merger Sub represent and warrant to the Company as follows: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3.1          </w:t>
      </w:r>
      <w:r>
        <w:rPr>
          <w:rFonts w:ascii="Times New Roman" w:hAnsi="Times New Roman"/>
          <w:b/>
          <w:color w:val="000000"/>
          <w:sz w:val="20"/>
          <w:u w:val="single"/>
        </w:rPr>
        <w:t>Due Organization; Subsidiaries.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87" w:name="z_Ref237970988"/>
      <w:bookmarkEnd w:id="487"/>
      <w:r>
        <w:rPr>
          <w:rFonts w:ascii="Times New Roman" w:hAnsi="Times New Roman"/>
          <w:color w:val="000000"/>
          <w:sz w:val="20"/>
        </w:rPr>
        <w:t xml:space="preserve">(a)          Each of Parent, First Merger Sub and Second Merger Sub is a corporation duly incorporated or formed, as applicable, validly existing and in good standing under the Laws of the jurisdiction of its incorporation, and has all necessary corporate power and authority: </w:t>
      </w:r>
      <w:bookmarkStart w:id="488" w:name="DocXTextRef211"/>
      <w:bookmarkEnd w:id="488"/>
      <w:r>
        <w:rPr>
          <w:rFonts w:ascii="Times New Roman" w:hAnsi="Times New Roman"/>
          <w:color w:val="000000"/>
          <w:sz w:val="20"/>
        </w:rPr>
        <w:t>(i)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their respective date of incorporation, no Merger Sub has engaged in any activities other than activities incident to its formation or in connection with or as contemplated by this Agreement.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89" w:name="z_Ref237970989"/>
      <w:bookmarkEnd w:id="489"/>
      <w:r>
        <w:rPr>
          <w:rFonts w:ascii="Times New Roman" w:hAnsi="Times New Roman"/>
          <w:color w:val="000000"/>
          <w:sz w:val="20"/>
        </w:rPr>
        <w:t>(b)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90" w:name="z_Ref237970990"/>
      <w:bookmarkEnd w:id="490"/>
      <w:r>
        <w:rPr>
          <w:rFonts w:ascii="Times New Roman" w:hAnsi="Times New Roman"/>
          <w:color w:val="000000"/>
          <w:sz w:val="20"/>
        </w:rPr>
        <w:t xml:space="preserve">(c)          Parent has no Subsidiaries, except for the Entities identified in </w:t>
      </w:r>
      <w:r>
        <w:rPr>
          <w:rFonts w:ascii="Times New Roman" w:hAnsi="Times New Roman"/>
          <w:color w:val="000000"/>
          <w:sz w:val="20"/>
          <w:u w:val="single"/>
        </w:rPr>
        <w:t>Section 3.1(c)</w:t>
      </w:r>
      <w:r>
        <w:rPr>
          <w:rFonts w:ascii="Times New Roman" w:hAnsi="Times New Roman"/>
          <w:color w:val="000000"/>
          <w:sz w:val="20"/>
        </w:rPr>
        <w:t xml:space="preserve"> of the Parent Disclosure Schedule; and neither Parent nor any of the Entities identified in </w:t>
      </w:r>
      <w:r>
        <w:rPr>
          <w:rFonts w:ascii="Times New Roman" w:hAnsi="Times New Roman"/>
          <w:color w:val="000000"/>
          <w:sz w:val="20"/>
          <w:u w:val="single"/>
        </w:rPr>
        <w:t>Section 3.1(c)</w:t>
      </w:r>
      <w:r>
        <w:rPr>
          <w:rFonts w:ascii="Times New Roman" w:hAnsi="Times New Roman"/>
          <w:color w:val="000000"/>
          <w:sz w:val="20"/>
        </w:rPr>
        <w:t xml:space="preserve"> of the Parent Disclosure Schedule owns any capital stock of, or any equity, ownership or profit-sharing interest of any nature in, or controls directly or indirectly, any other Entity other than the Entities identified in </w:t>
      </w:r>
      <w:r>
        <w:rPr>
          <w:rFonts w:ascii="Times New Roman" w:hAnsi="Times New Roman"/>
          <w:color w:val="000000"/>
          <w:sz w:val="20"/>
          <w:u w:val="single"/>
        </w:rPr>
        <w:t>Section 3.1(c)</w:t>
      </w:r>
      <w:r>
        <w:rPr>
          <w:rFonts w:ascii="Times New Roman" w:hAnsi="Times New Roman"/>
          <w:color w:val="000000"/>
          <w:sz w:val="20"/>
        </w:rPr>
        <w:t xml:space="preserve"> of the Parent Disclosure Schedule. Each of Parent’s Subsidiaries is a corporation or other legal entity duly organized, validly existing and, if applicable, in good standing under the Laws of the jurisdiction of its organization and has all necessary corporate or other power and authority: </w:t>
      </w:r>
      <w:bookmarkStart w:id="491" w:name="DocXTextRef215"/>
      <w:bookmarkEnd w:id="491"/>
      <w:r>
        <w:rPr>
          <w:rFonts w:ascii="Times New Roman" w:hAnsi="Times New Roman"/>
          <w:color w:val="000000"/>
          <w:sz w:val="20"/>
        </w:rPr>
        <w:t>(i)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92" w:name="z_Ref237970991"/>
      <w:bookmarkEnd w:id="492"/>
      <w:r>
        <w:rPr>
          <w:rFonts w:ascii="Times New Roman" w:hAnsi="Times New Roman"/>
          <w:color w:val="000000"/>
          <w:sz w:val="20"/>
        </w:rPr>
        <w:t>(d)          Neither the Parent nor any of its Subsidiaries is or has otherwise been, directly or indirectly, a party to, member of or participant in any partnership, joint venture or similar business Entity. Neither the Parent nor any of its Subsidiaries has agreed or is obligated to make, or is bound by any Contract under which it may become obligated to make, any future investment in or capital contribution to any other Entity. Neither the Parent nor any of its Subsidiaries has, at any time, been a general partner of, or has otherwise been liable for, any of the debts or other obligations of, any general partnership, limited partnership or other Entity.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93" w:name="z_Toc240403051"/>
      <w:bookmarkStart w:id="494" w:name="z_Ref237972304"/>
      <w:bookmarkStart w:id="495" w:name="z_Ref237970992"/>
      <w:bookmarkEnd w:id="493"/>
      <w:bookmarkEnd w:id="494"/>
      <w:bookmarkEnd w:id="495"/>
      <w:r>
        <w:rPr>
          <w:rFonts w:ascii="Times New Roman" w:hAnsi="Times New Roman"/>
          <w:color w:val="000000"/>
          <w:sz w:val="20"/>
        </w:rPr>
        <w:t>3.2          </w:t>
      </w:r>
      <w:r>
        <w:rPr>
          <w:rFonts w:ascii="Times New Roman" w:hAnsi="Times New Roman"/>
          <w:b/>
          <w:color w:val="000000"/>
          <w:sz w:val="20"/>
          <w:u w:val="single"/>
        </w:rPr>
        <w:t>Organizational Documents</w:t>
      </w:r>
      <w:r>
        <w:rPr>
          <w:rFonts w:ascii="Times New Roman" w:hAnsi="Times New Roman"/>
          <w:color w:val="000000"/>
          <w:sz w:val="20"/>
        </w:rPr>
        <w:t>. Parent has made available to the Company accurate and complete copies of the Organizational Documents of Parent and each of its Subsidiaries in effect as of the date of this Agreement. Neither Parent nor any of its Subsidiaries is in breach or violation of its respective Organizational Documents.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3.3          </w:t>
      </w:r>
      <w:r>
        <w:rPr>
          <w:rFonts w:ascii="Times New Roman" w:hAnsi="Times New Roman"/>
          <w:b/>
          <w:color w:val="000000"/>
          <w:sz w:val="20"/>
          <w:u w:val="single"/>
        </w:rPr>
        <w:t>Authority; Binding Nature of Agreement.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496" w:name="z_Ref237970994"/>
      <w:bookmarkEnd w:id="496"/>
      <w:r>
        <w:rPr>
          <w:rFonts w:ascii="Times New Roman" w:hAnsi="Times New Roman"/>
          <w:color w:val="000000"/>
          <w:sz w:val="20"/>
        </w:rPr>
        <w:t xml:space="preserve">(a)          The Parent and each of its Subsidiaries (including the Merger Subs) have all necessary corporate power and authority to enter into and to perform its obligations under this Agreement and, subject, with respect to Parent, to receipt of the Required Parent Stockholder Vote and, with respect to Merger Subs, the adoption of this Agreement by Parent in its capacity as sole stockholder of Merger Subs, to perform its obligations hereunder and to consummate the Contemplated Transactions. The Parent Board (at meetings duly called and held) has: </w:t>
      </w:r>
      <w:bookmarkStart w:id="497" w:name="DocXTextRef216"/>
      <w:bookmarkEnd w:id="497"/>
      <w:r>
        <w:rPr>
          <w:rFonts w:ascii="Times New Roman" w:hAnsi="Times New Roman"/>
          <w:color w:val="000000"/>
          <w:sz w:val="20"/>
        </w:rPr>
        <w:t xml:space="preserve">(i) determined that the Contemplated Transactions are fair to, advisable and in the best interests of Parent and its stockholders; (ii) authorized, approved and declared advisable this Agreement and the Contemplated Transactions, including the issuance of Parent Common Stock Payment Shares and Parent Preferred Stock Payment Shares to the stockholders of the Company pursuant to the terms of this Agreement and the treatment of the Company Options and the Company SAFEs pursuant to this Agreement; and (iii) determined to recommend, upon the terms and subject to the conditions set forth in this Agreement, that the stockholders of Parent vote to approve the Parent Stockholder Matters. The First Merger Sub Board (by unanimous written consent) has: </w:t>
      </w:r>
      <w:bookmarkStart w:id="498" w:name="DocXTextRef217"/>
      <w:bookmarkEnd w:id="498"/>
      <w:r>
        <w:rPr>
          <w:rFonts w:ascii="Times New Roman" w:hAnsi="Times New Roman"/>
          <w:color w:val="000000"/>
          <w:sz w:val="20"/>
        </w:rPr>
        <w:t xml:space="preserve">(A) determined that the Contemplated Transactions are fair to, advisable, and in the best interests of First Merger Sub and its sole stockholder; </w:t>
      </w:r>
      <w:bookmarkStart w:id="499" w:name="DocXTextRef218"/>
      <w:bookmarkEnd w:id="499"/>
      <w:r>
        <w:rPr>
          <w:rFonts w:ascii="Times New Roman" w:hAnsi="Times New Roman"/>
          <w:color w:val="000000"/>
          <w:sz w:val="20"/>
        </w:rPr>
        <w:t xml:space="preserve">(B) authorized, approved and declared advisable this Agreement and the Contemplated Transactions; and </w:t>
      </w:r>
      <w:bookmarkStart w:id="500" w:name="DocXTextRef219"/>
      <w:bookmarkEnd w:id="500"/>
      <w:r>
        <w:rPr>
          <w:rFonts w:ascii="Times New Roman" w:hAnsi="Times New Roman"/>
          <w:color w:val="000000"/>
          <w:sz w:val="20"/>
        </w:rPr>
        <w:t xml:space="preserve">(C) determined to recommend, upon the terms and subject to the conditions set forth in this Agreement, that the stockholder of First Merger Sub vote to adopt this Agreement and thereby approve the Contemplated Transactions. The Second Merger Sub Board (by unanimous written consent) has: </w:t>
      </w:r>
      <w:bookmarkStart w:id="501" w:name="DocXTextRef220"/>
      <w:bookmarkEnd w:id="501"/>
      <w:r>
        <w:rPr>
          <w:rFonts w:ascii="Times New Roman" w:hAnsi="Times New Roman"/>
          <w:color w:val="000000"/>
          <w:sz w:val="20"/>
        </w:rPr>
        <w:t xml:space="preserve">(A) determined that the Contemplated Transactions are fair to, advisable, and in the best interests of Second Merger Sub and its sole member; </w:t>
      </w:r>
      <w:bookmarkStart w:id="502" w:name="DocXTextRef221"/>
      <w:bookmarkEnd w:id="502"/>
      <w:r>
        <w:rPr>
          <w:rFonts w:ascii="Times New Roman" w:hAnsi="Times New Roman"/>
          <w:color w:val="000000"/>
          <w:sz w:val="20"/>
        </w:rPr>
        <w:t xml:space="preserve">(B) authorized, approved and declared advisable this Agreement and the Contemplated Transactions; and </w:t>
      </w:r>
      <w:bookmarkStart w:id="503" w:name="DocXTextRef222"/>
      <w:bookmarkEnd w:id="503"/>
      <w:r>
        <w:rPr>
          <w:rFonts w:ascii="Times New Roman" w:hAnsi="Times New Roman"/>
          <w:color w:val="000000"/>
          <w:sz w:val="20"/>
        </w:rPr>
        <w:t>(C) determined to recommend, upon the terms and subject to the conditions set forth in this Agreement, that the member of Second Merger Sub vote to adopt this Agreement and thereby approve the Contemplated Transactions.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04" w:name="z_Ref237970995"/>
      <w:bookmarkEnd w:id="504"/>
      <w:r>
        <w:rPr>
          <w:rFonts w:ascii="Times New Roman" w:hAnsi="Times New Roman"/>
          <w:color w:val="000000"/>
          <w:sz w:val="20"/>
        </w:rPr>
        <w:t>(b)          This Agreement has been duly executed and delivered by Parent and each Merger Sub and, assuming the due authorization, execution and delivery by the Company, constitutes the legal, valid and binding obligation of Parent and Merger Subs, enforceable against each of Parent and Merger Subs in accordance with its terms, subject to the Enforceability Exceptions.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505" w:name="z_Toc240403053"/>
      <w:bookmarkStart w:id="506" w:name="z_Ref237974593"/>
      <w:bookmarkStart w:id="507" w:name="z_Ref237972330"/>
      <w:bookmarkStart w:id="508" w:name="z_Ref237970996"/>
      <w:bookmarkEnd w:id="505"/>
      <w:bookmarkEnd w:id="506"/>
      <w:bookmarkEnd w:id="507"/>
      <w:bookmarkEnd w:id="508"/>
      <w:r>
        <w:rPr>
          <w:rFonts w:ascii="Times New Roman" w:hAnsi="Times New Roman"/>
          <w:color w:val="000000"/>
          <w:sz w:val="20"/>
        </w:rPr>
        <w:t xml:space="preserve">3.4         </w:t>
      </w:r>
      <w:r>
        <w:rPr>
          <w:rFonts w:ascii="Times New Roman" w:hAnsi="Times New Roman"/>
          <w:b/>
          <w:color w:val="000000"/>
          <w:sz w:val="20"/>
          <w:u w:val="single"/>
        </w:rPr>
        <w:t>Vote Required</w:t>
      </w:r>
      <w:r>
        <w:rPr>
          <w:rFonts w:ascii="Times New Roman" w:hAnsi="Times New Roman"/>
          <w:color w:val="000000"/>
          <w:sz w:val="20"/>
        </w:rPr>
        <w:t xml:space="preserve">. The approval of holders of Parent Common Stock is not required in order to approve this Agreement or, except with respect to Parent Stockholder Matters, the transactions contemplated hereby. The affirmative vote of a majority of the shares of Parent Common Stock present or represented and entitled to vote at the Parent Stockholders’ Meeting by the holders of Parent Common Stock (other than the Parent Common Stock Payment Shares to be issued at Closing pursuant to this Agreement) is the only vote of the holders of any class or series of Parent’s capital stock necessary to approve the proposal described in </w:t>
      </w:r>
      <w:r>
        <w:rPr>
          <w:rFonts w:ascii="Times New Roman" w:hAnsi="Times New Roman"/>
          <w:color w:val="000000"/>
          <w:sz w:val="20"/>
          <w:u w:val="single"/>
        </w:rPr>
        <w:t>Section 4.1(a)(i)</w:t>
      </w:r>
      <w:r>
        <w:rPr>
          <w:rFonts w:ascii="Times New Roman" w:hAnsi="Times New Roman"/>
          <w:color w:val="000000"/>
          <w:sz w:val="20"/>
        </w:rPr>
        <w:t xml:space="preserve"> (“</w:t>
      </w:r>
      <w:r>
        <w:rPr>
          <w:rFonts w:ascii="Times New Roman" w:hAnsi="Times New Roman"/>
          <w:b/>
          <w:i/>
          <w:color w:val="000000"/>
          <w:sz w:val="20"/>
        </w:rPr>
        <w:t>Required Parent Stockholder Vote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509" w:name="z_Toc240403054"/>
      <w:bookmarkStart w:id="510" w:name="z_Ref237972496"/>
      <w:bookmarkStart w:id="511" w:name="z_Ref237972346"/>
      <w:bookmarkStart w:id="512" w:name="z_Ref237970997"/>
      <w:bookmarkEnd w:id="509"/>
      <w:bookmarkEnd w:id="510"/>
      <w:bookmarkEnd w:id="511"/>
      <w:bookmarkEnd w:id="512"/>
      <w:r>
        <w:rPr>
          <w:rFonts w:ascii="Times New Roman" w:hAnsi="Times New Roman"/>
          <w:color w:val="000000"/>
          <w:sz w:val="20"/>
        </w:rPr>
        <w:t xml:space="preserve">3.5         </w:t>
      </w:r>
      <w:r>
        <w:rPr>
          <w:rFonts w:ascii="Times New Roman" w:hAnsi="Times New Roman"/>
          <w:b/>
          <w:color w:val="000000"/>
          <w:sz w:val="20"/>
          <w:u w:val="single"/>
        </w:rPr>
        <w:t>Non-Contravention; Consents</w:t>
      </w:r>
      <w:r>
        <w:rPr>
          <w:rFonts w:ascii="Times New Roman" w:hAnsi="Times New Roman"/>
          <w:color w:val="000000"/>
          <w:sz w:val="20"/>
        </w:rPr>
        <w:t xml:space="preserve">. Subject to obtaining the Required Parent Stockholder Vote, the filing of the Certificates of Merger required by the DGCL and the filing of the Series C Certificate of Designation, neither </w:t>
      </w:r>
      <w:bookmarkStart w:id="513" w:name="DocXTextRef224"/>
      <w:bookmarkEnd w:id="513"/>
      <w:r>
        <w:rPr>
          <w:rFonts w:ascii="Times New Roman" w:hAnsi="Times New Roman"/>
          <w:color w:val="000000"/>
          <w:sz w:val="20"/>
        </w:rPr>
        <w:t xml:space="preserve">(x) the execution, delivery or performance of this Agreement by Parent or Merger Subs, nor </w:t>
      </w:r>
      <w:bookmarkStart w:id="514" w:name="DocXTextRef225"/>
      <w:bookmarkEnd w:id="514"/>
      <w:r>
        <w:rPr>
          <w:rFonts w:ascii="Times New Roman" w:hAnsi="Times New Roman"/>
          <w:color w:val="000000"/>
          <w:sz w:val="20"/>
        </w:rPr>
        <w:t>(y) the consummation of the Contemplated Transactions, will directly or indirectly (with or without notice or lapse of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contravene, conflict with or result in a violation of any of the provisions of the Organizational Documents of Parent or Merger Subs;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15" w:name="z_Ref237970999"/>
      <w:bookmarkEnd w:id="515"/>
      <w:r>
        <w:rPr>
          <w:rFonts w:ascii="Times New Roman" w:hAnsi="Times New Roman"/>
          <w:color w:val="000000"/>
          <w:sz w:val="20"/>
        </w:rPr>
        <w:t>(b)          contravene, conflict with or result in a violation of, or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or its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16" w:name="z_Ref237971000"/>
      <w:bookmarkEnd w:id="516"/>
      <w:r>
        <w:rPr>
          <w:rFonts w:ascii="Times New Roman" w:hAnsi="Times New Roman"/>
          <w:color w:val="000000"/>
          <w:sz w:val="20"/>
        </w:rPr>
        <w:t>(c)          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or its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17" w:name="z_Ref237971001"/>
      <w:bookmarkEnd w:id="517"/>
      <w:r>
        <w:rPr>
          <w:rFonts w:ascii="Times New Roman" w:hAnsi="Times New Roman"/>
          <w:color w:val="000000"/>
          <w:sz w:val="20"/>
        </w:rPr>
        <w:t xml:space="preserve">(d)          contravene, conflict with or result in a violation or breach of, or result in a default under, any provision of any Parent Material Contract, or give any Person the right to: </w:t>
      </w:r>
      <w:bookmarkStart w:id="518" w:name="DocXTextRef226"/>
      <w:bookmarkEnd w:id="518"/>
      <w:r>
        <w:rPr>
          <w:rFonts w:ascii="Times New Roman" w:hAnsi="Times New Roman"/>
          <w:color w:val="000000"/>
          <w:sz w:val="20"/>
        </w:rPr>
        <w:t>(i) declare a default or exercise any remedy under any Parent Material Contract; (ii) receive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19" w:name="z_Ref237971002"/>
      <w:bookmarkEnd w:id="519"/>
      <w:r>
        <w:rPr>
          <w:rFonts w:ascii="Times New Roman" w:hAnsi="Times New Roman"/>
          <w:color w:val="000000"/>
          <w:sz w:val="20"/>
        </w:rPr>
        <w:t>(e)          result in the imposition or creation of any Encumbrance upon or with respect to any asset owned or used by Parent (except for Permitted Encumbrances).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Except for </w:t>
      </w:r>
      <w:bookmarkStart w:id="520" w:name="DocXTextRef229"/>
      <w:bookmarkEnd w:id="520"/>
      <w:r>
        <w:rPr>
          <w:rFonts w:ascii="Times New Roman" w:hAnsi="Times New Roman"/>
          <w:color w:val="000000"/>
          <w:sz w:val="20"/>
        </w:rPr>
        <w:t xml:space="preserve">(i) any Consent set forth in </w:t>
      </w:r>
      <w:r>
        <w:rPr>
          <w:rFonts w:ascii="Times New Roman" w:hAnsi="Times New Roman"/>
          <w:color w:val="000000"/>
          <w:sz w:val="20"/>
          <w:u w:val="single"/>
        </w:rPr>
        <w:t>Section 3.5</w:t>
      </w:r>
      <w:r>
        <w:rPr>
          <w:rFonts w:ascii="Times New Roman" w:hAnsi="Times New Roman"/>
          <w:color w:val="000000"/>
          <w:sz w:val="20"/>
        </w:rPr>
        <w:t xml:space="preserve"> of the Parent Disclosure Schedule, (ii) the Required Parent Stockholder Vote, (iii) the filing of the Certificates of Merger with the Secretary of State of the State of Delaware pursuant to the DGCL, (iv) the filing of the Series C Certificate of Designation with the Secretary of State of the State of Delaware pursuant to the DGCL and </w:t>
      </w:r>
      <w:bookmarkStart w:id="521" w:name="DocXTextRef230"/>
      <w:bookmarkEnd w:id="521"/>
      <w:r>
        <w:rPr>
          <w:rFonts w:ascii="Times New Roman" w:hAnsi="Times New Roman"/>
          <w:color w:val="000000"/>
          <w:sz w:val="20"/>
        </w:rPr>
        <w:t xml:space="preserve">(v)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Person in connection with </w:t>
      </w:r>
      <w:bookmarkStart w:id="522" w:name="DocXTextRef231"/>
      <w:bookmarkEnd w:id="522"/>
      <w:r>
        <w:rPr>
          <w:rFonts w:ascii="Times New Roman" w:hAnsi="Times New Roman"/>
          <w:color w:val="000000"/>
          <w:sz w:val="20"/>
        </w:rPr>
        <w:t xml:space="preserve">(A) the execution, delivery or performance of this Agreement, or </w:t>
      </w:r>
      <w:bookmarkStart w:id="523" w:name="DocXTextRef232"/>
      <w:bookmarkEnd w:id="523"/>
      <w:r>
        <w:rPr>
          <w:rFonts w:ascii="Times New Roman" w:hAnsi="Times New Roman"/>
          <w:color w:val="000000"/>
          <w:sz w:val="20"/>
        </w:rPr>
        <w:t xml:space="preserve">(B) the consummation of the Contemplated Transactions. The Parent Board and the First Merger Sub Board and the Second Merger Sub Board have taken and will take all actions necessary to ensure that the restrictions applicable to business combinations contained in Section </w:t>
      </w:r>
      <w:bookmarkStart w:id="524" w:name="DocXTextRef227"/>
      <w:bookmarkEnd w:id="524"/>
      <w:r>
        <w:rPr>
          <w:rFonts w:ascii="Times New Roman" w:hAnsi="Times New Roman"/>
          <w:color w:val="000000"/>
          <w:sz w:val="20"/>
        </w:rPr>
        <w:t>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or any of the other Contemplated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3.6          </w:t>
      </w:r>
      <w:r>
        <w:rPr>
          <w:rFonts w:ascii="Times New Roman" w:hAnsi="Times New Roman"/>
          <w:b/>
          <w:color w:val="000000"/>
          <w:sz w:val="20"/>
          <w:u w:val="single"/>
        </w:rPr>
        <w:t>Capitalization.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25" w:name="z_Ref237971004"/>
      <w:bookmarkEnd w:id="525"/>
      <w:r>
        <w:rPr>
          <w:rFonts w:ascii="Times New Roman" w:hAnsi="Times New Roman"/>
          <w:color w:val="000000"/>
          <w:sz w:val="20"/>
        </w:rPr>
        <w:t xml:space="preserve">(a)          The authorized capital stock of Parent as of the date of this Agreement consists of (i) 500,000,000 shares of Parent Common Stock, of which 9,010,937 shares have been issued and are outstanding and 738 shares are held in its treasury, in each case, as of the close of business on the Reference Date and (ii) </w:t>
      </w:r>
      <w:bookmarkStart w:id="526" w:name="DocXTextRef234"/>
      <w:bookmarkEnd w:id="526"/>
      <w:r>
        <w:rPr>
          <w:rFonts w:ascii="Times New Roman" w:hAnsi="Times New Roman"/>
          <w:color w:val="000000"/>
          <w:sz w:val="20"/>
        </w:rPr>
        <w:t>20,000,000 shares of preferred stock of Parent, par value $0.01 per share, of which 10,000 shares of Series B Convertible Preferred Stock have been issued and are outstanding as of the Reference Date.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27" w:name="z_Ref237971005"/>
      <w:bookmarkEnd w:id="527"/>
      <w:r>
        <w:rPr>
          <w:rFonts w:ascii="Times New Roman" w:hAnsi="Times New Roman"/>
          <w:color w:val="000000"/>
          <w:sz w:val="20"/>
        </w:rPr>
        <w:t xml:space="preserve">(b)          All of the outstanding shares of Parent Common Stock and Parent Series B Convertible Preferred Stock have been duly authorized and validly issued, and are fully paid and nonassessable. None of the outstanding shares of Parent Common Stock are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 </w:t>
      </w:r>
      <w:r>
        <w:rPr>
          <w:rFonts w:ascii="Times New Roman" w:hAnsi="Times New Roman"/>
          <w:color w:val="000000"/>
          <w:sz w:val="20"/>
          <w:u w:val="single"/>
        </w:rPr>
        <w:t>Section 3.6(b)</w:t>
      </w:r>
      <w:r>
        <w:rPr>
          <w:rFonts w:ascii="Times New Roman" w:hAnsi="Times New Roman"/>
          <w:color w:val="000000"/>
          <w:sz w:val="20"/>
        </w:rPr>
        <w:t xml:space="preserve"> of the Parent Disclosure Schedule accurately and completely lists all repurchase rights held by Parent with respect to shares of Parent Common Stock (including shares issued pursuant to the exercise of stock options) and specifies which of those repurchase rights are currently exercisable.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28" w:name="z_Ref237971006"/>
      <w:bookmarkEnd w:id="528"/>
      <w:r>
        <w:rPr>
          <w:rFonts w:ascii="Times New Roman" w:hAnsi="Times New Roman"/>
          <w:color w:val="000000"/>
          <w:sz w:val="20"/>
        </w:rPr>
        <w:t xml:space="preserve">(c)          Except for the Parent Stock Plans, and except as set forth in </w:t>
      </w:r>
      <w:r>
        <w:rPr>
          <w:rFonts w:ascii="Times New Roman" w:hAnsi="Times New Roman"/>
          <w:color w:val="000000"/>
          <w:sz w:val="20"/>
          <w:u w:val="single"/>
        </w:rPr>
        <w:t>Section 3.6(c)</w:t>
      </w:r>
      <w:r>
        <w:rPr>
          <w:rFonts w:ascii="Times New Roman" w:hAnsi="Times New Roman"/>
          <w:color w:val="000000"/>
          <w:sz w:val="20"/>
        </w:rPr>
        <w:t xml:space="preserve"> of the Parent Disclosure Schedule, Parent does not have any stock option plan or any other plan, program, agreement or arrangement providing for any equity-based compensation for any Person. As of the close of business on the Reference Date, Parent has reserved 2,878,298 shares of Parent Common Stock for issuance under the Parent Stock Plans, of which (1) Parent RSUs and Parent Options to purchase a total of 1,647,901 shares, in the aggregate, have been issued and are currently outstanding, of which no shares are subject to Parent’s right of repurchase, of which (x) 1,171,039 shares have been reserved for issuance upon exercise of Parent Options previously granted and currently outstanding under the Parent Stock Plans</w:t>
      </w:r>
      <w:bookmarkStart w:id="529" w:name="DocXTextRef240"/>
      <w:bookmarkEnd w:id="529"/>
      <w:r>
        <w:rPr>
          <w:rFonts w:ascii="Times New Roman" w:hAnsi="Times New Roman"/>
          <w:color w:val="000000"/>
          <w:sz w:val="20"/>
        </w:rPr>
        <w:t xml:space="preserve"> and (y) 476,862 shares have been reserved for issuance upon the settlement of Parent RSUs granted under the Parent Stock Plans that are outstanding as of the close of business on the Reference Date and (2) 1,230,397 shares remain available for future issuance pursuant to the Parent Stock Plans. </w:t>
      </w:r>
      <w:r>
        <w:rPr>
          <w:rFonts w:ascii="Times New Roman" w:hAnsi="Times New Roman"/>
          <w:color w:val="000000"/>
          <w:sz w:val="20"/>
          <w:u w:val="single"/>
        </w:rPr>
        <w:t>Section 3.6(c)</w:t>
      </w:r>
      <w:r>
        <w:rPr>
          <w:rFonts w:ascii="Times New Roman" w:hAnsi="Times New Roman"/>
          <w:color w:val="000000"/>
          <w:sz w:val="20"/>
        </w:rPr>
        <w:t xml:space="preserve"> of the Parent Disclosure Schedule sets forth the following information with respect to each Parent Option and Parent RSU outstanding as of the Reference Date: </w:t>
      </w:r>
      <w:bookmarkStart w:id="530" w:name="DocXTextRef241"/>
      <w:bookmarkEnd w:id="530"/>
      <w:r>
        <w:rPr>
          <w:rFonts w:ascii="Times New Roman" w:hAnsi="Times New Roman"/>
          <w:color w:val="000000"/>
          <w:sz w:val="20"/>
        </w:rPr>
        <w:t xml:space="preserve">(i) the name of the holder; (ii) the number of shares of Parent Common Stock subject to such Parent Option or Parent RSU at the time of grant or issuance, as applicable; (iii) the number of shares of Parent Common Stock subject to such Parent Option or Parent RSU as of the close of business on the Reference Date; (iv) the exercise price of such Parent Option; </w:t>
      </w:r>
      <w:bookmarkStart w:id="531" w:name="DocXTextRef242"/>
      <w:bookmarkEnd w:id="531"/>
      <w:r>
        <w:rPr>
          <w:rFonts w:ascii="Times New Roman" w:hAnsi="Times New Roman"/>
          <w:color w:val="000000"/>
          <w:sz w:val="20"/>
        </w:rPr>
        <w:t xml:space="preserve">(v) the date on which such Parent Option or Parent RSU was granted, as applicable; (vi) the applicable vesting schedule, including the number of vested and unvested shares as of the close of business on the Reference Date and any acceleration provisions; (vii) the date on which such Parent Option or Parent RSU expires; (viii) whether such Parent Option is intended to constitute an “incentive stock option” (as defined in the Code) or a non-qualified stock option and (ix) whether such Parent Option is “early exercisable”. Parent has made available to the Company accurate and complete copies of the Parent Stock Plans and the form of the stock option agreements and restricted stock unit agreements evidencing outstanding Parent Options and Parent RSUs granted thereunder. No vesting of Parent Options or Parent RSUs will be accelerated in connection with the closing of the Contemplated Transactions other than as set forth on such </w:t>
      </w:r>
      <w:r>
        <w:rPr>
          <w:rFonts w:ascii="Times New Roman" w:hAnsi="Times New Roman"/>
          <w:color w:val="000000"/>
          <w:sz w:val="20"/>
          <w:u w:val="single"/>
        </w:rPr>
        <w:t>Section 3.6(c)</w:t>
      </w:r>
      <w:r>
        <w:rPr>
          <w:rFonts w:ascii="Times New Roman" w:hAnsi="Times New Roman"/>
          <w:color w:val="000000"/>
          <w:sz w:val="20"/>
        </w:rPr>
        <w:t xml:space="preserve"> of the Parent Disclosure Schedule.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(d)          Except for the Parent Options and the Parent RSUs granted pursuant to the Parent Stock Plans, and as otherwise set forth in </w:t>
      </w:r>
      <w:r>
        <w:rPr>
          <w:rFonts w:ascii="Times New Roman" w:hAnsi="Times New Roman"/>
          <w:color w:val="000000"/>
          <w:sz w:val="20"/>
          <w:u w:val="single"/>
        </w:rPr>
        <w:t>Section 3.6(d)</w:t>
      </w:r>
      <w:r>
        <w:rPr>
          <w:rFonts w:ascii="Times New Roman" w:hAnsi="Times New Roman"/>
          <w:color w:val="000000"/>
          <w:sz w:val="20"/>
        </w:rPr>
        <w:t xml:space="preserve"> of the Parent Disclosure Schedule, there is no: </w:t>
      </w:r>
      <w:bookmarkStart w:id="532" w:name="DocXTextRef244"/>
      <w:bookmarkEnd w:id="532"/>
      <w:r>
        <w:rPr>
          <w:rFonts w:ascii="Times New Roman" w:hAnsi="Times New Roman"/>
          <w:color w:val="000000"/>
          <w:sz w:val="20"/>
        </w:rPr>
        <w:t>(i)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 In addition, there are no stockholder rights plans (or similar plan commonly referred to as a “poison pill”) or bonds, debentures, notes or other indebtedness of Parent having the right to vote (or convertible into, or exchangeable for, securities having the right to vote) on any matters on which stockholders of Parent may vote.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33" w:name="z_Ref237971008"/>
      <w:bookmarkEnd w:id="533"/>
      <w:r>
        <w:rPr>
          <w:rFonts w:ascii="Times New Roman" w:hAnsi="Times New Roman"/>
          <w:color w:val="000000"/>
          <w:sz w:val="20"/>
        </w:rPr>
        <w:t xml:space="preserve">(e)          All outstanding shares of Parent Common Stock, Parent Options, Parent RSUs and other securities of Parent have been issued and granted in material compliance with </w:t>
      </w:r>
      <w:bookmarkStart w:id="534" w:name="DocXTextRef245"/>
      <w:bookmarkEnd w:id="534"/>
      <w:r>
        <w:rPr>
          <w:rFonts w:ascii="Times New Roman" w:hAnsi="Times New Roman"/>
          <w:color w:val="000000"/>
          <w:sz w:val="20"/>
        </w:rPr>
        <w:t>(i) the Organizational Documents of Parent in effect as of the relevant time and all applicable securities Laws and other applicable Law, and (ii) all requirements set forth in applicable Contracts.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35" w:name="z_Ref237971009"/>
      <w:bookmarkEnd w:id="535"/>
      <w:r>
        <w:rPr>
          <w:rFonts w:ascii="Times New Roman" w:hAnsi="Times New Roman"/>
          <w:color w:val="000000"/>
          <w:sz w:val="20"/>
        </w:rPr>
        <w:t xml:space="preserve">(f)          All distributions, dividends, repurchases and redemptions of Parent Common Stock or other equity interests of Parent were undertaken in material compliance with </w:t>
      </w:r>
      <w:bookmarkStart w:id="536" w:name="DocXTextRef246"/>
      <w:bookmarkEnd w:id="536"/>
      <w:r>
        <w:rPr>
          <w:rFonts w:ascii="Times New Roman" w:hAnsi="Times New Roman"/>
          <w:color w:val="000000"/>
          <w:sz w:val="20"/>
        </w:rPr>
        <w:t>(i) the Organizational Documents of Parent in effect as of the relevant time and all applicable securities Laws and other applicable Laws, and (ii) all requirements set forth in applicable Contracts.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3.7          </w:t>
      </w:r>
      <w:r>
        <w:rPr>
          <w:rFonts w:ascii="Times New Roman" w:hAnsi="Times New Roman"/>
          <w:b/>
          <w:color w:val="000000"/>
          <w:sz w:val="20"/>
          <w:u w:val="single"/>
        </w:rPr>
        <w:t>SEC Filings; Financial Statements.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37" w:name="z_Ref237971011"/>
      <w:bookmarkEnd w:id="537"/>
      <w:r>
        <w:rPr>
          <w:rFonts w:ascii="Times New Roman" w:hAnsi="Times New Roman"/>
          <w:color w:val="000000"/>
          <w:sz w:val="20"/>
        </w:rPr>
        <w:t xml:space="preserve">(a)          Parent has delivered or made available to the Company accurate and complete copies of all registration statements, proxy statements, Certifications (as defined below) and other statements, reports, </w:t>
      </w:r>
      <w:bookmarkStart w:id="538" w:name="DocXTextRef249"/>
      <w:bookmarkEnd w:id="538"/>
      <w:r>
        <w:rPr>
          <w:rFonts w:ascii="Times New Roman" w:hAnsi="Times New Roman"/>
          <w:color w:val="000000"/>
          <w:sz w:val="20"/>
        </w:rPr>
        <w:t>schedules, forms and other documents filed by Parent with the SEC since December 31, 2023 (the “</w:t>
      </w:r>
      <w:r>
        <w:rPr>
          <w:rFonts w:ascii="Times New Roman" w:hAnsi="Times New Roman"/>
          <w:b/>
          <w:i/>
          <w:color w:val="000000"/>
          <w:sz w:val="20"/>
        </w:rPr>
        <w:t>Parent SEC Documents</w:t>
      </w:r>
      <w:r>
        <w:rPr>
          <w:rFonts w:ascii="Times New Roman" w:hAnsi="Times New Roman"/>
          <w:color w:val="000000"/>
          <w:sz w:val="20"/>
        </w:rPr>
        <w:t xml:space="preserve">”), other than such documents that can be obtained on the SEC’s website at </w:t>
      </w:r>
      <w:r>
        <w:rPr>
          <w:rFonts w:ascii="Times New Roman" w:hAnsi="Times New Roman"/>
          <w:color w:val="000000"/>
          <w:sz w:val="20"/>
          <w:u w:val="single"/>
        </w:rPr>
        <w:t>www.sec.gov</w:t>
      </w:r>
      <w:r>
        <w:rPr>
          <w:rFonts w:ascii="Times New Roman" w:hAnsi="Times New Roman"/>
          <w:color w:val="000000"/>
          <w:sz w:val="20"/>
        </w:rPr>
        <w:t xml:space="preserve">. Since December 31, 2023, all material statements, reports, </w:t>
      </w:r>
      <w:bookmarkStart w:id="539" w:name="DocXTextRef250"/>
      <w:bookmarkEnd w:id="539"/>
      <w:r>
        <w:rPr>
          <w:rFonts w:ascii="Times New Roman" w:hAnsi="Times New Roman"/>
          <w:color w:val="000000"/>
          <w:sz w:val="20"/>
        </w:rPr>
        <w:t xml:space="preserve">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w:t>
      </w:r>
      <w:bookmarkStart w:id="540" w:name="DocXTextRef252"/>
      <w:bookmarkEnd w:id="540"/>
      <w:r>
        <w:rPr>
          <w:rFonts w:ascii="Times New Roman" w:hAnsi="Times New Roman"/>
          <w:color w:val="000000"/>
          <w:sz w:val="20"/>
        </w:rPr>
        <w:t xml:space="preserve">(i) Rule 13a-14 under the Exchange Act and (ii) </w:t>
      </w:r>
      <w:bookmarkStart w:id="541" w:name="DocXTextRef251"/>
      <w:bookmarkEnd w:id="541"/>
      <w:r>
        <w:rPr>
          <w:rFonts w:ascii="Times New Roman" w:hAnsi="Times New Roman"/>
          <w:color w:val="000000"/>
          <w:sz w:val="20"/>
        </w:rPr>
        <w:t xml:space="preserve">18 U.S.C. §1350 (Section </w:t>
      </w:r>
      <w:bookmarkStart w:id="542" w:name="DocXTextRef247"/>
      <w:bookmarkEnd w:id="542"/>
      <w:r>
        <w:rPr>
          <w:rFonts w:ascii="Times New Roman" w:hAnsi="Times New Roman"/>
          <w:color w:val="000000"/>
          <w:sz w:val="20"/>
        </w:rPr>
        <w:t>906 of the Sarbanes-Oxley Act) relating to the Parent SEC Documents (collectively, the “</w:t>
      </w:r>
      <w:r>
        <w:rPr>
          <w:rFonts w:ascii="Times New Roman" w:hAnsi="Times New Roman"/>
          <w:b/>
          <w:i/>
          <w:color w:val="000000"/>
          <w:sz w:val="20"/>
        </w:rPr>
        <w:t>Certifications</w:t>
      </w:r>
      <w:r>
        <w:rPr>
          <w:rFonts w:ascii="Times New Roman" w:hAnsi="Times New Roman"/>
          <w:color w:val="000000"/>
          <w:sz w:val="20"/>
        </w:rPr>
        <w:t xml:space="preserve">”)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since December 31, 2023, including all SEC comment letters and responses to such comment letters by or on behalf of Parent except for such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r>
        <w:rPr>
          <w:rFonts w:ascii="Times New Roman" w:hAnsi="Times New Roman"/>
          <w:color w:val="000000"/>
          <w:sz w:val="20"/>
          <w:u w:val="single"/>
        </w:rPr>
        <w:t>Section 3.7</w:t>
      </w:r>
      <w:r>
        <w:rPr>
          <w:rFonts w:ascii="Times New Roman" w:hAnsi="Times New Roman"/>
          <w:color w:val="000000"/>
          <w:sz w:val="20"/>
        </w:rPr>
        <w:t>, the term “file” and variations thereof shall be broadly construed to include any manner in which a document or information is filed, furnished, supplied or otherwise made available to the SEC.</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43" w:name="z_Ref237971012"/>
      <w:bookmarkEnd w:id="543"/>
      <w:r>
        <w:rPr>
          <w:rFonts w:ascii="Times New Roman" w:hAnsi="Times New Roman"/>
          <w:color w:val="000000"/>
          <w:sz w:val="20"/>
        </w:rPr>
        <w:t xml:space="preserve">(b)          The financial statements (including any related notes) contained or incorporated by reference in the Parent SEC Documents: </w:t>
      </w:r>
      <w:bookmarkStart w:id="544" w:name="DocXTextRef254"/>
      <w:bookmarkEnd w:id="544"/>
      <w:r>
        <w:rPr>
          <w:rFonts w:ascii="Times New Roman" w:hAnsi="Times New Roman"/>
          <w:color w:val="000000"/>
          <w:sz w:val="20"/>
        </w:rPr>
        <w:t xml:space="preserve">(i)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w:t>
      </w:r>
      <w:bookmarkStart w:id="545" w:name="DocXTextRef253"/>
      <w:bookmarkEnd w:id="545"/>
      <w:r>
        <w:rPr>
          <w:rFonts w:ascii="Times New Roman" w:hAnsi="Times New Roman"/>
          <w:color w:val="000000"/>
          <w:sz w:val="20"/>
        </w:rPr>
        <w:t>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46" w:name="z_Ref237971013"/>
      <w:bookmarkEnd w:id="546"/>
      <w:r>
        <w:rPr>
          <w:rFonts w:ascii="Times New Roman" w:hAnsi="Times New Roman"/>
          <w:color w:val="000000"/>
          <w:sz w:val="20"/>
        </w:rPr>
        <w:t xml:space="preserve">(c)          Parent’s independent registered public accounting firm has at all times since the date of enactment of the Sarbanes-Oxley Act been: </w:t>
      </w:r>
      <w:bookmarkStart w:id="547" w:name="DocXTextRef256"/>
      <w:bookmarkEnd w:id="547"/>
      <w:r>
        <w:rPr>
          <w:rFonts w:ascii="Times New Roman" w:hAnsi="Times New Roman"/>
          <w:color w:val="000000"/>
          <w:sz w:val="20"/>
        </w:rPr>
        <w:t xml:space="preserve">(i)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w:t>
      </w:r>
      <w:bookmarkStart w:id="548" w:name="DocXTextRef257"/>
      <w:bookmarkEnd w:id="548"/>
      <w:r>
        <w:rPr>
          <w:rFonts w:ascii="Times New Roman" w:hAnsi="Times New Roman"/>
          <w:color w:val="000000"/>
          <w:sz w:val="20"/>
        </w:rPr>
        <w:t xml:space="preserve">(l) of </w:t>
      </w:r>
      <w:bookmarkStart w:id="549" w:name="DocXTextRef255"/>
      <w:bookmarkEnd w:id="549"/>
      <w:r>
        <w:rPr>
          <w:rFonts w:ascii="Times New Roman" w:hAnsi="Times New Roman"/>
          <w:color w:val="000000"/>
          <w:sz w:val="20"/>
        </w:rPr>
        <w:t>Section 10A of the Exchange Act and the rules and regulations promulgated by the SEC and the Public Company Accounting Oversight Board thereunder.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Except as set forth in the Parent SEC Documents, since December 31, 2023, through the date of this Agreement, Parent has not received any comment letter from the SEC or the staff thereof or any correspondence from officials of Nasdaq or the staff thereof relating to the delisting or maintenance of listing of the Parent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or all comment letters, written inquiries and enforcement correspondences between the SEC, on the one hand, and Parent, on the other hand, occurring since December 31, 2023 and will, reasonably promptly following the receipt thereof, make available to the Company any such correspondence sent or received after the date of this Agreement. To the Knowledge of Parent, as of the date of this Agreement, none of the Parent SEC Documents is the subject of an ongoing SEC report or outstanding SEC comment.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50" w:name="z_Ref237971015"/>
      <w:bookmarkEnd w:id="550"/>
      <w:r>
        <w:rPr>
          <w:rFonts w:ascii="Times New Roman" w:hAnsi="Times New Roman"/>
          <w:color w:val="000000"/>
          <w:sz w:val="20"/>
        </w:rPr>
        <w:t>(e)          Except as set forth in the Parent SEC Documents, since December 31, 2023,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51" w:name="z_Ref237971016"/>
      <w:bookmarkEnd w:id="551"/>
      <w:r>
        <w:rPr>
          <w:rFonts w:ascii="Times New Roman" w:hAnsi="Times New Roman"/>
          <w:color w:val="000000"/>
          <w:sz w:val="20"/>
        </w:rPr>
        <w:t>(f)          Parent is and since its first date of listing on Nasdaq, has been, in compliance in all material respects with the applicable current listing and governance rules and regulations of Nasdaq.</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52" w:name="z_Ref237971017"/>
      <w:bookmarkEnd w:id="552"/>
      <w:r>
        <w:rPr>
          <w:rFonts w:ascii="Times New Roman" w:hAnsi="Times New Roman"/>
          <w:color w:val="000000"/>
          <w:sz w:val="20"/>
        </w:rPr>
        <w:t xml:space="preserve">(g)          Parent maintains, and at all times since December 31, 2023,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w:t>
      </w:r>
      <w:bookmarkStart w:id="553" w:name="DocXTextRef261"/>
      <w:bookmarkEnd w:id="553"/>
      <w:r>
        <w:rPr>
          <w:rFonts w:ascii="Times New Roman" w:hAnsi="Times New Roman"/>
          <w:color w:val="000000"/>
          <w:sz w:val="20"/>
        </w:rPr>
        <w:t xml:space="preserve">(i)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2025, and, to the extent required by applicable Law, presented in any applicable Parent SEC Document that is a report on Form </w:t>
      </w:r>
      <w:bookmarkStart w:id="554" w:name="DocXTextRef259"/>
      <w:bookmarkEnd w:id="554"/>
      <w:r>
        <w:rPr>
          <w:rFonts w:ascii="Times New Roman" w:hAnsi="Times New Roman"/>
          <w:color w:val="000000"/>
          <w:sz w:val="20"/>
        </w:rPr>
        <w:t xml:space="preserve">10-K or Form </w:t>
      </w:r>
      <w:bookmarkStart w:id="555" w:name="DocXTextRef260"/>
      <w:bookmarkEnd w:id="555"/>
      <w:r>
        <w:rPr>
          <w:rFonts w:ascii="Times New Roman" w:hAnsi="Times New Roman"/>
          <w:color w:val="000000"/>
          <w:sz w:val="20"/>
        </w:rPr>
        <w:t xml:space="preserve">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Times New Roman" w:hAnsi="Times New Roman"/>
          <w:color w:val="000000"/>
          <w:sz w:val="20"/>
          <w:u w:val="single"/>
        </w:rPr>
        <w:t>Section 3.7(g)</w:t>
      </w:r>
      <w:r>
        <w:rPr>
          <w:rFonts w:ascii="Times New Roman" w:hAnsi="Times New Roman"/>
          <w:color w:val="000000"/>
          <w:sz w:val="20"/>
        </w:rPr>
        <w:t xml:space="preserve"> of the Parent Disclosure Schedule) </w:t>
      </w:r>
      <w:bookmarkStart w:id="556" w:name="DocXTextRef262"/>
      <w:bookmarkEnd w:id="556"/>
      <w:r>
        <w:rPr>
          <w:rFonts w:ascii="Times New Roman" w:hAnsi="Times New Roman"/>
          <w:color w:val="000000"/>
          <w:sz w:val="20"/>
        </w:rPr>
        <w:t xml:space="preserve">(A) all material weaknesses and all significant deficiencies, if any, in the design or operation of internal control over financial reporting that are reasonably likely to adversely affect Parent’s ability to record, process, summarize and report financial information and </w:t>
      </w:r>
      <w:bookmarkStart w:id="557" w:name="DocXTextRef263"/>
      <w:bookmarkEnd w:id="557"/>
      <w:r>
        <w:rPr>
          <w:rFonts w:ascii="Times New Roman" w:hAnsi="Times New Roman"/>
          <w:color w:val="000000"/>
          <w:sz w:val="20"/>
        </w:rPr>
        <w:t xml:space="preserve">(B) any fraud, whether or not material, that involves Parent, any of its Subsidiaries, Parent’s management or other employees who have a role in the preparation of financial statements or the internal accounting controls utilized by the Parent and its Subsidiaries or </w:t>
      </w:r>
      <w:bookmarkStart w:id="558" w:name="DocXTextRef264"/>
      <w:bookmarkEnd w:id="558"/>
      <w:r>
        <w:rPr>
          <w:rFonts w:ascii="Times New Roman" w:hAnsi="Times New Roman"/>
          <w:color w:val="000000"/>
          <w:sz w:val="20"/>
        </w:rPr>
        <w:t>(C) any claim or allegation regarding any of the foregoing. Parent has not identified, based on its most recent evaluation of internal control over financial reporting, any significant deficiencies or material weaknesses in the design or operation of Parent’s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(h)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59" w:name="z_Ref237971019"/>
      <w:bookmarkEnd w:id="559"/>
      <w:r>
        <w:rPr>
          <w:rFonts w:ascii="Times New Roman" w:hAnsi="Times New Roman"/>
          <w:color w:val="000000"/>
          <w:sz w:val="20"/>
        </w:rPr>
        <w:t>(i)          </w:t>
      </w:r>
      <w:r>
        <w:rPr>
          <w:rFonts w:ascii="Times New Roman" w:hAnsi="Times New Roman"/>
          <w:color w:val="000000"/>
          <w:sz w:val="20"/>
          <w:u w:val="single"/>
        </w:rPr>
        <w:t>Section 3.7(i)</w:t>
      </w:r>
      <w:r>
        <w:rPr>
          <w:rFonts w:ascii="Times New Roman" w:hAnsi="Times New Roman"/>
          <w:color w:val="000000"/>
          <w:sz w:val="20"/>
        </w:rPr>
        <w:t xml:space="preserve"> to the Parent Disclosure Schedule sets forth an accurate statement of Parent’s cash and cash equivalents as of the close of business on the Business Day preceding the date of this Agreement, and there has been no material change in the amount thereof from such statement through the date of this Agreement. The cash forecast set forth in </w:t>
      </w:r>
      <w:r>
        <w:rPr>
          <w:rFonts w:ascii="Times New Roman" w:hAnsi="Times New Roman"/>
          <w:color w:val="000000"/>
          <w:sz w:val="20"/>
          <w:u w:val="single"/>
        </w:rPr>
        <w:t>Section 3.7(i)</w:t>
      </w:r>
      <w:r>
        <w:rPr>
          <w:rFonts w:ascii="Times New Roman" w:hAnsi="Times New Roman"/>
          <w:color w:val="000000"/>
          <w:sz w:val="20"/>
        </w:rPr>
        <w:t xml:space="preserve"> to the Parent Disclosure Schedule: </w:t>
      </w:r>
      <w:bookmarkStart w:id="560" w:name="DocXTextRef267"/>
      <w:bookmarkEnd w:id="560"/>
      <w:r>
        <w:rPr>
          <w:rFonts w:ascii="Times New Roman" w:hAnsi="Times New Roman"/>
          <w:color w:val="000000"/>
          <w:sz w:val="20"/>
        </w:rPr>
        <w:t>(i) has been prepared by Parent in good faith, (ii) is based on assumptions that Parent considers to be reasonable, and (iii) fairly reflects Parent’s reasonably anticipated rate of cash usage for the periods covered therein.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61" w:name="z_Ref237971020"/>
      <w:bookmarkEnd w:id="561"/>
      <w:r>
        <w:rPr>
          <w:rFonts w:ascii="Times New Roman" w:hAnsi="Times New Roman"/>
          <w:color w:val="000000"/>
          <w:sz w:val="20"/>
        </w:rPr>
        <w:t xml:space="preserve">(j)          Parent has not been and is not currently a “shell company” as defined under </w:t>
      </w:r>
      <w:bookmarkStart w:id="562" w:name="DocXTextRef268"/>
      <w:bookmarkEnd w:id="562"/>
      <w:r>
        <w:rPr>
          <w:rFonts w:ascii="Times New Roman" w:hAnsi="Times New Roman"/>
          <w:color w:val="000000"/>
          <w:sz w:val="20"/>
        </w:rPr>
        <w:t>Section 12b-2 of the Exchange Act.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563" w:name="z_Toc240403057"/>
      <w:bookmarkStart w:id="564" w:name="z_Ref237972762"/>
      <w:bookmarkStart w:id="565" w:name="z_Ref237971021"/>
      <w:bookmarkEnd w:id="563"/>
      <w:bookmarkEnd w:id="564"/>
      <w:bookmarkEnd w:id="565"/>
      <w:r>
        <w:rPr>
          <w:rFonts w:ascii="Times New Roman" w:hAnsi="Times New Roman"/>
          <w:color w:val="000000"/>
          <w:sz w:val="20"/>
        </w:rPr>
        <w:t xml:space="preserve">3.8         </w:t>
      </w:r>
      <w:r>
        <w:rPr>
          <w:rFonts w:ascii="Times New Roman" w:hAnsi="Times New Roman"/>
          <w:b/>
          <w:color w:val="000000"/>
          <w:sz w:val="20"/>
          <w:u w:val="single"/>
        </w:rPr>
        <w:t>Absence of Changes</w:t>
      </w:r>
      <w:r>
        <w:rPr>
          <w:rFonts w:ascii="Times New Roman" w:hAnsi="Times New Roman"/>
          <w:color w:val="000000"/>
          <w:sz w:val="20"/>
        </w:rPr>
        <w:t xml:space="preserve">. Except as set forth in </w:t>
      </w:r>
      <w:r>
        <w:rPr>
          <w:rFonts w:ascii="Times New Roman" w:hAnsi="Times New Roman"/>
          <w:color w:val="000000"/>
          <w:sz w:val="20"/>
          <w:u w:val="single"/>
        </w:rPr>
        <w:t>Section 3.8</w:t>
      </w:r>
      <w:r>
        <w:rPr>
          <w:rFonts w:ascii="Times New Roman" w:hAnsi="Times New Roman"/>
          <w:color w:val="000000"/>
          <w:sz w:val="20"/>
        </w:rPr>
        <w:t xml:space="preserve"> of the Parent Disclosure Schedule, after the date of the Parent Balance Sheet, (x) Parent and its Subsidiaries have conducted their businesses only in the Ordinary Course of Business (except for the execution and performance of this Agreement and the discussions, negotiations and transactions related thereto), (y) there has not been any Parent Material Adverse Effect and </w:t>
      </w:r>
      <w:bookmarkStart w:id="566" w:name="DocXTextRef271"/>
      <w:bookmarkEnd w:id="566"/>
      <w:r>
        <w:rPr>
          <w:rFonts w:ascii="Times New Roman" w:hAnsi="Times New Roman"/>
          <w:color w:val="000000"/>
          <w:sz w:val="20"/>
        </w:rPr>
        <w:t>(z) neither Parent nor any of its Subsidiaries has done any of the following:</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67" w:name="z_Ref237971022"/>
      <w:bookmarkEnd w:id="567"/>
      <w:r>
        <w:rPr>
          <w:rFonts w:ascii="Times New Roman" w:hAnsi="Times New Roman"/>
          <w:color w:val="000000"/>
          <w:sz w:val="20"/>
        </w:rPr>
        <w:t>(a)          declared, accrued, set aside or paid any dividend or made any other distribution in respect of any shares of its capital stock or repurchased, redeemed or otherwise reacquired any shares of its capital stock or other securities (except for shares of Parent Common Stock from terminated employees, directors or consultants of Parent or in connection with the payment of the exercise price and/or withholding Taxes incurred upon the exercise, settlement or vesting of any award granted under the Parent Stock Plans);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68" w:name="z_Ref237971023"/>
      <w:bookmarkEnd w:id="568"/>
      <w:r>
        <w:rPr>
          <w:rFonts w:ascii="Times New Roman" w:hAnsi="Times New Roman"/>
          <w:color w:val="000000"/>
          <w:sz w:val="20"/>
        </w:rPr>
        <w:t xml:space="preserve">(b)          sold, issued, granted, pledged or otherwise disposed of or encumbered or authorized any of the foregoing with respect to: </w:t>
      </w:r>
      <w:bookmarkStart w:id="569" w:name="DocXTextRef272"/>
      <w:bookmarkEnd w:id="569"/>
      <w:r>
        <w:rPr>
          <w:rFonts w:ascii="Times New Roman" w:hAnsi="Times New Roman"/>
          <w:color w:val="000000"/>
          <w:sz w:val="20"/>
        </w:rPr>
        <w:t xml:space="preserve">(A) any capital stock or other security of Parent (except for Parent Common Stock issued upon the valid exercise of outstanding Parent Options or the settlement of a Parent RSU); </w:t>
      </w:r>
      <w:bookmarkStart w:id="570" w:name="DocXTextRef273"/>
      <w:bookmarkEnd w:id="570"/>
      <w:r>
        <w:rPr>
          <w:rFonts w:ascii="Times New Roman" w:hAnsi="Times New Roman"/>
          <w:color w:val="000000"/>
          <w:sz w:val="20"/>
        </w:rPr>
        <w:t xml:space="preserve">(B) any option, warrant or right to acquire any capital stock or any other security, other than option grants to employees and directors in the Ordinary Course of Business; or </w:t>
      </w:r>
      <w:bookmarkStart w:id="571" w:name="DocXTextRef274"/>
      <w:bookmarkEnd w:id="571"/>
      <w:r>
        <w:rPr>
          <w:rFonts w:ascii="Times New Roman" w:hAnsi="Times New Roman"/>
          <w:color w:val="000000"/>
          <w:sz w:val="20"/>
        </w:rPr>
        <w:t>(C) any instrument convertible into or exchangeable for any capital stock or other security of Parent;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72" w:name="z_Ref237971024"/>
      <w:bookmarkEnd w:id="572"/>
      <w:r>
        <w:rPr>
          <w:rFonts w:ascii="Times New Roman" w:hAnsi="Times New Roman"/>
          <w:color w:val="000000"/>
          <w:sz w:val="20"/>
        </w:rPr>
        <w:t>(c)          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other than First Merger Sub and Second Merger Sub, formed any Subsidiary or acquired any equity interest or other interest in any other Entity or entered into a joint venture with any other Entity;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73" w:name="z_Ref237971026"/>
      <w:bookmarkEnd w:id="573"/>
      <w:r>
        <w:rPr>
          <w:rFonts w:ascii="Times New Roman" w:hAnsi="Times New Roman"/>
          <w:color w:val="000000"/>
          <w:sz w:val="20"/>
        </w:rPr>
        <w:t xml:space="preserve">(e)          (i) lent money to any Person (except for the advance of reasonable business expenses to employees, directors and consultants in the Ordinary Course of Business), </w:t>
      </w:r>
      <w:bookmarkStart w:id="574" w:name="DocXTextRef275"/>
      <w:bookmarkEnd w:id="574"/>
      <w:r>
        <w:rPr>
          <w:rFonts w:ascii="Times New Roman" w:hAnsi="Times New Roman"/>
          <w:color w:val="000000"/>
          <w:sz w:val="20"/>
        </w:rPr>
        <w:t xml:space="preserve">(ii) incurred or guaranteed any indebtedness for borrowed money, or </w:t>
      </w:r>
      <w:bookmarkStart w:id="575" w:name="DocXTextRef276"/>
      <w:bookmarkEnd w:id="575"/>
      <w:r>
        <w:rPr>
          <w:rFonts w:ascii="Times New Roman" w:hAnsi="Times New Roman"/>
          <w:color w:val="000000"/>
          <w:sz w:val="20"/>
        </w:rPr>
        <w:t>(iii) guaranteed any debt securities of others;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76" w:name="z_Ref237971027"/>
      <w:bookmarkEnd w:id="576"/>
      <w:r>
        <w:rPr>
          <w:rFonts w:ascii="Times New Roman" w:hAnsi="Times New Roman"/>
          <w:color w:val="000000"/>
          <w:sz w:val="20"/>
        </w:rPr>
        <w:t xml:space="preserve">(f)          other than as required by applicable Law or the terms of any Parent Benefit Plan as in effect on the date of this Agreement: </w:t>
      </w:r>
      <w:bookmarkStart w:id="577" w:name="DocXTextRef277"/>
      <w:bookmarkEnd w:id="577"/>
      <w:r>
        <w:rPr>
          <w:rFonts w:ascii="Times New Roman" w:hAnsi="Times New Roman"/>
          <w:color w:val="000000"/>
          <w:sz w:val="20"/>
        </w:rPr>
        <w:t xml:space="preserve">(i) adopted, terminated, established or entered into any Parent Benefit Plan; </w:t>
      </w:r>
      <w:bookmarkStart w:id="578" w:name="DocXTextRef278"/>
      <w:bookmarkEnd w:id="578"/>
      <w:r>
        <w:rPr>
          <w:rFonts w:ascii="Times New Roman" w:hAnsi="Times New Roman"/>
          <w:color w:val="000000"/>
          <w:sz w:val="20"/>
        </w:rPr>
        <w:t xml:space="preserve">(ii) caused or permitted any Parent Benefit Plan to be amended in any material respect; </w:t>
      </w:r>
      <w:bookmarkStart w:id="579" w:name="DocXTextRef279"/>
      <w:bookmarkEnd w:id="579"/>
      <w:r>
        <w:rPr>
          <w:rFonts w:ascii="Times New Roman" w:hAnsi="Times New Roman"/>
          <w:color w:val="000000"/>
          <w:sz w:val="20"/>
        </w:rPr>
        <w:t xml:space="preserve">(iii) paid any material bonus or distributed any profit-sharing account balances or similar payment to, or, other than in the Ordinary Course of Business, increased the amount of the wages, salary, commissions, benefits or other compensation or remuneration payable to, any of its directors, officers or employees; </w:t>
      </w:r>
      <w:bookmarkStart w:id="580" w:name="DocXTextRef280"/>
      <w:bookmarkEnd w:id="580"/>
      <w:r>
        <w:rPr>
          <w:rFonts w:ascii="Times New Roman" w:hAnsi="Times New Roman"/>
          <w:color w:val="000000"/>
          <w:sz w:val="20"/>
        </w:rPr>
        <w:t xml:space="preserve">(iv) increased the severance or change-of-control benefits offered to any current, former or new employees, directors or consultants or </w:t>
      </w:r>
      <w:bookmarkStart w:id="581" w:name="DocXTextRef281"/>
      <w:bookmarkEnd w:id="581"/>
      <w:r>
        <w:rPr>
          <w:rFonts w:ascii="Times New Roman" w:hAnsi="Times New Roman"/>
          <w:color w:val="000000"/>
          <w:sz w:val="20"/>
        </w:rPr>
        <w:t xml:space="preserve">(v) hired, terminated or gave notice of termination (other than for cause) to any </w:t>
      </w:r>
      <w:bookmarkStart w:id="582" w:name="DocXTextRef282"/>
      <w:bookmarkEnd w:id="582"/>
      <w:r>
        <w:rPr>
          <w:rFonts w:ascii="Times New Roman" w:hAnsi="Times New Roman"/>
          <w:color w:val="000000"/>
          <w:sz w:val="20"/>
        </w:rPr>
        <w:t xml:space="preserve">(A) officer or </w:t>
      </w:r>
      <w:bookmarkStart w:id="583" w:name="DocXTextRef283"/>
      <w:bookmarkEnd w:id="583"/>
      <w:r>
        <w:rPr>
          <w:rFonts w:ascii="Times New Roman" w:hAnsi="Times New Roman"/>
          <w:color w:val="000000"/>
          <w:sz w:val="20"/>
        </w:rPr>
        <w:t>(B) employee whose annual base salary is more than $125,000 per year;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84" w:name="z_Ref237971028"/>
      <w:bookmarkEnd w:id="584"/>
      <w:r>
        <w:rPr>
          <w:rFonts w:ascii="Times New Roman" w:hAnsi="Times New Roman"/>
          <w:color w:val="000000"/>
          <w:sz w:val="20"/>
        </w:rPr>
        <w:t>(g)          entered into any collective bargaining agreement or similar agreement with any labor union, or similar labor organization;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85" w:name="z_Ref237971029"/>
      <w:bookmarkEnd w:id="585"/>
      <w:r>
        <w:rPr>
          <w:rFonts w:ascii="Times New Roman" w:hAnsi="Times New Roman"/>
          <w:color w:val="000000"/>
          <w:sz w:val="20"/>
        </w:rPr>
        <w:t>(h)          entered into any material transaction other than in connection with the Contemplated Transactions;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86" w:name="z_Ref237971030"/>
      <w:bookmarkEnd w:id="586"/>
      <w:r>
        <w:rPr>
          <w:rFonts w:ascii="Times New Roman" w:hAnsi="Times New Roman"/>
          <w:color w:val="000000"/>
          <w:sz w:val="20"/>
        </w:rPr>
        <w:t>(i)          acquired any material asset or sold, leased or otherwise irrevocably disposed of any of its assets or properties, or granted any Encumbrance (other than Permitted Encumbrances) with respect to such assets or properties;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87" w:name="z_Ref237971031"/>
      <w:bookmarkEnd w:id="587"/>
      <w:r>
        <w:rPr>
          <w:rFonts w:ascii="Times New Roman" w:hAnsi="Times New Roman"/>
          <w:color w:val="000000"/>
          <w:sz w:val="20"/>
        </w:rPr>
        <w:t>(j)          sold, assigned, transferred, licensed, sublicensed or otherwise disposed of any material Parent IP (other than pursuant to non-exclusive licenses in the Ordinary Course of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88" w:name="z_Ref237971032"/>
      <w:bookmarkEnd w:id="588"/>
      <w:r>
        <w:rPr>
          <w:rFonts w:ascii="Times New Roman" w:hAnsi="Times New Roman"/>
          <w:color w:val="000000"/>
          <w:sz w:val="20"/>
        </w:rPr>
        <w:t>(k)          made, changed or revoked any material Tax election (other than elections made in the Ordinary Course of Business), failed to pay any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 (other than accounting methods adopted in the Ordinary Course of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(l)          made any expenditures, incurred any Liabilities or discharged or satisfied any Liabilities, in each case, in amounts that exceed the aggregate amount of $100,000;</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89" w:name="z_Ref237971034"/>
      <w:bookmarkEnd w:id="589"/>
      <w:r>
        <w:rPr>
          <w:rFonts w:ascii="Times New Roman" w:hAnsi="Times New Roman"/>
          <w:color w:val="000000"/>
          <w:sz w:val="20"/>
        </w:rPr>
        <w:t>(m)         other than as required by Law or GAAP, taken any action to change accounting policies or procedures;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90" w:name="z_Ref237971035"/>
      <w:bookmarkEnd w:id="590"/>
      <w:r>
        <w:rPr>
          <w:rFonts w:ascii="Times New Roman" w:hAnsi="Times New Roman"/>
          <w:color w:val="000000"/>
          <w:sz w:val="20"/>
        </w:rPr>
        <w:t>(n)          initiated or settled any Legal Proceeding; or</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591" w:name="z_Ref237971036"/>
      <w:bookmarkEnd w:id="591"/>
      <w:r>
        <w:rPr>
          <w:rFonts w:ascii="Times New Roman" w:hAnsi="Times New Roman"/>
          <w:color w:val="000000"/>
          <w:sz w:val="20"/>
        </w:rPr>
        <w:t>(o)          agreed, resolved or committed to do any of the foregoing.</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592" w:name="z_Toc240403058"/>
      <w:bookmarkStart w:id="593" w:name="z_Ref237972795"/>
      <w:bookmarkStart w:id="594" w:name="z_Ref237971037"/>
      <w:bookmarkEnd w:id="592"/>
      <w:bookmarkEnd w:id="593"/>
      <w:bookmarkEnd w:id="594"/>
      <w:r>
        <w:rPr>
          <w:rFonts w:ascii="Times New Roman" w:hAnsi="Times New Roman"/>
          <w:color w:val="000000"/>
          <w:sz w:val="20"/>
        </w:rPr>
        <w:t xml:space="preserve">3.9         </w:t>
      </w:r>
      <w:r>
        <w:rPr>
          <w:rFonts w:ascii="Times New Roman" w:hAnsi="Times New Roman"/>
          <w:b/>
          <w:color w:val="000000"/>
          <w:sz w:val="20"/>
          <w:u w:val="single"/>
        </w:rPr>
        <w:t>Absence of Undisclosed Liabilities</w:t>
      </w:r>
      <w:r>
        <w:rPr>
          <w:rFonts w:ascii="Times New Roman" w:hAnsi="Times New Roman"/>
          <w:color w:val="000000"/>
          <w:sz w:val="20"/>
        </w:rPr>
        <w:t xml:space="preserve">. As of the date hereof, neither Parent nor any of its Subsidiaries has any Liability, individually or in the aggregate, of a type required to be recorded or reflected on a balance sheet or disclosed in the footnotes thereto under GAAP, except for: </w:t>
      </w:r>
      <w:bookmarkStart w:id="595" w:name="DocXTextRef287"/>
      <w:bookmarkEnd w:id="595"/>
      <w:r>
        <w:rPr>
          <w:rFonts w:ascii="Times New Roman" w:hAnsi="Times New Roman"/>
          <w:color w:val="000000"/>
          <w:sz w:val="20"/>
        </w:rPr>
        <w:t xml:space="preserve">(a) Liabilities disclosed, reflected or reserved against in the Parent Balance Sheet; </w:t>
      </w:r>
      <w:bookmarkStart w:id="596" w:name="DocXTextRef288"/>
      <w:bookmarkEnd w:id="596"/>
      <w:r>
        <w:rPr>
          <w:rFonts w:ascii="Times New Roman" w:hAnsi="Times New Roman"/>
          <w:color w:val="000000"/>
          <w:sz w:val="20"/>
        </w:rPr>
        <w:t xml:space="preserve">(b) Liabilities that have been incurred by Parent or its Subsidiaries since the date of the Parent Balance Sheet in the Ordinary Course of Business; </w:t>
      </w:r>
      <w:bookmarkStart w:id="597" w:name="DocXTextRef289"/>
      <w:bookmarkEnd w:id="597"/>
      <w:r>
        <w:rPr>
          <w:rFonts w:ascii="Times New Roman" w:hAnsi="Times New Roman"/>
          <w:color w:val="000000"/>
          <w:sz w:val="20"/>
        </w:rPr>
        <w:t xml:space="preserve">(c) Liabilities for performance of obligations of Parent or any of its Subsidiaries under Parent Contracts in the Ordinary Course of Business; </w:t>
      </w:r>
      <w:bookmarkStart w:id="598" w:name="DocXTextRef290"/>
      <w:bookmarkEnd w:id="598"/>
      <w:r>
        <w:rPr>
          <w:rFonts w:ascii="Times New Roman" w:hAnsi="Times New Roman"/>
          <w:color w:val="000000"/>
          <w:sz w:val="20"/>
        </w:rPr>
        <w:t xml:space="preserve">(d) Liabilities incurred in connection with the Contemplated Transactions; </w:t>
      </w:r>
      <w:bookmarkStart w:id="599" w:name="DocXTextRef291"/>
      <w:bookmarkEnd w:id="599"/>
      <w:r>
        <w:rPr>
          <w:rFonts w:ascii="Times New Roman" w:hAnsi="Times New Roman"/>
          <w:color w:val="000000"/>
          <w:sz w:val="20"/>
        </w:rPr>
        <w:t xml:space="preserve">(e) Liabilities which would not, individually or in the aggregate, reasonably be expected to be material to the Parent; and </w:t>
      </w:r>
      <w:bookmarkStart w:id="600" w:name="DocXTextRef292"/>
      <w:bookmarkEnd w:id="600"/>
      <w:r>
        <w:rPr>
          <w:rFonts w:ascii="Times New Roman" w:hAnsi="Times New Roman"/>
          <w:color w:val="000000"/>
          <w:sz w:val="20"/>
        </w:rPr>
        <w:t xml:space="preserve">(f) Liabilities described in </w:t>
      </w:r>
      <w:r>
        <w:rPr>
          <w:rFonts w:ascii="Times New Roman" w:hAnsi="Times New Roman"/>
          <w:color w:val="000000"/>
          <w:sz w:val="20"/>
          <w:u w:val="single"/>
        </w:rPr>
        <w:t>Section 3.9</w:t>
      </w:r>
      <w:r>
        <w:rPr>
          <w:rFonts w:ascii="Times New Roman" w:hAnsi="Times New Roman"/>
          <w:color w:val="000000"/>
          <w:sz w:val="20"/>
        </w:rPr>
        <w:t xml:space="preserve"> of the Parent Disclosure Schedule.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601" w:name="z_Toc240403059"/>
      <w:bookmarkStart w:id="602" w:name="z_Ref237971038"/>
      <w:bookmarkEnd w:id="601"/>
      <w:bookmarkEnd w:id="602"/>
      <w:r>
        <w:rPr>
          <w:rFonts w:ascii="Times New Roman" w:hAnsi="Times New Roman"/>
          <w:color w:val="000000"/>
          <w:sz w:val="20"/>
        </w:rPr>
        <w:t xml:space="preserve">3.10       </w:t>
      </w:r>
      <w:r>
        <w:rPr>
          <w:rFonts w:ascii="Times New Roman" w:hAnsi="Times New Roman"/>
          <w:b/>
          <w:color w:val="000000"/>
          <w:sz w:val="20"/>
          <w:u w:val="single"/>
        </w:rPr>
        <w:t>Title to Assets</w:t>
      </w:r>
      <w:r>
        <w:rPr>
          <w:rFonts w:ascii="Times New Roman" w:hAnsi="Times New Roman"/>
          <w:color w:val="000000"/>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that are material to Parent or its business, including: </w:t>
      </w:r>
      <w:bookmarkStart w:id="603" w:name="DocXTextRef293"/>
      <w:bookmarkEnd w:id="603"/>
      <w:r>
        <w:rPr>
          <w:rFonts w:ascii="Times New Roman" w:hAnsi="Times New Roman"/>
          <w:color w:val="000000"/>
          <w:sz w:val="20"/>
        </w:rPr>
        <w:t xml:space="preserve">(a) all tangible assets reflected on the Parent Balance Sheet; and </w:t>
      </w:r>
      <w:bookmarkStart w:id="604" w:name="DocXTextRef294"/>
      <w:bookmarkEnd w:id="604"/>
      <w:r>
        <w:rPr>
          <w:rFonts w:ascii="Times New Roman" w:hAnsi="Times New Roman"/>
          <w:color w:val="000000"/>
          <w:sz w:val="20"/>
        </w:rPr>
        <w:t>(b) all other tangible assets reflected in the books and records of Parent or any of its Subsidiaries as being owned by Parent or such Subsidiary. All of such assets are owned or, in the case of leased assets, leased by Parent or its Subsidiaries free and clear of any Encumbrances, other than Permitted Encumbrances.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605" w:name="z_Toc240403060"/>
      <w:bookmarkStart w:id="606" w:name="z_Ref237974395"/>
      <w:bookmarkStart w:id="607" w:name="z_Ref237971039"/>
      <w:bookmarkEnd w:id="605"/>
      <w:bookmarkEnd w:id="606"/>
      <w:bookmarkEnd w:id="607"/>
      <w:r>
        <w:rPr>
          <w:rFonts w:ascii="Times New Roman" w:hAnsi="Times New Roman"/>
          <w:color w:val="000000"/>
          <w:sz w:val="20"/>
        </w:rPr>
        <w:t xml:space="preserve">3.11       </w:t>
      </w:r>
      <w:r>
        <w:rPr>
          <w:rFonts w:ascii="Times New Roman" w:hAnsi="Times New Roman"/>
          <w:b/>
          <w:color w:val="000000"/>
          <w:sz w:val="20"/>
          <w:u w:val="single"/>
        </w:rPr>
        <w:t>Real Property; Leasehold</w:t>
      </w:r>
      <w:r>
        <w:rPr>
          <w:rFonts w:ascii="Times New Roman" w:hAnsi="Times New Roman"/>
          <w:color w:val="000000"/>
          <w:sz w:val="20"/>
        </w:rPr>
        <w:t xml:space="preserve">. Neither Parent nor any of its Subsidiaries owns or ever has owned any real property. Parent has made available to the Company </w:t>
      </w:r>
      <w:bookmarkStart w:id="608" w:name="DocXTextRef295"/>
      <w:bookmarkEnd w:id="608"/>
      <w:r>
        <w:rPr>
          <w:rFonts w:ascii="Times New Roman" w:hAnsi="Times New Roman"/>
          <w:color w:val="000000"/>
          <w:sz w:val="20"/>
        </w:rPr>
        <w:t xml:space="preserve">(a) an accurate and complete list of all real properties with respect to which Parent directly or indirectly holds a valid leasehold interest as well as any other real estate that is in the possession of, or occupied or leased by, Parent or any of its Subsidiaries, and </w:t>
      </w:r>
      <w:bookmarkStart w:id="609" w:name="DocXTextRef296"/>
      <w:bookmarkEnd w:id="609"/>
      <w:r>
        <w:rPr>
          <w:rFonts w:ascii="Times New Roman" w:hAnsi="Times New Roman"/>
          <w:color w:val="000000"/>
          <w:sz w:val="20"/>
        </w:rPr>
        <w:t>(b) copies of all leases under which any such real property is possessed, occupied or leased (the “</w:t>
      </w:r>
      <w:r>
        <w:rPr>
          <w:rFonts w:ascii="Times New Roman" w:hAnsi="Times New Roman"/>
          <w:b/>
          <w:i/>
          <w:color w:val="000000"/>
          <w:sz w:val="20"/>
        </w:rPr>
        <w:t>Parent Real Estate Leases</w:t>
      </w:r>
      <w:r>
        <w:rPr>
          <w:rFonts w:ascii="Times New Roman" w:hAnsi="Times New Roman"/>
          <w:color w:val="000000"/>
          <w:sz w:val="20"/>
        </w:rPr>
        <w:t xml:space="preserve">”), each of which is in full force and effect, with no existing material default thereunder by Parent or any of its Subsidiaries, or to the Knowledge of Parent, any other party thereto.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Parent has not received any written notice from its landlords or any Governmental Body that: </w:t>
      </w:r>
      <w:bookmarkStart w:id="610" w:name="DocXTextRef297"/>
      <w:bookmarkEnd w:id="610"/>
      <w:r>
        <w:rPr>
          <w:rFonts w:ascii="Times New Roman" w:hAnsi="Times New Roman"/>
          <w:color w:val="000000"/>
          <w:sz w:val="20"/>
        </w:rPr>
        <w:t>(i) relates to violations of building, zoning, safety or fire ordinances or regulations; (ii) claims any defect or deficiency with respect to any of such properties; or (iii) requests the performance of any repairs, alterations or other work to such properties.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3.12       </w:t>
      </w:r>
      <w:r>
        <w:rPr>
          <w:rFonts w:ascii="Times New Roman" w:hAnsi="Times New Roman"/>
          <w:b/>
          <w:color w:val="000000"/>
          <w:sz w:val="20"/>
          <w:u w:val="single"/>
        </w:rPr>
        <w:t>Intellectual Property; Privacy.</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11" w:name="z_Ref237971041"/>
      <w:bookmarkEnd w:id="611"/>
      <w:r>
        <w:rPr>
          <w:rFonts w:ascii="Times New Roman" w:hAnsi="Times New Roman"/>
          <w:color w:val="000000"/>
          <w:sz w:val="20"/>
        </w:rPr>
        <w:t>(a)          </w:t>
      </w:r>
      <w:r>
        <w:rPr>
          <w:rFonts w:ascii="Times New Roman" w:hAnsi="Times New Roman"/>
          <w:color w:val="000000"/>
          <w:sz w:val="20"/>
          <w:u w:val="single"/>
        </w:rPr>
        <w:t>Section 3.12(a)</w:t>
      </w:r>
      <w:r>
        <w:rPr>
          <w:rFonts w:ascii="Times New Roman" w:hAnsi="Times New Roman"/>
          <w:color w:val="000000"/>
          <w:sz w:val="20"/>
        </w:rPr>
        <w:t xml:space="preserve"> of the Parent Disclosure Schedule identifies each item of material Registered IP owned in whole or in part by the Parent or its Subsidiaries, including, with respect to each application and registration: </w:t>
      </w:r>
      <w:bookmarkStart w:id="612" w:name="DocXTextRef300"/>
      <w:bookmarkEnd w:id="612"/>
      <w:r>
        <w:rPr>
          <w:rFonts w:ascii="Times New Roman" w:hAnsi="Times New Roman"/>
          <w:color w:val="000000"/>
          <w:sz w:val="20"/>
        </w:rPr>
        <w:t xml:space="preserve">(i) the name of the applicant/registrant and any other co-owners, (ii) the jurisdiction of application or registration, and (iii) the application or registration number. To the Knowledge of Parent, each of the U.S. patents included in </w:t>
      </w:r>
      <w:r>
        <w:rPr>
          <w:rFonts w:ascii="Times New Roman" w:hAnsi="Times New Roman"/>
          <w:color w:val="000000"/>
          <w:sz w:val="20"/>
          <w:u w:val="single"/>
        </w:rPr>
        <w:t>Section 3.12(a)</w:t>
      </w:r>
      <w:r>
        <w:rPr>
          <w:rFonts w:ascii="Times New Roman" w:hAnsi="Times New Roman"/>
          <w:color w:val="000000"/>
          <w:sz w:val="20"/>
        </w:rPr>
        <w:t xml:space="preserve"> of the Parent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and enforceable, and with respect to the Parent’s material Registered IP, subsisting.</w:t>
      </w:r>
      <w:bookmarkStart w:id="613" w:name="z_Ref237971042"/>
      <w:bookmarkEnd w:id="613"/>
      <w:r>
        <w:rPr>
          <w:rFonts w:ascii="Times New Roman" w:hAnsi="Times New Roman"/>
          <w:color w:val="000000"/>
          <w:sz w:val="20"/>
        </w:rPr>
        <w:t xml:space="preserve"> There are no actions that must be taken within 90 days of the Closing, the failure of which will result in the abandonment, lapse or cancellation of any material Registered IP owned in whole or in part by Parent.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14" w:name="z_Ref237971043"/>
      <w:bookmarkEnd w:id="614"/>
      <w:r>
        <w:rPr>
          <w:rFonts w:ascii="Times New Roman" w:hAnsi="Times New Roman"/>
          <w:color w:val="000000"/>
          <w:sz w:val="20"/>
        </w:rPr>
        <w:t xml:space="preserve">(b)          Except as has not had and would not reasonably be expected to have, individually or in the aggregate, a Parent Material Adverse Effect, Parent or its Subsidiaries exclusively own, are the sole assignee of, or have exclusively licensed all of material Parent IP, free and clear of all Encumbrances other than Permitted Encumbrances. The Parent IP constitute all Intellectual Property Rights used in, material to or otherwise necessary for the operation of Parent’s and any of its Subsidiaries’ business as currently conducted. For clarity, nothing in this </w:t>
      </w:r>
      <w:r>
        <w:rPr>
          <w:rFonts w:ascii="Times New Roman" w:hAnsi="Times New Roman"/>
          <w:color w:val="000000"/>
          <w:sz w:val="20"/>
          <w:u w:val="single"/>
        </w:rPr>
        <w:t>Section 3.12(b)</w:t>
      </w:r>
      <w:r>
        <w:rPr>
          <w:rFonts w:ascii="Times New Roman" w:hAnsi="Times New Roman"/>
          <w:color w:val="000000"/>
          <w:sz w:val="20"/>
        </w:rPr>
        <w:t xml:space="preserve"> shall be deemed a representation or warranty with respect to infringement, misappropriation, or other violation of any Intellectual Property Rights of another Person, which is covered under </w:t>
      </w:r>
      <w:r>
        <w:rPr>
          <w:rFonts w:ascii="Times New Roman" w:hAnsi="Times New Roman"/>
          <w:color w:val="000000"/>
          <w:sz w:val="20"/>
          <w:u w:val="single"/>
        </w:rPr>
        <w:t>Section 3.12(e)</w:t>
      </w:r>
      <w:r>
        <w:rPr>
          <w:rFonts w:ascii="Times New Roman" w:hAnsi="Times New Roman"/>
          <w:color w:val="000000"/>
          <w:sz w:val="20"/>
        </w:rPr>
        <w:t>.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Each Parent Associate who has or has had access to Parent’s or any of its Subsidiaries’ trade secrets or confidential information has signed a valid and enforceable written agreement containing confidentiality provisions protecting the Parent IP, trade secrets and confidential information. Parent has taken commercially reasonable steps to protect and preserve the confidentiality of its trade secrets and confidential information.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15" w:name="z_Ref237971044"/>
      <w:bookmarkEnd w:id="615"/>
      <w:r>
        <w:rPr>
          <w:rFonts w:ascii="Times New Roman" w:hAnsi="Times New Roman"/>
          <w:color w:val="000000"/>
          <w:sz w:val="20"/>
        </w:rPr>
        <w:t>(c)          To the Knowledge of Parent, no funding, facilities or personnel of any Governmental Body or any university, college, research institute or other educational institution has been used to create Parent IP, except for any such funding or use of facilities or personnel that does not result in such Governmental Body or educational institution obtaining ownership rights or a license to such Parent IP or the right to receive royalties for the practice of such Parent IP.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Section 3.12(d)</w:t>
      </w:r>
      <w:r>
        <w:rPr>
          <w:rFonts w:ascii="Times New Roman" w:hAnsi="Times New Roman"/>
          <w:color w:val="000000"/>
          <w:sz w:val="20"/>
        </w:rPr>
        <w:t xml:space="preserve"> of Parent Disclosure Schedule sets forth each license agreement pursuant to which Parent </w:t>
      </w:r>
      <w:bookmarkStart w:id="616" w:name="DocXTextRef303"/>
      <w:bookmarkEnd w:id="616"/>
      <w:r>
        <w:rPr>
          <w:rFonts w:ascii="Times New Roman" w:hAnsi="Times New Roman"/>
          <w:color w:val="000000"/>
          <w:sz w:val="20"/>
        </w:rPr>
        <w:t>(i) is granted a license under any material Intellectual Property Right owned by any third party that is used by Parent or its Subsidiaries in its business as currently conducted (each a “</w:t>
      </w:r>
      <w:r>
        <w:rPr>
          <w:rFonts w:ascii="Times New Roman" w:hAnsi="Times New Roman"/>
          <w:b/>
          <w:i/>
          <w:color w:val="000000"/>
          <w:sz w:val="20"/>
        </w:rPr>
        <w:t>Parent In-bound License</w:t>
      </w:r>
      <w:r>
        <w:rPr>
          <w:rFonts w:ascii="Times New Roman" w:hAnsi="Times New Roman"/>
          <w:color w:val="000000"/>
          <w:sz w:val="20"/>
        </w:rPr>
        <w:t>”) or (ii) grants to any third party a license under any material Parent IP (each a “</w:t>
      </w:r>
      <w:r>
        <w:rPr>
          <w:rFonts w:ascii="Times New Roman" w:hAnsi="Times New Roman"/>
          <w:b/>
          <w:i/>
          <w:color w:val="000000"/>
          <w:sz w:val="20"/>
        </w:rPr>
        <w:t>Parent Out-bound License</w:t>
      </w:r>
      <w:r>
        <w:rPr>
          <w:rFonts w:ascii="Times New Roman" w:hAnsi="Times New Roman"/>
          <w:color w:val="000000"/>
          <w:sz w:val="20"/>
        </w:rPr>
        <w:t>”) (</w:t>
      </w:r>
      <w:r>
        <w:rPr>
          <w:rFonts w:ascii="Times New Roman" w:hAnsi="Times New Roman"/>
          <w:i/>
          <w:color w:val="000000"/>
          <w:sz w:val="20"/>
        </w:rPr>
        <w:t>provided</w:t>
      </w:r>
      <w:r>
        <w:rPr>
          <w:rFonts w:ascii="Times New Roman" w:hAnsi="Times New Roman"/>
          <w:color w:val="000000"/>
          <w:sz w:val="20"/>
        </w:rPr>
        <w:t xml:space="preserve">, that, Parent In-bound Licenses shall not include, when entered into in the Ordinary Course of Business, material transfer agreements, services agreements, clinical trial agreements, agreements with Parent Associates, non-disclosure agreements, commercially available Software-as-a-Service offerings, or off-the-shelf software licenses; and Parent Out-bound Licenses shall not include, when entered into in the Ordinary Course of Business, material transfer agreements, clinical trial agreements, services agreements, non-disclosure agreements, or non-exclusive outbound licenses). All Parent In-bound Licenses and Parent Out-bound Licenses are in full force and effect and are valid, enforceable and binding obligations of Parent and, to the Knowledge of Parent, each other party to such Parent In-bound Licenses or Parent Out-bound Licenses. Neither Parent, nor, to the Knowledge of Parent, any other party to such Parent In-bound Licenses or Parent Out-bound Licenses, is in material breach under any Parent In-bound Licenses or Parent Out-bound Licenses. Except as set forth in </w:t>
      </w:r>
      <w:r>
        <w:rPr>
          <w:rFonts w:ascii="Times New Roman" w:hAnsi="Times New Roman"/>
          <w:color w:val="000000"/>
          <w:sz w:val="20"/>
          <w:u w:val="single"/>
        </w:rPr>
        <w:t>Section 3.12(d)</w:t>
      </w:r>
      <w:r>
        <w:rPr>
          <w:rFonts w:ascii="Times New Roman" w:hAnsi="Times New Roman"/>
          <w:color w:val="000000"/>
          <w:sz w:val="20"/>
        </w:rPr>
        <w:t xml:space="preserve"> of the Parent Disclosure Schedule, none of the terms or conditions of any Parent In-Bound License or any Parent Out-bound License requires Parent or any of its Subsidiaries or any of their Affiliates to maintain, develop or prosecute any Intellectual Property Rights.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17" w:name="z_Ref237971046"/>
      <w:bookmarkEnd w:id="617"/>
      <w:r>
        <w:rPr>
          <w:rFonts w:ascii="Times New Roman" w:hAnsi="Times New Roman"/>
          <w:color w:val="000000"/>
          <w:sz w:val="20"/>
        </w:rPr>
        <w:t xml:space="preserve">(e)          To the Knowledge of Parent: </w:t>
      </w:r>
      <w:bookmarkStart w:id="618" w:name="DocXTextRef304"/>
      <w:bookmarkEnd w:id="618"/>
      <w:r>
        <w:rPr>
          <w:rFonts w:ascii="Times New Roman" w:hAnsi="Times New Roman"/>
          <w:color w:val="000000"/>
          <w:sz w:val="20"/>
        </w:rPr>
        <w:t xml:space="preserve">(i)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No Legal Proceeding is pending (or, to the Knowledge of Parent, is threatened in writing) </w:t>
      </w:r>
      <w:bookmarkStart w:id="619" w:name="DocXTextRef305"/>
      <w:bookmarkEnd w:id="619"/>
      <w:r>
        <w:rPr>
          <w:rFonts w:ascii="Times New Roman" w:hAnsi="Times New Roman"/>
          <w:color w:val="000000"/>
          <w:sz w:val="20"/>
        </w:rPr>
        <w:t xml:space="preserve">(A) against Parent or its Subsidiaries alleging that the operation of the business of Parent or its Subsidiaries infringes or constitutes the misappropriation or other violation of any Intellectual Property Rights of another Person or </w:t>
      </w:r>
      <w:bookmarkStart w:id="620" w:name="DocXTextRef306"/>
      <w:bookmarkEnd w:id="620"/>
      <w:r>
        <w:rPr>
          <w:rFonts w:ascii="Times New Roman" w:hAnsi="Times New Roman"/>
          <w:color w:val="000000"/>
          <w:sz w:val="20"/>
        </w:rPr>
        <w:t>(B) by Parent or its Subsidiaries alleging that another Person has infringed, misappropriated or otherwise violated any of the Parent IP. Since January 1, 2020, neither Parent nor its Subsidiaries have received any written notice or other written communication alleging that the operation of the business of Parent or its Subsidiaries infringes or constitutes the misappropriation or other violation of any Intellectual Property Right of another Person.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21" w:name="z_Ref237971047"/>
      <w:bookmarkEnd w:id="621"/>
      <w:r>
        <w:rPr>
          <w:rFonts w:ascii="Times New Roman" w:hAnsi="Times New Roman"/>
          <w:color w:val="000000"/>
          <w:sz w:val="20"/>
        </w:rPr>
        <w:t>(f)          None of the Parent IP or, to the Knowledge of Parent, any material Intellectual Property Rights exclusively licensed by Parent or its Subsidiaries, is subject to any pending or outstanding injunction, directive, order, judgment or other disposition of dispute, that adversely and materially restricts the use, transfer, registration or licensing by Parent or its Subsidiaries of any such Parent IP or material Intellectual Property Rights exclusively licensed to Parent or its Subsidiaries.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22" w:name="z_Ref237971048"/>
      <w:bookmarkEnd w:id="622"/>
      <w:r>
        <w:rPr>
          <w:rFonts w:ascii="Times New Roman" w:hAnsi="Times New Roman"/>
          <w:color w:val="000000"/>
          <w:sz w:val="20"/>
        </w:rPr>
        <w:t xml:space="preserve">(g)          To the Knowledge of Parent, Parent and the operation of Parent’s and its Subsidiaries’ business are, and have at all times in the past three years been, in material compliance with all Privacy and Data Processing Requirements. To the Knowledge of Parent, Parent and its Subsidiaries have at all applicable times provided all notices, and obtained and maintained all rights, consents, and authorizations, in each case as required by applicable Privacy and Data Processing Requirements, to Process Parent Data as Processed by or for Parent or its Subsidiaries. In the past three years, there have been </w:t>
      </w:r>
      <w:bookmarkStart w:id="623" w:name="DocXTextRef307"/>
      <w:bookmarkEnd w:id="623"/>
      <w:r>
        <w:rPr>
          <w:rFonts w:ascii="Times New Roman" w:hAnsi="Times New Roman"/>
          <w:color w:val="000000"/>
          <w:sz w:val="20"/>
        </w:rPr>
        <w:t xml:space="preserve">(i) no loss or theft of, or security breach relating to, Parent Data, and/or (ii) no unauthorized access to, or unauthorized, unintended, or improper use, disclosure, or other Processing of, any Parent Data. Parent and its Subsidiaries have taken commercially reasonable measures and steps and have implemented, maintained and tested reasonable disaster recovery and security plans and procedures to protect the information technology systems used in, material to or necessary for operation of Parent’s or its Subsidiaries business as currently conducted and all Parent Data from unauthorized use, access, disclosure and/or other Processing. To the Knowledge of Parent, in the past three years there have been no </w:t>
      </w:r>
      <w:bookmarkStart w:id="624" w:name="DocXTextRef308"/>
      <w:bookmarkEnd w:id="624"/>
      <w:r>
        <w:rPr>
          <w:rFonts w:ascii="Times New Roman" w:hAnsi="Times New Roman"/>
          <w:color w:val="000000"/>
          <w:sz w:val="20"/>
        </w:rPr>
        <w:t>(A) material malfunctions or unauthorized intrusions or breaches of the information technology systems used in, material to or necessary for the operation of Parent’s or its Subsidiaries’ business or (B) material unauthorized access to, or other processing of, Parent Data.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3.13       </w:t>
      </w:r>
      <w:r>
        <w:rPr>
          <w:rFonts w:ascii="Times New Roman" w:hAnsi="Times New Roman"/>
          <w:b/>
          <w:color w:val="000000"/>
          <w:sz w:val="20"/>
          <w:u w:val="single"/>
        </w:rPr>
        <w:t>Agreements, Contracts and Commitments.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25" w:name="z_Ref237971050"/>
      <w:bookmarkEnd w:id="625"/>
      <w:r>
        <w:rPr>
          <w:rFonts w:ascii="Times New Roman" w:hAnsi="Times New Roman"/>
          <w:color w:val="000000"/>
          <w:sz w:val="20"/>
        </w:rPr>
        <w:t>(a)          </w:t>
      </w:r>
      <w:r>
        <w:rPr>
          <w:rFonts w:ascii="Times New Roman" w:hAnsi="Times New Roman"/>
          <w:color w:val="000000"/>
          <w:sz w:val="20"/>
          <w:u w:val="single"/>
        </w:rPr>
        <w:t>Section 3.13</w:t>
      </w:r>
      <w:r>
        <w:rPr>
          <w:rFonts w:ascii="Times New Roman" w:hAnsi="Times New Roman"/>
          <w:color w:val="000000"/>
          <w:sz w:val="20"/>
        </w:rPr>
        <w:t xml:space="preserve"> of the Parent Disclosure Schedule lists the following Parent Contracts in effect as of the date of this Agreement other than any Parent Benefit Plans (each, a “</w:t>
      </w:r>
      <w:r>
        <w:rPr>
          <w:rFonts w:ascii="Times New Roman" w:hAnsi="Times New Roman"/>
          <w:b/>
          <w:i/>
          <w:color w:val="000000"/>
          <w:sz w:val="20"/>
        </w:rPr>
        <w:t>Parent Material Contract</w:t>
      </w:r>
      <w:r>
        <w:rPr>
          <w:rFonts w:ascii="Times New Roman" w:hAnsi="Times New Roman"/>
          <w:color w:val="000000"/>
          <w:sz w:val="20"/>
        </w:rPr>
        <w:t>” and collectively, the “</w:t>
      </w:r>
      <w:r>
        <w:rPr>
          <w:rFonts w:ascii="Times New Roman" w:hAnsi="Times New Roman"/>
          <w:b/>
          <w:i/>
          <w:color w:val="000000"/>
          <w:sz w:val="20"/>
        </w:rPr>
        <w:t>Parent Material Contracts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26" w:name="z_Ref237971051"/>
      <w:bookmarkEnd w:id="626"/>
      <w:r>
        <w:rPr>
          <w:rFonts w:ascii="Times New Roman" w:hAnsi="Times New Roman"/>
          <w:color w:val="000000"/>
          <w:sz w:val="20"/>
        </w:rPr>
        <w:t>(i)          a material Contract as defined in Item 601(b)(10) of Regulation S-K as promulgated under the Securities Act;</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27" w:name="z_Ref237971052"/>
      <w:bookmarkEnd w:id="627"/>
      <w:r>
        <w:rPr>
          <w:rFonts w:ascii="Times New Roman" w:hAnsi="Times New Roman"/>
          <w:color w:val="000000"/>
          <w:sz w:val="20"/>
        </w:rPr>
        <w:t>(ii)         each Parent Contract relating to any agreement of indemnification or guaranty not entered into in the Ordinary Course of Business;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28" w:name="z_Ref237971053"/>
      <w:bookmarkEnd w:id="628"/>
      <w:r>
        <w:rPr>
          <w:rFonts w:ascii="Times New Roman" w:hAnsi="Times New Roman"/>
          <w:color w:val="000000"/>
          <w:sz w:val="20"/>
        </w:rPr>
        <w:t xml:space="preserve">(iii)        each Parent Contract containing </w:t>
      </w:r>
      <w:bookmarkStart w:id="629" w:name="DocXTextRef310"/>
      <w:bookmarkEnd w:id="629"/>
      <w:r>
        <w:rPr>
          <w:rFonts w:ascii="Times New Roman" w:hAnsi="Times New Roman"/>
          <w:color w:val="000000"/>
          <w:sz w:val="20"/>
        </w:rPr>
        <w:t xml:space="preserve">(A) any covenant limiting in any material respect the freedom of Parent or its Subsidiaries to engage in any line of business or compete with any Person, </w:t>
      </w:r>
      <w:bookmarkStart w:id="630" w:name="DocXTextRef311"/>
      <w:bookmarkEnd w:id="630"/>
      <w:r>
        <w:rPr>
          <w:rFonts w:ascii="Times New Roman" w:hAnsi="Times New Roman"/>
          <w:color w:val="000000"/>
          <w:sz w:val="20"/>
        </w:rPr>
        <w:t xml:space="preserve">(B) any most-favored nation or other preferred pricing arrangement in favor of a Person other than Parent or any similar term by which any Person is or could become entitled to any benefit, right or privilege that must be at least as favorable to such Person as those offered to any other Person, </w:t>
      </w:r>
      <w:bookmarkStart w:id="631" w:name="DocXTextRef312"/>
      <w:bookmarkEnd w:id="631"/>
      <w:r>
        <w:rPr>
          <w:rFonts w:ascii="Times New Roman" w:hAnsi="Times New Roman"/>
          <w:color w:val="000000"/>
          <w:sz w:val="20"/>
        </w:rPr>
        <w:t xml:space="preserve">(C) any exclusivity provision, option to receive a license, right of first refusal or right of first negotiation or similar covenant in favor of a Person other than Parent, or </w:t>
      </w:r>
      <w:bookmarkStart w:id="632" w:name="DocXTextRef313"/>
      <w:bookmarkEnd w:id="632"/>
      <w:r>
        <w:rPr>
          <w:rFonts w:ascii="Times New Roman" w:hAnsi="Times New Roman"/>
          <w:color w:val="000000"/>
          <w:sz w:val="20"/>
        </w:rPr>
        <w:t>(D) any non-solicitation provision not entered into in the Ordinary Course of Business, other than, in the case of this clause (D) any Parent Contract that is a (1) confidentiality, non-disclosure or similar agreement, (2) a license agreement or (3) a services, consulting or similar agreement, in each case, entered into in the Ordinary Course of Business;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33" w:name="z_Ref237971054"/>
      <w:bookmarkEnd w:id="633"/>
      <w:r>
        <w:rPr>
          <w:rFonts w:ascii="Times New Roman" w:hAnsi="Times New Roman"/>
          <w:color w:val="000000"/>
          <w:sz w:val="20"/>
        </w:rPr>
        <w:t>(iv)        each Parent Contract relating to capital expenditures and requiring payments after the date of this Agreement in excess of $100,000 pursuant to its express terms and not cancelable without penalty;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34" w:name="z_Ref237971055"/>
      <w:bookmarkEnd w:id="634"/>
      <w:r>
        <w:rPr>
          <w:rFonts w:ascii="Times New Roman" w:hAnsi="Times New Roman"/>
          <w:color w:val="000000"/>
          <w:sz w:val="20"/>
        </w:rPr>
        <w:t>(v)         each Parent Contract relating to the disposition or acquisition of material assets or any ownership interest in any Entity, except as contemplated hereby;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35" w:name="z_Ref237971056"/>
      <w:bookmarkEnd w:id="635"/>
      <w:r>
        <w:rPr>
          <w:rFonts w:ascii="Times New Roman" w:hAnsi="Times New Roman"/>
          <w:color w:val="000000"/>
          <w:sz w:val="20"/>
        </w:rPr>
        <w:t>(vi)        each Parent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 xml:space="preserve">(vii)       each Parent Contract requiring payment by or to Parent after the date of this Agreement in excess of $100,000 in the aggregate in the current calendar year or any future calendar year pursuant to its express terms relating to: </w:t>
      </w:r>
      <w:bookmarkStart w:id="636" w:name="DocXTextRef314"/>
      <w:bookmarkEnd w:id="636"/>
      <w:r>
        <w:rPr>
          <w:rFonts w:ascii="Times New Roman" w:hAnsi="Times New Roman"/>
          <w:color w:val="000000"/>
          <w:sz w:val="20"/>
        </w:rPr>
        <w:t xml:space="preserve">(A) any distribution agreement (identifying any that contain exclusivity provisions); </w:t>
      </w:r>
      <w:bookmarkStart w:id="637" w:name="DocXTextRef315"/>
      <w:bookmarkEnd w:id="637"/>
      <w:r>
        <w:rPr>
          <w:rFonts w:ascii="Times New Roman" w:hAnsi="Times New Roman"/>
          <w:color w:val="000000"/>
          <w:sz w:val="20"/>
        </w:rPr>
        <w:t xml:space="preserve">(B) any agreement involving provision of services or products with respect to any non-clinical or clinical development activities of Parent; </w:t>
      </w:r>
      <w:bookmarkStart w:id="638" w:name="DocXTextRef316"/>
      <w:bookmarkEnd w:id="638"/>
      <w:r>
        <w:rPr>
          <w:rFonts w:ascii="Times New Roman" w:hAnsi="Times New Roman"/>
          <w:color w:val="000000"/>
          <w:sz w:val="20"/>
        </w:rPr>
        <w:t xml:space="preserve">(C) any dealer, distributor, joint marketing, alliance, joint venture, cooperation, development or other agreement currently in force under which Parent has continuing obligations to develop or market any product, technology or service, or any agreement pursuant to which Parent has continuing obligations to develop any Intellectual Property Rights that will not be owned, in whole or in part, by Parent; or </w:t>
      </w:r>
      <w:bookmarkStart w:id="639" w:name="DocXTextRef317"/>
      <w:bookmarkEnd w:id="639"/>
      <w:r>
        <w:rPr>
          <w:rFonts w:ascii="Times New Roman" w:hAnsi="Times New Roman"/>
          <w:color w:val="000000"/>
          <w:sz w:val="20"/>
        </w:rPr>
        <w:t>(D) any Parent Contract with any third party providing any services relating to the manufacture or production of any product, service or technology of Parent or any Parent Contract to sell, distribute or commercialize any products or service of Parent;</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0" w:name="z_Ref237971058"/>
      <w:bookmarkEnd w:id="640"/>
      <w:r>
        <w:rPr>
          <w:rFonts w:ascii="Times New Roman" w:hAnsi="Times New Roman"/>
          <w:color w:val="000000"/>
          <w:sz w:val="20"/>
        </w:rPr>
        <w:t>(viii)      each Parent Contract with any financial advisor, broker, finder, investment banker or other similar Person providing financial advisory services to Parent in connection with the Contemplated Transactions;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1" w:name="z_Ref237971059"/>
      <w:bookmarkEnd w:id="641"/>
      <w:r>
        <w:rPr>
          <w:rFonts w:ascii="Times New Roman" w:hAnsi="Times New Roman"/>
          <w:color w:val="000000"/>
          <w:sz w:val="20"/>
        </w:rPr>
        <w:t>(ix)        each Parent Real Estate Lease;</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2" w:name="z_Ref237971060"/>
      <w:bookmarkEnd w:id="642"/>
      <w:r>
        <w:rPr>
          <w:rFonts w:ascii="Times New Roman" w:hAnsi="Times New Roman"/>
          <w:color w:val="000000"/>
          <w:sz w:val="20"/>
        </w:rPr>
        <w:t>(x)         each Parent Contract with any Governmental Body;</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3" w:name="z_Ref237971061"/>
      <w:bookmarkEnd w:id="643"/>
      <w:r>
        <w:rPr>
          <w:rFonts w:ascii="Times New Roman" w:hAnsi="Times New Roman"/>
          <w:color w:val="000000"/>
          <w:sz w:val="20"/>
        </w:rPr>
        <w:t>(xi)        each Parent Out-bound License and Parent In-bound License, and each Parent Contract containing a covenant not to sue or otherwise enforce any Intellectual Property Rights;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4" w:name="z_Ref237971062"/>
      <w:bookmarkEnd w:id="644"/>
      <w:r>
        <w:rPr>
          <w:rFonts w:ascii="Times New Roman" w:hAnsi="Times New Roman"/>
          <w:color w:val="000000"/>
          <w:sz w:val="20"/>
        </w:rPr>
        <w:t>(xii)       each Parent Contract requiring the payment of any royalty, dividend or similar arrangement based on the revenues or profits of Parent or its Subsidiaries;</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5" w:name="z_Ref237971063"/>
      <w:bookmarkEnd w:id="645"/>
      <w:r>
        <w:rPr>
          <w:rFonts w:ascii="Times New Roman" w:hAnsi="Times New Roman"/>
          <w:color w:val="000000"/>
          <w:sz w:val="20"/>
        </w:rPr>
        <w:t xml:space="preserve">(xiii)      each Parent Contract, offer letter, employment agreement, or independent contractor agreement with any employee, independent contractor or other natural person service provider whose annual compensation equals or exceeds $125,000 that </w:t>
      </w:r>
      <w:bookmarkStart w:id="646" w:name="DocXTextRef318"/>
      <w:bookmarkEnd w:id="646"/>
      <w:r>
        <w:rPr>
          <w:rFonts w:ascii="Times New Roman" w:hAnsi="Times New Roman"/>
          <w:color w:val="000000"/>
          <w:sz w:val="20"/>
        </w:rPr>
        <w:t xml:space="preserve">(A) is not immediately terminable by Parent without notice, severance, or other cost or liability, except as required under applicable Law, or </w:t>
      </w:r>
      <w:bookmarkStart w:id="647" w:name="DocXTextRef319"/>
      <w:bookmarkEnd w:id="647"/>
      <w:r>
        <w:rPr>
          <w:rFonts w:ascii="Times New Roman" w:hAnsi="Times New Roman"/>
          <w:color w:val="000000"/>
          <w:sz w:val="20"/>
        </w:rPr>
        <w:t>(B) provides for retention payments, change-of-control payments, severance, accelerated vesting, or any similar payment or benefit that may or will become due as a result of the Merger or the Change of Control Effective Time;</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48" w:name="z_Ref237971064"/>
      <w:bookmarkEnd w:id="648"/>
      <w:r>
        <w:rPr>
          <w:rFonts w:ascii="Times New Roman" w:hAnsi="Times New Roman"/>
          <w:color w:val="000000"/>
          <w:sz w:val="20"/>
        </w:rPr>
        <w:t xml:space="preserve">(xiv)      any other Contract that is not terminable at will (with no penalty or payment or requirement for prior notice, except as required by applicable Law) by Parent or its Subsidiaries, as applicable, and </w:t>
      </w:r>
      <w:bookmarkStart w:id="649" w:name="DocXTextRef320"/>
      <w:bookmarkEnd w:id="649"/>
      <w:r>
        <w:rPr>
          <w:rFonts w:ascii="Times New Roman" w:hAnsi="Times New Roman"/>
          <w:color w:val="000000"/>
          <w:sz w:val="20"/>
        </w:rPr>
        <w:t xml:space="preserve">(A) which involves payment or receipt by Parent or its Subsidiaries after the date of this Agreement under any such agreement, Contract or commitment of more than $100,000 in the aggregate, or obligations after the date of this Agreement in excess of $100,000 in the aggregate, or </w:t>
      </w:r>
      <w:bookmarkStart w:id="650" w:name="DocXTextRef321"/>
      <w:bookmarkEnd w:id="650"/>
      <w:r>
        <w:rPr>
          <w:rFonts w:ascii="Times New Roman" w:hAnsi="Times New Roman"/>
          <w:color w:val="000000"/>
          <w:sz w:val="20"/>
        </w:rPr>
        <w:t>(B) that is material to the business or operations of Parent and its Subsidiaries, taken as a whole;</w:t>
      </w:r>
    </w:p>
    <w:p>
      <w:pPr>
        <w:pStyle w:val="TextBody"/>
        <w:bidi w:val="0"/>
        <w:spacing w:before="0" w:after="0"/>
        <w:jc w:val="left"/>
        <w:rPr/>
      </w:pPr>
      <w:r>
        <w:rPr/>
      </w:r>
    </w:p>
    <w:p>
      <w:pPr>
        <w:pStyle w:val="TextBody"/>
        <w:bidi w:val="0"/>
        <w:spacing w:before="0" w:after="0"/>
        <w:ind w:left="0" w:right="0" w:firstLine="2880"/>
        <w:jc w:val="left"/>
        <w:rPr>
          <w:rFonts w:ascii="Times New Roman" w:hAnsi="Times New Roman"/>
          <w:color w:val="000000"/>
          <w:sz w:val="20"/>
        </w:rPr>
      </w:pPr>
      <w:bookmarkStart w:id="651" w:name="z_Ref237971065"/>
      <w:bookmarkEnd w:id="651"/>
      <w:r>
        <w:rPr>
          <w:rFonts w:ascii="Times New Roman" w:hAnsi="Times New Roman"/>
          <w:color w:val="000000"/>
          <w:sz w:val="20"/>
        </w:rPr>
        <w:t>(xv)       each Parent Contract entered into in settlement of any Legal Proceeding or other dispute;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(xvi)      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w:t>
      </w:r>
      <w:bookmarkStart w:id="652" w:name="z_Ref237971067"/>
      <w:bookmarkEnd w:id="652"/>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53" w:name="z_Ref237971068"/>
      <w:bookmarkEnd w:id="653"/>
      <w:r>
        <w:rPr>
          <w:rFonts w:ascii="Times New Roman" w:hAnsi="Times New Roman"/>
          <w:color w:val="000000"/>
          <w:sz w:val="20"/>
        </w:rPr>
        <w:t>(b)          Parent has delivered or made available to the Company accurate and complete copies of all Parent Material Contracts, including all amendments thereto. There are no Parent Material Contracts that are not in written form. Neither Parent nor any of its Subsidiaries has,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or its business.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and no Person has indicated in writing to Parent that it desires to renegotiate, modify, not renew or cancel any Parent Material Contract.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654" w:name="z_Toc240403063"/>
      <w:bookmarkStart w:id="655" w:name="z_Ref237974366"/>
      <w:bookmarkStart w:id="656" w:name="z_Ref237973001"/>
      <w:bookmarkStart w:id="657" w:name="z_Ref237971069"/>
      <w:bookmarkEnd w:id="654"/>
      <w:bookmarkEnd w:id="655"/>
      <w:bookmarkEnd w:id="656"/>
      <w:bookmarkEnd w:id="657"/>
      <w:r>
        <w:rPr>
          <w:rFonts w:ascii="Times New Roman" w:hAnsi="Times New Roman"/>
          <w:color w:val="000000"/>
          <w:sz w:val="20"/>
        </w:rPr>
        <w:t xml:space="preserve">3.14       </w:t>
      </w:r>
      <w:r>
        <w:rPr>
          <w:rFonts w:ascii="Times New Roman" w:hAnsi="Times New Roman"/>
          <w:b/>
          <w:color w:val="000000"/>
          <w:sz w:val="20"/>
          <w:u w:val="single"/>
        </w:rPr>
        <w:t>Compliance; Permits</w:t>
      </w:r>
      <w:r>
        <w:rPr>
          <w:rFonts w:ascii="Times New Roman" w:hAnsi="Times New Roman"/>
          <w:b/>
          <w:color w:val="000000"/>
          <w:sz w:val="20"/>
        </w:rPr>
        <w:t>.</w:t>
      </w:r>
    </w:p>
    <w:p>
      <w:pPr>
        <w:pStyle w:val="TextBody"/>
        <w:bidi w:val="0"/>
        <w:spacing w:before="0" w:after="0"/>
        <w:ind w:left="0" w:right="0" w:firstLine="1440"/>
        <w:jc w:val="left"/>
        <w:rPr>
          <w:b/>
        </w:rPr>
      </w:pPr>
      <w:r>
        <w:rPr>
          <w:b/>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Parent or its Subsidiaries hold all required Governmental Authorizations which are material to the operation of the business of Parent or such Subsidiary as currently conducted (the “</w:t>
      </w:r>
      <w:r>
        <w:rPr>
          <w:rFonts w:ascii="Times New Roman" w:hAnsi="Times New Roman"/>
          <w:b/>
          <w:i/>
          <w:color w:val="000000"/>
          <w:sz w:val="20"/>
        </w:rPr>
        <w:t>Parent Permits</w:t>
      </w:r>
      <w:r>
        <w:rPr>
          <w:rFonts w:ascii="Times New Roman" w:hAnsi="Times New Roman"/>
          <w:color w:val="000000"/>
          <w:sz w:val="20"/>
        </w:rPr>
        <w:t xml:space="preserve">”). </w:t>
      </w:r>
      <w:r>
        <w:rPr>
          <w:rFonts w:ascii="Times New Roman" w:hAnsi="Times New Roman"/>
          <w:color w:val="000000"/>
          <w:sz w:val="20"/>
          <w:u w:val="single"/>
        </w:rPr>
        <w:t>Section 3.14</w:t>
      </w:r>
      <w:r>
        <w:rPr>
          <w:rFonts w:ascii="Times New Roman" w:hAnsi="Times New Roman"/>
          <w:color w:val="000000"/>
          <w:sz w:val="20"/>
        </w:rPr>
        <w:t xml:space="preserve"> 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The Parent and its Subsidiaries are, and since December 31, 2023, have been, in compliance in all material respects with the FDCA and any other similar Law administered or promulgated by the FDA or other comparable Governmental Body responsible for regulation of the research, development, non-clinical and clinical testing, manufacturing, storage, supply, approval, sale, marketing, distribution and importation or exportation of drug and biological products, except for any noncompliance, either individually or in the aggregate, which would not be material to the Parent or its Subsidiaries. No Legal Proceeding by any Governmental Body is pending or, to the Knowledge of the Parent or its Subsidiaries, threatened against the Parent or its Subsidiaries. There is no written agreement, judgment, injunction, order or decree binding upon the Parent or its Subsidiaries which (i) has or would reasonably be expected to have the effect of prohibiting or materially impairing any business practice of the Parent or its Subsidiaries, any acquisition of material property by the Parent or its Subsidiaries or the conduct of business by the Parent or its Subsidiaries as currently conducted, or (ii) is reasonably likely to have a material adverse effect on the Parent or its Subsidiaries’ ability to comply with or perform any covenant or obligation under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Neither the Parent or its Subsidiaries nor, to either of their Knowledge, any Representatives of the Parent or any Subsidiary (i) has been, is, or is employing or utilizing the services of any individual who has been debarred or excluded from participating in any federal or state health care programs, is listed on the U.S. General Services Administration/System for Award Management or the Department of Health and Human Services Office of Inspector General excluded individuals and entities listings, or on any FDA debarment list, (ii) has been convicted under any criminal Laws or engaged in any conduct that would reasonably be expected to result in (A) debarment under 21 U.S.C. §335a or any similar state or foreign applicable Law or (B) exclusion under 42 U.S.C. §1320a–7 or any similar state or foreign applicable Law, nor has the Parent or its Subsidiaries received notice of an impending or potential exclusion, debarment, suspension or listing.</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658" w:name="z_Toc240403064"/>
      <w:bookmarkStart w:id="659" w:name="z_Ref237971070"/>
      <w:bookmarkEnd w:id="658"/>
      <w:bookmarkEnd w:id="659"/>
      <w:r>
        <w:rPr>
          <w:rFonts w:ascii="Times New Roman" w:hAnsi="Times New Roman"/>
          <w:color w:val="000000"/>
          <w:sz w:val="20"/>
        </w:rPr>
        <w:t xml:space="preserve">3.15       </w:t>
      </w:r>
      <w:r>
        <w:rPr>
          <w:rFonts w:ascii="Times New Roman" w:hAnsi="Times New Roman"/>
          <w:b/>
          <w:color w:val="000000"/>
          <w:sz w:val="20"/>
          <w:u w:val="single"/>
        </w:rPr>
        <w:t>Legal Proceedings; Orders.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60" w:name="z_Ref237971071"/>
      <w:bookmarkEnd w:id="660"/>
      <w:r>
        <w:rPr>
          <w:rFonts w:ascii="Times New Roman" w:hAnsi="Times New Roman"/>
          <w:color w:val="000000"/>
          <w:sz w:val="20"/>
        </w:rPr>
        <w:t xml:space="preserve">(a)          Except as set forth in </w:t>
      </w:r>
      <w:r>
        <w:rPr>
          <w:rFonts w:ascii="Times New Roman" w:hAnsi="Times New Roman"/>
          <w:color w:val="000000"/>
          <w:sz w:val="20"/>
          <w:u w:val="single"/>
        </w:rPr>
        <w:t>Section 3.15(a)</w:t>
      </w:r>
      <w:r>
        <w:rPr>
          <w:rFonts w:ascii="Times New Roman" w:hAnsi="Times New Roman"/>
          <w:color w:val="000000"/>
          <w:sz w:val="20"/>
        </w:rPr>
        <w:t xml:space="preserve"> of the Parent Disclosure Schedule, as of the date of this Agreement, there is no material pending Legal Proceeding and, to the Knowledge of Parent, no Person has threatened in writing to commence any Legal Proceeding: </w:t>
      </w:r>
      <w:bookmarkStart w:id="661" w:name="DocXTextRef323"/>
      <w:bookmarkEnd w:id="661"/>
      <w:r>
        <w:rPr>
          <w:rFonts w:ascii="Times New Roman" w:hAnsi="Times New Roman"/>
          <w:color w:val="000000"/>
          <w:sz w:val="20"/>
        </w:rPr>
        <w:t xml:space="preserve">(i) that involves </w:t>
      </w:r>
      <w:bookmarkStart w:id="662" w:name="DocXTextRef324"/>
      <w:bookmarkEnd w:id="662"/>
      <w:r>
        <w:rPr>
          <w:rFonts w:ascii="Times New Roman" w:hAnsi="Times New Roman"/>
          <w:color w:val="000000"/>
          <w:sz w:val="20"/>
        </w:rPr>
        <w:t xml:space="preserve">(A) Parent, </w:t>
      </w:r>
      <w:bookmarkStart w:id="663" w:name="DocXTextRef325"/>
      <w:bookmarkEnd w:id="663"/>
      <w:r>
        <w:rPr>
          <w:rFonts w:ascii="Times New Roman" w:hAnsi="Times New Roman"/>
          <w:color w:val="000000"/>
          <w:sz w:val="20"/>
        </w:rPr>
        <w:t xml:space="preserve">(B) any of its Subsidiaries, </w:t>
      </w:r>
      <w:bookmarkStart w:id="664" w:name="DocXTextRef326"/>
      <w:bookmarkEnd w:id="664"/>
      <w:r>
        <w:rPr>
          <w:rFonts w:ascii="Times New Roman" w:hAnsi="Times New Roman"/>
          <w:color w:val="000000"/>
          <w:sz w:val="20"/>
        </w:rPr>
        <w:t xml:space="preserve">(C) any Parent Associate (in his or her capacity as such) or </w:t>
      </w:r>
      <w:bookmarkStart w:id="665" w:name="DocXTextRef327"/>
      <w:bookmarkEnd w:id="665"/>
      <w:r>
        <w:rPr>
          <w:rFonts w:ascii="Times New Roman" w:hAnsi="Times New Roman"/>
          <w:color w:val="000000"/>
          <w:sz w:val="20"/>
        </w:rPr>
        <w:t>(D) any of the material assets owned or used by Parent or its Subsidiaries; or (ii) that challenges, or that would have the effect of preventing, delaying, making illegal or otherwise interfering with, the Contemplated Transactions.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66" w:name="z_Ref237971072"/>
      <w:bookmarkEnd w:id="666"/>
      <w:r>
        <w:rPr>
          <w:rFonts w:ascii="Times New Roman" w:hAnsi="Times New Roman"/>
          <w:color w:val="000000"/>
          <w:sz w:val="20"/>
        </w:rPr>
        <w:t xml:space="preserve">(b)          Except as set forth in </w:t>
      </w:r>
      <w:r>
        <w:rPr>
          <w:rFonts w:ascii="Times New Roman" w:hAnsi="Times New Roman"/>
          <w:color w:val="000000"/>
          <w:sz w:val="20"/>
          <w:u w:val="single"/>
        </w:rPr>
        <w:t>Section 3.15(b)</w:t>
      </w:r>
      <w:r>
        <w:rPr>
          <w:rFonts w:ascii="Times New Roman" w:hAnsi="Times New Roman"/>
          <w:color w:val="000000"/>
          <w:sz w:val="20"/>
        </w:rPr>
        <w:t xml:space="preserve"> of the Parent Disclosure Schedule, since January 1, 2023 through the date of this Agreement, no Legal Proceeding has been pending against Parent that resulted in material liability to Parent.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67" w:name="z_Ref237971073"/>
      <w:bookmarkEnd w:id="667"/>
      <w:r>
        <w:rPr>
          <w:rFonts w:ascii="Times New Roman" w:hAnsi="Times New Roman"/>
          <w:color w:val="000000"/>
          <w:sz w:val="20"/>
        </w:rPr>
        <w:t>(c)          There is no written order, writ, injunction, judgment or decree to which Parent or any of its Subsidiaries, or any of the material assets owned or used by Parent or any of its Subsidiaries, is subject. To the Knowledge of Parent, no officer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668" w:name="z_Toc240403065"/>
      <w:bookmarkStart w:id="669" w:name="z_Ref237973074"/>
      <w:bookmarkStart w:id="670" w:name="z_Ref237971074"/>
      <w:bookmarkEnd w:id="668"/>
      <w:bookmarkEnd w:id="669"/>
      <w:bookmarkEnd w:id="670"/>
      <w:r>
        <w:rPr>
          <w:rFonts w:ascii="Times New Roman" w:hAnsi="Times New Roman"/>
          <w:color w:val="000000"/>
          <w:sz w:val="20"/>
        </w:rPr>
        <w:t xml:space="preserve">3.16       </w:t>
      </w:r>
      <w:r>
        <w:rPr>
          <w:rFonts w:ascii="Times New Roman" w:hAnsi="Times New Roman"/>
          <w:b/>
          <w:color w:val="000000"/>
          <w:sz w:val="20"/>
          <w:u w:val="single"/>
        </w:rPr>
        <w:t>Tax Matters.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1" w:name="z_Ref237971075"/>
      <w:bookmarkEnd w:id="671"/>
      <w:r>
        <w:rPr>
          <w:rFonts w:ascii="Times New Roman" w:hAnsi="Times New Roman"/>
          <w:color w:val="000000"/>
          <w:sz w:val="20"/>
        </w:rPr>
        <w:t>(a)          Parent and each of its Subsidiaries have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Parent or any of its Subsidiaries does not file a particular Tax Return or pay a particular Tax that Parent or such Subsidiary is subject to taxation by that jurisdiction.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All income and other material Taxes due and owing by Parent or any of its Subsidiaries on or before the date hereof (whether or not shown on any Tax Return) have been fully and timely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Parent Balance Sheet Date, neither Parent nor any of its Subsidiaries has incurred any material Liability for Taxes outside the Ordinary Course of Business.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2" w:name="z_Ref237971077"/>
      <w:bookmarkEnd w:id="672"/>
      <w:r>
        <w:rPr>
          <w:rFonts w:ascii="Times New Roman" w:hAnsi="Times New Roman"/>
          <w:color w:val="000000"/>
          <w:sz w:val="20"/>
        </w:rPr>
        <w:t>(c)          All Taxes that Parent and each of its Subsidiaries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3" w:name="z_Ref237971078"/>
      <w:bookmarkEnd w:id="673"/>
      <w:r>
        <w:rPr>
          <w:rFonts w:ascii="Times New Roman" w:hAnsi="Times New Roman"/>
          <w:color w:val="000000"/>
          <w:sz w:val="20"/>
        </w:rPr>
        <w:t>(d)          There are no Encumbrances for material Taxes (other than Taxes not yet due and payable) upon any of the assets of Parent or any of its Subsidiaries.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4" w:name="z_Ref237971079"/>
      <w:bookmarkEnd w:id="674"/>
      <w:r>
        <w:rPr>
          <w:rFonts w:ascii="Times New Roman" w:hAnsi="Times New Roman"/>
          <w:color w:val="000000"/>
          <w:sz w:val="20"/>
        </w:rPr>
        <w:t>(e)          No deficiencies for a material amount of Taxes with respect to Parent or any of its Subsidiaries have been claimed, proposed or assessed by any Governmental Body in writing that have not been fully resolved. There are no pending or ongoing and, to the Knowledge of Parent, no threatened audits, assessments or other actions for or relating to any liability in respect of a material amount of Taxes of Parent. Neither Parent nor any of its Subsidiaries (or predecessors thereof) has waived any statute of limitations or agreed to any extension of time with respect to any income or other material Tax assessment or deficiency (in each case, excluding automatic extensions of time within which to file a Tax Return).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5" w:name="z_Ref237971080"/>
      <w:bookmarkEnd w:id="675"/>
      <w:r>
        <w:rPr>
          <w:rFonts w:ascii="Times New Roman" w:hAnsi="Times New Roman"/>
          <w:color w:val="000000"/>
          <w:sz w:val="20"/>
        </w:rPr>
        <w:t>(f)          Neither Parent nor any of its Subsidiaries has been a United States real property holding corporation within the meaning of Section 897(c)(2) of the Code during the applicable period specified in Section 897(c)(1)(A)(ii)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6" w:name="z_Ref237971081"/>
      <w:bookmarkEnd w:id="676"/>
      <w:r>
        <w:rPr>
          <w:rFonts w:ascii="Times New Roman" w:hAnsi="Times New Roman"/>
          <w:color w:val="000000"/>
          <w:sz w:val="20"/>
        </w:rPr>
        <w:t>(g)          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77" w:name="z_Ref237971082"/>
      <w:bookmarkEnd w:id="677"/>
      <w:r>
        <w:rPr>
          <w:rFonts w:ascii="Times New Roman" w:hAnsi="Times New Roman"/>
          <w:color w:val="000000"/>
          <w:sz w:val="20"/>
        </w:rPr>
        <w:t xml:space="preserve">(h)          Neither Parent nor any of its Subsidiaries (including the Company and its Subsidiaries as a result of the Mergers) will be required to include any item of income in, or exclude any item of deduction from, taxable income for any Tax period (or portion thereof) ending after the Closing Date as a result of any: </w:t>
      </w:r>
      <w:bookmarkStart w:id="678" w:name="DocXTextRef331"/>
      <w:bookmarkEnd w:id="678"/>
      <w:r>
        <w:rPr>
          <w:rFonts w:ascii="Times New Roman" w:hAnsi="Times New Roman"/>
          <w:color w:val="000000"/>
          <w:sz w:val="20"/>
        </w:rPr>
        <w:t xml:space="preserve">(i)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foreign Law) executed at or prior to the Closing; (iv) intercompany transaction or excess loss account described in Treasury Regulations under Section 1502 of the Code (or any similar provision of state, local or foreign Law) entered into or existing, respectively, at or prior to the Closing; </w:t>
      </w:r>
      <w:bookmarkStart w:id="679" w:name="DocXTextRef332"/>
      <w:bookmarkEnd w:id="679"/>
      <w:r>
        <w:rPr>
          <w:rFonts w:ascii="Times New Roman" w:hAnsi="Times New Roman"/>
          <w:color w:val="000000"/>
          <w:sz w:val="20"/>
        </w:rPr>
        <w:t xml:space="preserve">(v) installment sale or open transaction disposition made on or prior to the Closing; (vi) prepaid amount, advance payment or deferred revenue received or accrued at or prior to the Closing; or (vii) application of Section </w:t>
      </w:r>
      <w:bookmarkStart w:id="680" w:name="DocXTextRef329"/>
      <w:bookmarkEnd w:id="680"/>
      <w:r>
        <w:rPr>
          <w:rFonts w:ascii="Times New Roman" w:hAnsi="Times New Roman"/>
          <w:color w:val="000000"/>
          <w:sz w:val="20"/>
        </w:rPr>
        <w:t xml:space="preserve">367(d) of the Code to any transfer of intangible property on or prior to the Closing. Parent has not made any election under Section </w:t>
      </w:r>
      <w:bookmarkStart w:id="681" w:name="DocXTextRef330"/>
      <w:bookmarkEnd w:id="681"/>
      <w:r>
        <w:rPr>
          <w:rFonts w:ascii="Times New Roman" w:hAnsi="Times New Roman"/>
          <w:color w:val="000000"/>
          <w:sz w:val="20"/>
        </w:rPr>
        <w:t>965(h) of the Code.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          Neither Parent nor any of its Subsidiaries has ever been </w:t>
      </w:r>
      <w:bookmarkStart w:id="682" w:name="DocXTextRef333"/>
      <w:bookmarkEnd w:id="682"/>
      <w:r>
        <w:rPr>
          <w:rFonts w:ascii="Times New Roman" w:hAnsi="Times New Roman"/>
          <w:color w:val="000000"/>
          <w:sz w:val="20"/>
        </w:rPr>
        <w:t>(i) a member of a consolidated, combined or unitary Tax group (other than such a group the common parent of which is Parent) or (ii) a party to any joint venture, partnership, or other arrangement that is treated as a partnership for U.S. federal income Tax purposes. Parent has no Liability for any material Taxes of any Person (other than Parent and any of its Subsidiaries)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83" w:name="z_Ref237971084"/>
      <w:bookmarkEnd w:id="683"/>
      <w:r>
        <w:rPr>
          <w:rFonts w:ascii="Times New Roman" w:hAnsi="Times New Roman"/>
          <w:color w:val="000000"/>
          <w:sz w:val="20"/>
        </w:rPr>
        <w:t xml:space="preserve">(j)          Within the past three years, neither Parent nor any of its Subsidiaries has distributed stock of another Person, or had its stock distributed by another Person, in a transaction that was purported or intended to be governed in whole or in part by Section </w:t>
      </w:r>
      <w:bookmarkStart w:id="684" w:name="DocXTextRef334"/>
      <w:bookmarkEnd w:id="684"/>
      <w:r>
        <w:rPr>
          <w:rFonts w:ascii="Times New Roman" w:hAnsi="Times New Roman"/>
          <w:color w:val="000000"/>
          <w:sz w:val="20"/>
        </w:rPr>
        <w:t xml:space="preserve">355 of the Code or Section </w:t>
      </w:r>
      <w:bookmarkStart w:id="685" w:name="DocXTextRef335"/>
      <w:bookmarkEnd w:id="685"/>
      <w:r>
        <w:rPr>
          <w:rFonts w:ascii="Times New Roman" w:hAnsi="Times New Roman"/>
          <w:color w:val="000000"/>
          <w:sz w:val="20"/>
        </w:rPr>
        <w:t>361 of the Code (or any similar provisions of state, local or foreign Law).</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86" w:name="z_Ref237971085"/>
      <w:bookmarkEnd w:id="686"/>
      <w:r>
        <w:rPr>
          <w:rFonts w:ascii="Times New Roman" w:hAnsi="Times New Roman"/>
          <w:color w:val="000000"/>
          <w:sz w:val="20"/>
        </w:rPr>
        <w:t>(k)          Parent has never had a permanent establishment (within the meaning of an applicable Tax treaty) or otherwise had an office or fixed place of business in a country other than the country in which it is organized.</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87" w:name="z_Ref237971086"/>
      <w:bookmarkEnd w:id="687"/>
      <w:r>
        <w:rPr>
          <w:rFonts w:ascii="Times New Roman" w:hAnsi="Times New Roman"/>
          <w:color w:val="000000"/>
          <w:sz w:val="20"/>
        </w:rPr>
        <w:t>(l)          Neither Parent nor any of its Subsidiaries has participated in or been a party to a transaction that, as of the date of this Agreement, constitutes a “listed transaction” within the meaning of Section 6707A(c)(2) of the Code and Treasury Regulations Section 1.6011-4(b)(2).</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88" w:name="z_Ref237971087"/>
      <w:bookmarkEnd w:id="688"/>
      <w:r>
        <w:rPr>
          <w:rFonts w:ascii="Times New Roman" w:hAnsi="Times New Roman"/>
          <w:color w:val="000000"/>
          <w:sz w:val="20"/>
        </w:rPr>
        <w:t xml:space="preserve">(m)        Parent is treated as a corporation for U.S. federal income tax purposes. </w:t>
      </w:r>
      <w:r>
        <w:rPr>
          <w:rFonts w:ascii="Times New Roman" w:hAnsi="Times New Roman"/>
          <w:color w:val="000000"/>
          <w:sz w:val="20"/>
          <w:u w:val="single"/>
        </w:rPr>
        <w:t>Section 3.16(m)</w:t>
      </w:r>
      <w:r>
        <w:rPr>
          <w:rFonts w:ascii="Times New Roman" w:hAnsi="Times New Roman"/>
          <w:color w:val="000000"/>
          <w:sz w:val="20"/>
        </w:rPr>
        <w:t xml:space="preserve"> of the Parent Disclosure Schedule sets forth the entity classification of each of Parent’s Subsidiaries for U.S. federal income tax purposes. Neither Parent nor any of its Subsidiaries has made an election or taken any other action to change its federal and state income tax classification from such classification.</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(n)          The Parent and its Subsidiaries have not taken or agreed to take any action that could reasonably be expected to prevent the transactions contemplated in this Agreement from qualifying for the Intended Tax Treatment. After reasonable diligence, to the knowledge of Parent and its Subsidiaries, no facts or circumstances exist that could reasonably be expected to prevent the transactions contemplated in this Agreement from qualifying for the Intended Tax Treatment.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For purposes of this </w:t>
      </w:r>
      <w:r>
        <w:rPr>
          <w:rFonts w:ascii="Times New Roman" w:hAnsi="Times New Roman"/>
          <w:color w:val="000000"/>
          <w:sz w:val="20"/>
          <w:u w:val="single"/>
        </w:rPr>
        <w:t>Section 3.16</w:t>
      </w:r>
      <w:r>
        <w:rPr>
          <w:rFonts w:ascii="Times New Roman" w:hAnsi="Times New Roman"/>
          <w:color w:val="000000"/>
          <w:sz w:val="20"/>
        </w:rPr>
        <w:t>, each reference to Parent or any of its Subsidiaries shall be deemed to include any Person that was liquidated into, merged with, or is otherwise a predecessor to,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3.17       </w:t>
      </w:r>
      <w:r>
        <w:rPr>
          <w:rFonts w:ascii="Times New Roman" w:hAnsi="Times New Roman"/>
          <w:b/>
          <w:color w:val="000000"/>
          <w:sz w:val="20"/>
          <w:u w:val="single"/>
        </w:rPr>
        <w:t>Employee and Labor Matters; Benefit Plans.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89" w:name="z_Ref237971089"/>
      <w:bookmarkEnd w:id="689"/>
      <w:r>
        <w:rPr>
          <w:rFonts w:ascii="Times New Roman" w:hAnsi="Times New Roman"/>
          <w:color w:val="000000"/>
          <w:sz w:val="20"/>
        </w:rPr>
        <w:t>(a)          </w:t>
      </w:r>
      <w:r>
        <w:rPr>
          <w:rFonts w:ascii="Times New Roman" w:hAnsi="Times New Roman"/>
          <w:color w:val="000000"/>
          <w:sz w:val="20"/>
          <w:u w:val="single"/>
        </w:rPr>
        <w:t>Section 3.17(a)</w:t>
      </w:r>
      <w:r>
        <w:rPr>
          <w:rFonts w:ascii="Times New Roman" w:hAnsi="Times New Roman"/>
          <w:color w:val="000000"/>
          <w:sz w:val="20"/>
        </w:rPr>
        <w:t xml:space="preserve"> of the Parent Disclosure Schedule is a list of all material Parent Benefit Plans, other than employment offer letters on Parent’s standard form and other than individual Parent Options or other compensatory equity award agreements made pursuant to the Parent’s standard forms, in which case only representative standard forms of such agreements shall be </w:t>
      </w:r>
      <w:bookmarkStart w:id="690" w:name="DocXTextRef339"/>
      <w:bookmarkEnd w:id="690"/>
      <w:r>
        <w:rPr>
          <w:rFonts w:ascii="Times New Roman" w:hAnsi="Times New Roman"/>
          <w:color w:val="000000"/>
          <w:sz w:val="20"/>
        </w:rPr>
        <w:t>scheduled. “</w:t>
      </w:r>
      <w:r>
        <w:rPr>
          <w:rFonts w:ascii="Times New Roman" w:hAnsi="Times New Roman"/>
          <w:b/>
          <w:i/>
          <w:color w:val="000000"/>
          <w:sz w:val="20"/>
        </w:rPr>
        <w:t>Parent</w:t>
      </w:r>
      <w:r>
        <w:rPr>
          <w:rFonts w:ascii="Times New Roman" w:hAnsi="Times New Roman"/>
          <w:color w:val="000000"/>
          <w:sz w:val="20"/>
        </w:rPr>
        <w:t> </w:t>
      </w:r>
      <w:r>
        <w:rPr>
          <w:rFonts w:ascii="Times New Roman" w:hAnsi="Times New Roman"/>
          <w:b/>
          <w:i/>
          <w:color w:val="000000"/>
          <w:sz w:val="20"/>
        </w:rPr>
        <w:t>Benefit Plan</w:t>
      </w:r>
      <w:r>
        <w:rPr>
          <w:rFonts w:ascii="Times New Roman" w:hAnsi="Times New Roman"/>
          <w:color w:val="000000"/>
          <w:sz w:val="20"/>
        </w:rPr>
        <w:t xml:space="preserve">” means each </w:t>
      </w:r>
      <w:bookmarkStart w:id="691" w:name="DocXTextRef340"/>
      <w:bookmarkEnd w:id="691"/>
      <w:r>
        <w:rPr>
          <w:rFonts w:ascii="Times New Roman" w:hAnsi="Times New Roman"/>
          <w:color w:val="000000"/>
          <w:sz w:val="20"/>
        </w:rPr>
        <w:t>(i)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 time off, holiday, reimbursement,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Parent or any of its Subsidiaries for the benefit of any current or former employee, director, officer or independent contractor of Parent or any of its Subsidiaries or under which Parent or any of its Subsidiaries has any actual or contingent liability (including, without limitation, by reason of having a Parent ERISA Affiliate).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92" w:name="z_Ref237971090"/>
      <w:bookmarkEnd w:id="692"/>
      <w:r>
        <w:rPr>
          <w:rFonts w:ascii="Times New Roman" w:hAnsi="Times New Roman"/>
          <w:color w:val="000000"/>
          <w:sz w:val="20"/>
        </w:rPr>
        <w:t xml:space="preserve">(b)          As applicable with respect to each material Parent Benefit Plan, Parent has made available to the Company true and complete copies of </w:t>
      </w:r>
      <w:bookmarkStart w:id="693" w:name="DocXTextRef343"/>
      <w:bookmarkEnd w:id="693"/>
      <w:r>
        <w:rPr>
          <w:rFonts w:ascii="Times New Roman" w:hAnsi="Times New Roman"/>
          <w:color w:val="000000"/>
          <w:sz w:val="20"/>
        </w:rPr>
        <w:t>(i) each material Parent Benefit Plan, including all amendments thereto, and in the case of an unwritten material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 w:hAnsi="Times New Roman"/>
          <w:i/>
          <w:color w:val="000000"/>
          <w:sz w:val="20"/>
        </w:rPr>
        <w:t>e.g.</w:t>
      </w:r>
      <w:r>
        <w:rPr>
          <w:rFonts w:ascii="Times New Roman" w:hAnsi="Times New Roman"/>
          <w:color w:val="000000"/>
          <w:sz w:val="20"/>
        </w:rPr>
        <w:t xml:space="preserve">, Form 5500 and all </w:t>
      </w:r>
      <w:bookmarkStart w:id="694" w:name="DocXTextRef342"/>
      <w:bookmarkEnd w:id="694"/>
      <w:r>
        <w:rPr>
          <w:rFonts w:ascii="Times New Roman" w:hAnsi="Times New Roman"/>
          <w:color w:val="000000"/>
          <w:sz w:val="20"/>
        </w:rPr>
        <w:t xml:space="preserve">schedules thereto), </w:t>
      </w:r>
      <w:bookmarkStart w:id="695" w:name="DocXTextRef344"/>
      <w:bookmarkEnd w:id="695"/>
      <w:r>
        <w:rPr>
          <w:rFonts w:ascii="Times New Roman" w:hAnsi="Times New Roman"/>
          <w:color w:val="000000"/>
          <w:sz w:val="20"/>
        </w:rPr>
        <w:t xml:space="preserve">(v) the most recent IRS determination, opinion or advisory letter, (vi) the most recent summary annual reports, nondiscrimination testing reports, actuarial reports, financial statements and trustee reports, (vii) substantiation of ACA Information Reporting on Forms 1094/1095, and (viii) all written notices and filings from the IRS or Department of Labor or other Governmental Body concerning audits or investigations, or “prohibited transactions” within the meaning of Section </w:t>
      </w:r>
      <w:bookmarkStart w:id="696" w:name="DocXTextRef341"/>
      <w:bookmarkEnd w:id="696"/>
      <w:r>
        <w:rPr>
          <w:rFonts w:ascii="Times New Roman" w:hAnsi="Times New Roman"/>
          <w:color w:val="000000"/>
          <w:sz w:val="20"/>
        </w:rPr>
        <w:t>406 of ERISA or Section 4975 of the Code, or other written non-routine correspondence.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97" w:name="z_Ref237971091"/>
      <w:bookmarkEnd w:id="697"/>
      <w:r>
        <w:rPr>
          <w:rFonts w:ascii="Times New Roman" w:hAnsi="Times New Roman"/>
          <w:color w:val="000000"/>
          <w:sz w:val="20"/>
        </w:rPr>
        <w:t>(c)          Each Parent Benefit Plan has been maintained, operated and administered in compliance in all material respects with its terms and the applicable provisions of ERISA, the Code and all other Laws.</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698" w:name="z_Ref237971093"/>
      <w:bookmarkStart w:id="699" w:name="z_Ref237971092"/>
      <w:bookmarkEnd w:id="698"/>
      <w:bookmarkEnd w:id="699"/>
      <w:r>
        <w:rPr>
          <w:rFonts w:ascii="Times New Roman" w:hAnsi="Times New Roman"/>
          <w:color w:val="000000"/>
          <w:sz w:val="20"/>
        </w:rPr>
        <w:t xml:space="preserve">(d)          The Parent Benefit Plans which are “employee pension benefit plans” within the meaning of Section 3(2) of ERISA and which are intended to meet the qualification requirements of Section </w:t>
      </w:r>
      <w:bookmarkStart w:id="700" w:name="DocXTextRef345"/>
      <w:bookmarkEnd w:id="700"/>
      <w:r>
        <w:rPr>
          <w:rFonts w:ascii="Times New Roman" w:hAnsi="Times New Roman"/>
          <w:color w:val="000000"/>
          <w:sz w:val="20"/>
        </w:rPr>
        <w:t xml:space="preserve">401(a) of the Code have received determination or opinion letters from the IRS on which they may currently rely to the effect that such plans are qualified under Section </w:t>
      </w:r>
      <w:bookmarkStart w:id="701" w:name="DocXTextRef346"/>
      <w:bookmarkEnd w:id="701"/>
      <w:r>
        <w:rPr>
          <w:rFonts w:ascii="Times New Roman" w:hAnsi="Times New Roman"/>
          <w:color w:val="000000"/>
          <w:sz w:val="20"/>
        </w:rPr>
        <w:t xml:space="preserve">401(a) of the Code and the related trusts are exempt from federal income Taxes under Section </w:t>
      </w:r>
      <w:bookmarkStart w:id="702" w:name="DocXTextRef347"/>
      <w:bookmarkEnd w:id="702"/>
      <w:r>
        <w:rPr>
          <w:rFonts w:ascii="Times New Roman" w:hAnsi="Times New Roman"/>
          <w:color w:val="000000"/>
          <w:sz w:val="20"/>
        </w:rPr>
        <w:t>501(a) of the Code, respectively, and to the Knowledge of Parent, nothing has occurred that would reasonably be expected to materially adversely affect the qualification of such Parent Benefit Plan or the tax exempt status of the related trust.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(e)          Neither Parent, any of its Subsidiaries nor any Parent ERISA Affiliate maintains, contributes to, is required to contribute to, or has any actual or contingent liability with respect to, </w:t>
      </w:r>
      <w:bookmarkStart w:id="703" w:name="DocXTextRef351"/>
      <w:bookmarkEnd w:id="703"/>
      <w:r>
        <w:rPr>
          <w:rFonts w:ascii="Times New Roman" w:hAnsi="Times New Roman"/>
          <w:color w:val="000000"/>
          <w:sz w:val="20"/>
        </w:rPr>
        <w:t xml:space="preserve">(i) any “employee pension benefit plan” (within the meaning of Section 3(2) of ERISA) that is subject to Title IV or Section </w:t>
      </w:r>
      <w:bookmarkStart w:id="704" w:name="DocXTextRef348"/>
      <w:bookmarkEnd w:id="704"/>
      <w:r>
        <w:rPr>
          <w:rFonts w:ascii="Times New Roman" w:hAnsi="Times New Roman"/>
          <w:color w:val="000000"/>
          <w:sz w:val="20"/>
        </w:rPr>
        <w:t xml:space="preserve">302 of ERISA or Section </w:t>
      </w:r>
      <w:bookmarkStart w:id="705" w:name="DocXTextRef349"/>
      <w:bookmarkEnd w:id="705"/>
      <w:r>
        <w:rPr>
          <w:rFonts w:ascii="Times New Roman" w:hAnsi="Times New Roman"/>
          <w:color w:val="000000"/>
          <w:sz w:val="20"/>
        </w:rPr>
        <w:t xml:space="preserve">412 of the Code, (ii) any “multiemployer plan” (within the meaning of Section 3(37) of ERISA), (iii) any “multiple employer plan” (within the meaning of Section </w:t>
      </w:r>
      <w:bookmarkStart w:id="706" w:name="DocXTextRef350"/>
      <w:bookmarkEnd w:id="706"/>
      <w:r>
        <w:rPr>
          <w:rFonts w:ascii="Times New Roman" w:hAnsi="Times New Roman"/>
          <w:color w:val="000000"/>
          <w:sz w:val="20"/>
        </w:rPr>
        <w:t>413 of the Code) or (iv) any “multiple employer welfare arrangement” (within the meaning of Section 3(40) of ERISA).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(f)          There are no pending audits or investigations by any Governmental Body involving any Parent Benefit Plan, and no pending or, to the Knowledge of Parent, threatened claims (except for routine individual claims for benefits payable in the normal operation of the Parent Benefit Plans), suits or proceedings involving any Parent Benefit Plan, or, to the Knowledge of Parent, any fiduciary thereof or service provider thereto, in any case except as would not be reasonably expected to result in material liability to Parent or any of its Subsidiaries. All contributions and premium payments required to have been made under any of the Parent Benefit Plans or by applicable Law (without regard to any waivers granted under Section </w:t>
      </w:r>
      <w:bookmarkStart w:id="707" w:name="DocXTextRef352"/>
      <w:bookmarkEnd w:id="707"/>
      <w:r>
        <w:rPr>
          <w:rFonts w:ascii="Times New Roman" w:hAnsi="Times New Roman"/>
          <w:color w:val="000000"/>
          <w:sz w:val="20"/>
        </w:rPr>
        <w:t>412 of the Code), have been timely made and neither Parent nor any Parent ERISA Affiliate has any material liability for any unpaid contributions with respect to any Parent Benefit Plan. Neither Parent, nor any Parent Benefit Plan, is liable for, nor reasonably expected to be liable for, any excise tax or penalty under ERISA or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08" w:name="z_Ref237971095"/>
      <w:bookmarkEnd w:id="708"/>
      <w:r>
        <w:rPr>
          <w:rFonts w:ascii="Times New Roman" w:hAnsi="Times New Roman"/>
          <w:color w:val="000000"/>
          <w:sz w:val="20"/>
        </w:rPr>
        <w:t xml:space="preserve">(g)          None of Parent, any of its Subsidiaries or any Parent ERISA Affiliates, or to the Knowledge of Parent, any fiduciary, trustee or administrator of any Parent Benefit Plan, has engaged in, or in connection with the Contemplated Transactions will engage in, any transaction with respect to any Parent Benefit Plan which would subject any such Parent Benefit Plan, Parent, any of its Subsidiaries or Parent ERISA Affiliates to a material Tax, material penalty or material liability for a “prohibited transaction” under Section </w:t>
      </w:r>
      <w:bookmarkStart w:id="709" w:name="DocXTextRef353"/>
      <w:bookmarkEnd w:id="709"/>
      <w:r>
        <w:rPr>
          <w:rFonts w:ascii="Times New Roman" w:hAnsi="Times New Roman"/>
          <w:color w:val="000000"/>
          <w:sz w:val="20"/>
        </w:rPr>
        <w:t>406 of ERISA or Section 4975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10" w:name="z_Ref237971096"/>
      <w:bookmarkEnd w:id="710"/>
      <w:r>
        <w:rPr>
          <w:rFonts w:ascii="Times New Roman" w:hAnsi="Times New Roman"/>
          <w:color w:val="000000"/>
          <w:sz w:val="20"/>
        </w:rPr>
        <w:t>(h)          No Parent Benefit Plan provides death, medical, dental, vision, life insurance, disability or other welfare benefits beyond termination of service or retirement other than coverage mandated by Law and to the Knowledge of Parent, neither Parent nor any of its Subsidiaries has made a written representation promising the same.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11" w:name="z_Ref237971098"/>
      <w:bookmarkEnd w:id="711"/>
      <w:r>
        <w:rPr>
          <w:rFonts w:ascii="Times New Roman" w:hAnsi="Times New Roman"/>
          <w:color w:val="000000"/>
          <w:sz w:val="20"/>
        </w:rPr>
        <w:t>(i)          None of Parent, any of its Subsidiaries or any Parent ERISA Affiliate has ever operated, maintained, administered or had any liability (actual or contingent) relating to a “nonqualified deferred compensation plan” subject to Section 409A of the Code. No payment pursuant to any arrangement between Parent, any of its Subsidiaries or any Parent ERISA Affiliate and any current or former “service provider” (as such term is defined in Section 409A of the Code and the Treasury Regulations thereunder) could subject any Person to a Tax pursuant to Section 409A of the Code, whether pursuant to the consummation of the transactions contemplated by this Agreement or otherwise. No Person is entitled to receive any payment (including any Tax gross-up or other payment) from the Company or any of its Subsidiaries as a result of the imposition of any taxes or related interest or penalty required by Section 409A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12" w:name="z_Ref240293622"/>
      <w:bookmarkEnd w:id="712"/>
      <w:r>
        <w:rPr>
          <w:rFonts w:ascii="Times New Roman" w:hAnsi="Times New Roman"/>
          <w:color w:val="000000"/>
          <w:sz w:val="20"/>
        </w:rPr>
        <w:t xml:space="preserve">(j)          Except as set forth in </w:t>
      </w:r>
      <w:r>
        <w:rPr>
          <w:rFonts w:ascii="Times New Roman" w:hAnsi="Times New Roman"/>
          <w:color w:val="000000"/>
          <w:sz w:val="20"/>
          <w:u w:val="single"/>
        </w:rPr>
        <w:t>Section 3.17(j)</w:t>
      </w:r>
      <w:r>
        <w:rPr>
          <w:rFonts w:ascii="Times New Roman" w:hAnsi="Times New Roman"/>
          <w:color w:val="000000"/>
          <w:sz w:val="20"/>
        </w:rPr>
        <w:t xml:space="preserve"> of the Parent Disclosure Schedule, neither the execution of this Agreement, nor the performance of the Contemplated Transactions (either alone or when combined with the occurrence of any other event, including without limitation, a termination of employment) will: </w:t>
      </w:r>
      <w:bookmarkStart w:id="713" w:name="DocXTextRef358"/>
      <w:bookmarkEnd w:id="713"/>
      <w:r>
        <w:rPr>
          <w:rFonts w:ascii="Times New Roman" w:hAnsi="Times New Roman"/>
          <w:color w:val="000000"/>
          <w:sz w:val="20"/>
        </w:rPr>
        <w:t xml:space="preserve">(i) result in any payment becoming due to any current or former employee, director, officer, or independent contractor of Parent or any Subsidiary thereof pursuant to any Parent Benefit Plan, (ii) increase any amount of compensation or benefits otherwise payable under any Parent Benefit Plan, (iii) result in the acceleration of the time of payment, funding or vesting of any benefits under any Parent Benefit Plan, (iv) require any contribution or payment to fund any obligation under any Parent Benefit Plan or </w:t>
      </w:r>
      <w:bookmarkStart w:id="714" w:name="DocXTextRef359"/>
      <w:bookmarkEnd w:id="714"/>
      <w:r>
        <w:rPr>
          <w:rFonts w:ascii="Times New Roman" w:hAnsi="Times New Roman"/>
          <w:color w:val="000000"/>
          <w:sz w:val="20"/>
        </w:rPr>
        <w:t>(v) limit the right to merge, amend or terminate any Parent Benefit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(k)          Except as set forth in </w:t>
      </w:r>
      <w:r>
        <w:rPr>
          <w:rFonts w:ascii="Times New Roman" w:hAnsi="Times New Roman"/>
          <w:color w:val="000000"/>
          <w:sz w:val="20"/>
          <w:u w:val="single"/>
        </w:rPr>
        <w:t>Section 3.17(k)</w:t>
      </w:r>
      <w:r>
        <w:rPr>
          <w:rFonts w:ascii="Times New Roman" w:hAnsi="Times New Roman"/>
          <w:color w:val="000000"/>
          <w:sz w:val="20"/>
        </w:rPr>
        <w:t xml:space="preserve"> of the Parent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w:t>
      </w:r>
      <w:bookmarkStart w:id="715" w:name="DocXTextRef360"/>
      <w:bookmarkEnd w:id="715"/>
      <w:r>
        <w:rPr>
          <w:rFonts w:ascii="Times New Roman" w:hAnsi="Times New Roman"/>
          <w:color w:val="000000"/>
          <w:sz w:val="20"/>
        </w:rPr>
        <w:t xml:space="preserve">Section 280G of the Code) with respect to Parent and its Subsidiaries of any payment or benefit that is or could be characterized as a “parachute payment” (within the meaning of </w:t>
      </w:r>
      <w:bookmarkStart w:id="716" w:name="DocXTextRef361"/>
      <w:bookmarkEnd w:id="716"/>
      <w:r>
        <w:rPr>
          <w:rFonts w:ascii="Times New Roman" w:hAnsi="Times New Roman"/>
          <w:color w:val="000000"/>
          <w:sz w:val="20"/>
        </w:rPr>
        <w:t xml:space="preserve">Section 280G of the Code), determined without regard to the application of Section </w:t>
      </w:r>
      <w:bookmarkStart w:id="717" w:name="DocXTextRef362"/>
      <w:bookmarkEnd w:id="717"/>
      <w:r>
        <w:rPr>
          <w:rFonts w:ascii="Times New Roman" w:hAnsi="Times New Roman"/>
          <w:color w:val="000000"/>
          <w:sz w:val="20"/>
        </w:rPr>
        <w:t>280G(b)(5)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18" w:name="z_Ref237971100"/>
      <w:bookmarkEnd w:id="718"/>
      <w:r>
        <w:rPr>
          <w:rFonts w:ascii="Times New Roman" w:hAnsi="Times New Roman"/>
          <w:color w:val="000000"/>
          <w:sz w:val="20"/>
        </w:rPr>
        <w:t xml:space="preserve">(l)          No current or former employee, officer, director or independent contractor of Parent or any of its Subsidiaries has any “gross up” agreements with the Parent or any of its Subsidiaries or other assurance of reimbursement by the Parent or any of its Subsidiaries for any Taxes imposed under </w:t>
      </w:r>
      <w:bookmarkStart w:id="719" w:name="DocXTextRef364"/>
      <w:bookmarkEnd w:id="719"/>
      <w:r>
        <w:rPr>
          <w:rFonts w:ascii="Times New Roman" w:hAnsi="Times New Roman"/>
          <w:color w:val="000000"/>
          <w:sz w:val="20"/>
        </w:rPr>
        <w:t>Section 409A of the Code or Section 4999 of the Code.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20" w:name="z_Ref237971103"/>
      <w:bookmarkEnd w:id="720"/>
      <w:r>
        <w:rPr>
          <w:rFonts w:ascii="Times New Roman" w:hAnsi="Times New Roman"/>
          <w:color w:val="000000"/>
          <w:sz w:val="20"/>
        </w:rPr>
        <w:t xml:space="preserve">(m)        Parent has provided to the Company a true and correct list, as of the date of this Agreement, containing the names of all current full-time, part-time or temporary employees and independent contractors (and indication as such), and, as applicable: </w:t>
      </w:r>
      <w:bookmarkStart w:id="721" w:name="DocXTextRef365"/>
      <w:bookmarkEnd w:id="721"/>
      <w:r>
        <w:rPr>
          <w:rFonts w:ascii="Times New Roman" w:hAnsi="Times New Roman"/>
          <w:color w:val="000000"/>
          <w:sz w:val="20"/>
        </w:rPr>
        <w:t xml:space="preserve">(i) the annual dollar amount of all cash compensation in the form of wages, salary, fees, commissions, or director’s fees payable to each person; (ii) dates of employment or service; (iii) title and, with respect to independent contractors, a current written description of such person’s contracting services; (iv) visa status, if applicable; and </w:t>
      </w:r>
      <w:bookmarkStart w:id="722" w:name="DocXTextRef366"/>
      <w:bookmarkEnd w:id="722"/>
      <w:r>
        <w:rPr>
          <w:rFonts w:ascii="Times New Roman" w:hAnsi="Times New Roman"/>
          <w:color w:val="000000"/>
          <w:sz w:val="20"/>
        </w:rPr>
        <w:t xml:space="preserve">(v) with respect to employees, </w:t>
      </w:r>
      <w:bookmarkStart w:id="723" w:name="DocXTextRef367"/>
      <w:bookmarkEnd w:id="723"/>
      <w:r>
        <w:rPr>
          <w:rFonts w:ascii="Times New Roman" w:hAnsi="Times New Roman"/>
          <w:color w:val="000000"/>
          <w:sz w:val="20"/>
        </w:rPr>
        <w:t xml:space="preserve">(A) a designation of whether they are classified as exempt or non-exempt for purposes of FLSA and any similar state, federal or ex-U.S. law and </w:t>
      </w:r>
      <w:bookmarkStart w:id="724" w:name="DocXTextRef368"/>
      <w:bookmarkEnd w:id="724"/>
      <w:r>
        <w:rPr>
          <w:rFonts w:ascii="Times New Roman" w:hAnsi="Times New Roman"/>
          <w:color w:val="000000"/>
          <w:sz w:val="20"/>
        </w:rPr>
        <w:t>(B) whether such an employee is on leave, and if so, the expected return date.</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25" w:name="z_Ref237971104"/>
      <w:bookmarkEnd w:id="725"/>
      <w:r>
        <w:rPr>
          <w:rFonts w:ascii="Times New Roman" w:hAnsi="Times New Roman"/>
          <w:color w:val="000000"/>
          <w:sz w:val="20"/>
        </w:rPr>
        <w:t>(n)          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to the Knowledge of Parent, is there or has there been in the past five years any threat of, any strike, slowdown, work stoppage, lockout, union election petition, demand for recognition, or any similar activity or dispute, or any union organizing activity, against Parent or any of its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(o)          Parent and each of its Subsidiaries is, and since December 31, 2023 has been, in material compliance with all applicable Laws respecting labor, employment, employment practices, and terms and conditions of employment, including worker classification, contractor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with respect to employees of Parent and its Subsidiaries, each of Parent and its Subsidiaries, since December 31, 2023, has withheld and reported all amounts required by Law to be withheld and reported with respect to wages, salaries and other payments, benefits, or compensation to employees. There is no material Legal Proceeding pending or, to the Knowledge of Parent, threatened or reasonably anticipated against Parent or any of its Subsidiaries relating to any current or former employee, applicant for employment, or consultant of Parent.</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bookmarkStart w:id="726" w:name="z_Ref237971106"/>
      <w:bookmarkEnd w:id="726"/>
      <w:r>
        <w:rPr>
          <w:rFonts w:ascii="Times New Roman" w:hAnsi="Times New Roman"/>
          <w:color w:val="000000"/>
          <w:sz w:val="20"/>
        </w:rPr>
        <w:t>(p)          Parent has complied in all material respects with the WARN Act and no action that could trigger the WARN Act shall be implemented before the Closing Date.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727" w:name="z_Toc240403067"/>
      <w:bookmarkStart w:id="728" w:name="z_Ref237971107"/>
      <w:bookmarkEnd w:id="727"/>
      <w:bookmarkEnd w:id="728"/>
      <w:r>
        <w:rPr>
          <w:rFonts w:ascii="Times New Roman" w:hAnsi="Times New Roman"/>
          <w:color w:val="000000"/>
          <w:sz w:val="20"/>
        </w:rPr>
        <w:t xml:space="preserve">3.18       </w:t>
      </w:r>
      <w:r>
        <w:rPr>
          <w:rFonts w:ascii="Times New Roman" w:hAnsi="Times New Roman"/>
          <w:b/>
          <w:color w:val="000000"/>
          <w:sz w:val="20"/>
          <w:u w:val="single"/>
        </w:rPr>
        <w:t>Environmental Matters</w:t>
      </w:r>
      <w:r>
        <w:rPr>
          <w:rFonts w:ascii="Times New Roman" w:hAnsi="Times New Roman"/>
          <w:color w:val="000000"/>
          <w:sz w:val="20"/>
        </w:rPr>
        <w:t>. Parent and each of its Subsidiaries are in compliance and since December 31, 2023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has received since December 31, 2023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or its business.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Subs.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them.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729" w:name="z_Toc240403068"/>
      <w:bookmarkStart w:id="730" w:name="z_Ref237973171"/>
      <w:bookmarkStart w:id="731" w:name="z_Ref237971108"/>
      <w:bookmarkEnd w:id="729"/>
      <w:bookmarkEnd w:id="730"/>
      <w:bookmarkEnd w:id="731"/>
      <w:r>
        <w:rPr>
          <w:rFonts w:ascii="Times New Roman" w:hAnsi="Times New Roman"/>
          <w:color w:val="000000"/>
          <w:sz w:val="20"/>
        </w:rPr>
        <w:t xml:space="preserve">3.19       </w:t>
      </w:r>
      <w:r>
        <w:rPr>
          <w:rFonts w:ascii="Times New Roman" w:hAnsi="Times New Roman"/>
          <w:b/>
          <w:color w:val="000000"/>
          <w:sz w:val="20"/>
          <w:u w:val="single"/>
        </w:rPr>
        <w:t>Transactions with Affiliates</w:t>
      </w:r>
      <w:r>
        <w:rPr>
          <w:rFonts w:ascii="Times New Roman" w:hAnsi="Times New Roman"/>
          <w:color w:val="000000"/>
          <w:sz w:val="20"/>
        </w:rPr>
        <w:t xml:space="preserve">. Except as set forth in the Parent SEC Documents filed prior to the date of this Agreement, since December 31, 2025, no event has occurred that would be required to be reported by Parent pursuant to Item </w:t>
      </w:r>
      <w:bookmarkStart w:id="732" w:name="DocXTextRef370"/>
      <w:bookmarkEnd w:id="732"/>
      <w:r>
        <w:rPr>
          <w:rFonts w:ascii="Times New Roman" w:hAnsi="Times New Roman"/>
          <w:color w:val="000000"/>
          <w:sz w:val="20"/>
        </w:rPr>
        <w:t xml:space="preserve">404 of Regulation S-K. </w:t>
      </w:r>
      <w:r>
        <w:rPr>
          <w:rFonts w:ascii="Times New Roman" w:hAnsi="Times New Roman"/>
          <w:color w:val="000000"/>
          <w:sz w:val="20"/>
          <w:u w:val="single"/>
        </w:rPr>
        <w:t>Section 3.19</w:t>
      </w:r>
      <w:r>
        <w:rPr>
          <w:rFonts w:ascii="Times New Roman" w:hAnsi="Times New Roman"/>
          <w:color w:val="000000"/>
          <w:sz w:val="20"/>
        </w:rPr>
        <w:t xml:space="preserve"> of the Parent Disclosure Schedule identifies each Person who is (or who may be deemed to be) an Affiliate of Parent as of the date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bookmarkStart w:id="733" w:name="z_Toc240403069"/>
      <w:bookmarkStart w:id="734" w:name="z_Ref237971109"/>
      <w:bookmarkEnd w:id="733"/>
      <w:bookmarkEnd w:id="734"/>
      <w:r>
        <w:rPr>
          <w:rFonts w:ascii="Times New Roman" w:hAnsi="Times New Roman"/>
          <w:color w:val="000000"/>
          <w:sz w:val="20"/>
        </w:rPr>
        <w:t xml:space="preserve">3.20        </w:t>
      </w:r>
      <w:r>
        <w:rPr>
          <w:rFonts w:ascii="Times New Roman" w:hAnsi="Times New Roman"/>
          <w:b/>
          <w:color w:val="000000"/>
          <w:sz w:val="20"/>
          <w:u w:val="single"/>
        </w:rPr>
        <w:t>Insurance</w:t>
      </w:r>
      <w:r>
        <w:rPr>
          <w:rFonts w:ascii="Times New Roman" w:hAnsi="Times New Roman"/>
          <w:color w:val="000000"/>
          <w:sz w:val="20"/>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December 31, 2023,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has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3.21        </w:t>
      </w:r>
      <w:r>
        <w:rPr>
          <w:rFonts w:ascii="Times New Roman" w:hAnsi="Times New Roman"/>
          <w:b/>
          <w:color w:val="000000"/>
          <w:sz w:val="20"/>
          <w:u w:val="single"/>
        </w:rPr>
        <w:t>Opinion of Financial Advisor</w:t>
      </w:r>
      <w:r>
        <w:rPr>
          <w:rFonts w:ascii="Times New Roman" w:hAnsi="Times New Roman"/>
          <w:color w:val="000000"/>
          <w:sz w:val="20"/>
        </w:rPr>
        <w:t>. The Parent Board has received an opinion of H.C. Wainwright Inc., dated on or about the date of the Agreement, to the effect that, as of the date of such opinion and subject to the assumptions, qualifications, limitations and other matters set forth therein, the Exchange Ratio (as specified in such opinion) is fair, from a financial point of view, to the stockholders of Parent. It is agreed and understood that such opinion is furnished solely for the use of the Parent Board and may not be relied upon by the Company or any other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3.22        </w:t>
      </w:r>
      <w:r>
        <w:rPr>
          <w:rFonts w:ascii="Times New Roman" w:hAnsi="Times New Roman"/>
          <w:b/>
          <w:color w:val="000000"/>
          <w:sz w:val="20"/>
          <w:u w:val="single"/>
        </w:rPr>
        <w:t>No Financial Advisors</w:t>
      </w:r>
      <w:r>
        <w:rPr>
          <w:rFonts w:ascii="Times New Roman" w:hAnsi="Times New Roman"/>
          <w:color w:val="000000"/>
          <w:sz w:val="20"/>
        </w:rPr>
        <w:t>. No broker, finder or investment banker, other than H.C. Wainwright Inc., Leerink Partners LLC and Jefferies LLC, is entitled to any tail fee, brokerage fee, finder’s fee, opinion fee, success fee, transaction fee or other fee or commission in connection with the Contemplated Transactions and the transactions contemplated by the Securities Purchase Agreement based upon arrangements made by or on behalf of Parent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3.23        </w:t>
      </w:r>
      <w:r>
        <w:rPr>
          <w:rFonts w:ascii="Times New Roman" w:hAnsi="Times New Roman"/>
          <w:b/>
          <w:color w:val="000000"/>
          <w:sz w:val="20"/>
          <w:u w:val="single"/>
        </w:rPr>
        <w:t>Anti-Bribery</w:t>
      </w:r>
      <w:r>
        <w:rPr>
          <w:rFonts w:ascii="Times New Roman" w:hAnsi="Times New Roman"/>
          <w:color w:val="000000"/>
          <w:sz w:val="20"/>
        </w:rPr>
        <w:t>. None of Parent or any of its Subsidiaries nor any of their respective directors, officers, employees or, to Parent’s Knowledge, agents or any other Person acting on their behalf (in each of their respective capacities as such) has directly or indirectly paid, provided, offered, made or authorized the provision of any bribes, improper rebates, payoffs, influence payments, kickbacks, illegal payments, illegal political contributions, or other payments, or anything of value, in the form of cash, gifts, or otherwise, or taken any other action, in violation of Anti-Bribery Laws. Neither Parent nor any of its Subsidiaries is or has been the subject of any investigation, inquiry or enforcement action by any Governmental Body with respect to potential violations of Anti-Bribery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3.24        </w:t>
      </w:r>
      <w:r>
        <w:rPr>
          <w:rFonts w:ascii="Times New Roman" w:hAnsi="Times New Roman"/>
          <w:b/>
          <w:color w:val="000000"/>
          <w:sz w:val="20"/>
          <w:u w:val="single"/>
        </w:rPr>
        <w:t>Valid Issuance</w:t>
      </w:r>
      <w:r>
        <w:rPr>
          <w:rFonts w:ascii="Times New Roman" w:hAnsi="Times New Roman"/>
          <w:color w:val="000000"/>
          <w:sz w:val="20"/>
        </w:rPr>
        <w:t>. The Parent Common Stock and Parent Series C Convertible Preferred Stock to be issued in the Merger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Times New Roman" w:hAnsi="Times New Roman"/>
          <w:b/>
          <w:i/>
          <w:color w:val="000000"/>
          <w:sz w:val="20"/>
        </w:rPr>
        <w:t>Disqualifying Event</w:t>
      </w:r>
      <w:r>
        <w:rPr>
          <w:rFonts w:ascii="Times New Roman" w:hAnsi="Times New Roman"/>
          <w:color w:val="000000"/>
          <w:sz w:val="20"/>
        </w:rPr>
        <w:t>”) is applicable to Parent or, to Parent’s Knowledge, any Parent Covered Person, except for a Disqualifying Event as to which Rule 506(d)(2)(ii)-(iv) or (d)(3) of the Securities Act is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3.25        </w:t>
      </w:r>
      <w:r>
        <w:rPr>
          <w:rFonts w:ascii="Times New Roman" w:hAnsi="Times New Roman"/>
          <w:b/>
          <w:color w:val="000000"/>
          <w:sz w:val="20"/>
          <w:u w:val="single"/>
        </w:rPr>
        <w:t>Export Control and Sanctions Compliance</w:t>
      </w:r>
      <w:r>
        <w:rPr>
          <w:rFonts w:ascii="Times New Roman" w:hAnsi="Times New Roman"/>
          <w:color w:val="000000"/>
          <w:sz w:val="20"/>
        </w:rPr>
        <w:t>. Parent has conducted its business in compliance with U.S. export and re-export controls, sanctions, and anti-boycott laws and regulations, including the Export Administration Act and Regulations, the Foreign Assets Control Regulations, the International Traffic in Arms Regulations, other controls administered by the United States Department of Commerce or the United States Department of State, the regulations administered by OFAC and all other Trade Laws. Parent has not engaged in any direct or indirect transactions or dealings with (a) any country or territory that is, or has been, subject to a U.S. Government embargo (including the Embargoed Countries), (b) any instrumentality, agent, entity, or individual that is located in, or acting on behalf of, or directly or indirectly owned or controlled by any Governmental Body of, any Embargoed Country and (c) any Sanctioned Party. Parent is not, nor has ever been, the subject of any investigation, prosecution, inquiry, or enforcement action by any Governmental Body with respect to potential violations of Trade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3.26        </w:t>
      </w:r>
      <w:r>
        <w:rPr>
          <w:rFonts w:ascii="Times New Roman" w:hAnsi="Times New Roman"/>
          <w:b/>
          <w:color w:val="000000"/>
          <w:sz w:val="20"/>
          <w:u w:val="single"/>
        </w:rPr>
        <w:t>Disclaimer of Other Representations or Warranties.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(a)          Except as set forth in this </w:t>
      </w:r>
      <w:r>
        <w:rPr>
          <w:rFonts w:ascii="Times New Roman" w:hAnsi="Times New Roman"/>
          <w:color w:val="000000"/>
          <w:sz w:val="20"/>
          <w:u w:val="single"/>
        </w:rPr>
        <w:t>Section 3</w:t>
      </w:r>
      <w:r>
        <w:rPr>
          <w:rFonts w:ascii="Times New Roman" w:hAnsi="Times New Roman"/>
          <w:color w:val="000000"/>
          <w:sz w:val="20"/>
        </w:rPr>
        <w:t xml:space="preserve"> or in any certificate delivered by Parent or Merger Subs to the Company pursuant to this Agreement, neither Parent nor any Merger Sub makes any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(b)          Each of Parent, First Merger Sub and Second Merger Sub acknowledges and agrees that, except for the representations and warranties of the Company set forth in </w:t>
      </w:r>
      <w:r>
        <w:rPr>
          <w:rFonts w:ascii="Times New Roman" w:hAnsi="Times New Roman"/>
          <w:color w:val="000000"/>
          <w:sz w:val="20"/>
          <w:u w:val="single"/>
        </w:rPr>
        <w:t>Section 2</w:t>
      </w:r>
      <w:r>
        <w:rPr>
          <w:rFonts w:ascii="Times New Roman" w:hAnsi="Times New Roman"/>
          <w:color w:val="000000"/>
          <w:sz w:val="20"/>
        </w:rPr>
        <w:t xml:space="preserve"> or in any certificate delivered by the Company to Parent or the Merger Subs pursuant to this Agreement, none of the Company or any of their respective Representatives is relying on any other representation or warranty of the Company or any other Person made outside of </w:t>
      </w:r>
      <w:r>
        <w:rPr>
          <w:rFonts w:ascii="Times New Roman" w:hAnsi="Times New Roman"/>
          <w:color w:val="000000"/>
          <w:sz w:val="20"/>
          <w:u w:val="single"/>
        </w:rPr>
        <w:t>Section 2</w:t>
      </w:r>
      <w:r>
        <w:rPr>
          <w:rFonts w:ascii="Times New Roman" w:hAnsi="Times New Roman"/>
          <w:color w:val="000000"/>
          <w:sz w:val="20"/>
        </w:rPr>
        <w:t xml:space="preserve"> or such certificates, including regarding the accuracy or completeness of any such other representations or warranties or the omission of any material information, whether express or implied, in each case, with respect to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color w:val="000000"/>
          <w:sz w:val="20"/>
        </w:rPr>
        <w:t>SECTION 4.       ADDITIONAL AGREEMENTS OF THE PARTIES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4.1          </w:t>
      </w:r>
      <w:r>
        <w:rPr>
          <w:rFonts w:ascii="Times New Roman" w:hAnsi="Times New Roman"/>
          <w:b/>
          <w:color w:val="000000"/>
          <w:sz w:val="20"/>
          <w:u w:val="single"/>
        </w:rPr>
        <w:t>Parent Stockholders’ Meeting.</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As promptly as practicable following the execution of this Agreement, Parent shall take all action necessary under applicable Law to call, give notice of and hold a meeting of the holders of Parent Common Stock for the purpose of seeking:</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(i)          approval of the Preferred Stock Conversion Proposal;</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(ii)         approval of a “change of control” under Nasdaq listing rules 5110 and 5635(b) (the “</w:t>
      </w:r>
      <w:r>
        <w:rPr>
          <w:rFonts w:ascii="Times New Roman" w:hAnsi="Times New Roman"/>
          <w:b/>
          <w:i/>
          <w:color w:val="000000"/>
          <w:sz w:val="20"/>
        </w:rPr>
        <w:t>Change of Control Proposal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(iii)        to the extent deemed necessary or advisable by Parent and/or the Company, approval of an amendment of Parent’s certificate of incorporation to authorize sufficient Parent Common Stock in Parent’s certificate of incorporation for the conversion of the Parent Series C Convertible Preferred Stock issued pursuant to this Agreement and/or to effectuate the Nasdaq Reverse Split;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(iv)        to the extent deemed necessary or advisable by Parent and/or the Company, approval of (A) an equity incentive plan that has been approved by the Parent Board, which will provide for new awards for a number of shares of Parent Common Stock, taking into account the advice and recommendations of an independent compensation consultant, and which shall include an annual increase pursuant to an “evergreen” provision, taking into account the advice and recommendations of an independent compensation consultant and (B) an employee stock purchase plan that has been approved by the Parent Board, with a total pool of shares of Parent Common Stock, taking into account the advice and recommendations of an independent compensation consultant, and which shall include an annual increase pursuant to an “evergreen” provision, taking into account the advice and recommendations of an independent compensation consultant, in each case in the forms presented to the Parent Board; and</w:t>
      </w:r>
    </w:p>
    <w:p>
      <w:pPr>
        <w:pStyle w:val="TextBody"/>
        <w:bidi w:val="0"/>
        <w:spacing w:before="0" w:after="0"/>
        <w:jc w:val="left"/>
        <w:rPr>
          <w:color w:val="000000"/>
        </w:rPr>
      </w:pPr>
      <w:r>
        <w:rPr>
          <w:color w:val="000000"/>
        </w:rPr>
        <w:t> </w:t>
      </w:r>
    </w:p>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(v)          such additional matters as may be mutually agreed between Parent and the Company to facilitate approval of the Preferred Stock Conversion Proposal (the matters contemplated by the clauses 4.1(a)(i)-(v) are referred to as the “</w:t>
      </w:r>
      <w:r>
        <w:rPr>
          <w:rFonts w:ascii="Times New Roman" w:hAnsi="Times New Roman"/>
          <w:b/>
          <w:i/>
          <w:color w:val="000000"/>
          <w:sz w:val="20"/>
        </w:rPr>
        <w:t>Parent Stockholder Matters</w:t>
      </w:r>
      <w:r>
        <w:rPr>
          <w:rFonts w:ascii="Times New Roman" w:hAnsi="Times New Roman"/>
          <w:color w:val="000000"/>
          <w:sz w:val="20"/>
        </w:rPr>
        <w:t>”, and such meeting, including any postponement, adjournment or recess thereof, the “</w:t>
      </w:r>
      <w:r>
        <w:rPr>
          <w:rFonts w:ascii="Times New Roman" w:hAnsi="Times New Roman"/>
          <w:b/>
          <w:i/>
          <w:color w:val="000000"/>
          <w:sz w:val="20"/>
        </w:rPr>
        <w:t>Parent Stockholders’ Meeting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(b)         Parent agrees to call and hold the Parent Stockholders’ Meeting as soon as practicable after the Clearance Date (and in any event no later than 20 days following the Clearance Date (or if the Proxy Solicitor advises in good faith, after discussion with the Parties, that 20 days from the Clearance Date is insufficient time to submit and obtain the Parent Required Stockholder Vote, such later date as recommended by the Proxy Solicitor and mutually agreed among the Parties)). If the approval of the Parent Stockholder Matters is not obtained at the Parent Stockholders’ Meeting or if on a date preceding the Parent Stockholders’ Meeting, Parent reasonably believes that (i) it will not receive proxies sufficient to obtain the Required Parent Stockholder Vote, whether or not quorum would be present, (ii) it will not have sufficient shares of Parent Common Stock represented (whether in person or by proxy) to constitute a quorum necessary to conduct the business of the Parent Stockholders’ Meeting or (iii) the Nasdaq Listing Application has not been conditionally approved, then, in each case, Parent shall use its reasonable best efforts to (or, if requested by the Company, shall) adjourn the Parent Stockholders’ Meeting one or more times to a date or dates no more than 15 days after the scheduled date for such meeting, and to obtain such approvals at such time. If the Parent Stockholders’ Meeting is not so adjourned, and/or if the conditional approval of the Nasdaq Listing Application and/or the approval of the Parent Stockholder Matters is not then obtained, Parent shall use its reasonable best efforts to obtain such approvals as soon as practicable thereafter, and in any event to obtain such approvals at the next occurring annual meeting of the stockholders of Parent or, if such annual meeting is not scheduled to be held within six months after the Parent Stockholders’ Meeting, a special meeting of the stockholders of Parent to be held within six months after the Parent Stockholders’ Meeting. Parent shall hold an annual meeting or special meeting of its stockholders, at which a vote of the stockholders of Parent to approve the Parent Stockholder Matters will be solicited and taken, at least once every six months until Parent obtains conditional approval of the Nasdaq Listing Application and/or the approval of the Parent Stockholder Matters. During the applicable solicitation period, Parent shall provide to the Company at least once every week, all voting tabulation reports relating to the Parent Stockholders’ Meeting or such other annual or special meeting of Parent’s stockholders contemplated by this </w:t>
      </w:r>
      <w:r>
        <w:rPr>
          <w:rFonts w:ascii="Times New Roman" w:hAnsi="Times New Roman"/>
          <w:color w:val="000000"/>
          <w:sz w:val="20"/>
          <w:u w:val="single"/>
        </w:rPr>
        <w:t>Section 4.1(b)</w:t>
      </w:r>
      <w:r>
        <w:rPr>
          <w:rFonts w:ascii="Times New Roman" w:hAnsi="Times New Roman"/>
          <w:color w:val="000000"/>
          <w:sz w:val="20"/>
        </w:rPr>
        <w:t xml:space="preserve"> that have been prepared by Parent, the Proxy Solicitor or Parent’s transfer agent or other Representatives, and, if requested by the Company, shall promptly provide such reports at any other time. Parent shall otherwise keep the Company reasonably informed regarding the status of the solicitation and any material oral or written communications from or to Parent’s stockholders with respect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(c)          Parent agrees that: (i) the Parent Board shall recommend that the holders of Parent Common Stock vote to approve the Parent Stockholder Matters and shall solicit and use its reasonable best efforts to obtain such approval within the time frames set forth in </w:t>
      </w:r>
      <w:r>
        <w:rPr>
          <w:rFonts w:ascii="Times New Roman" w:hAnsi="Times New Roman"/>
          <w:color w:val="000000"/>
          <w:sz w:val="20"/>
          <w:u w:val="single"/>
        </w:rPr>
        <w:t>Section 4.1(b)</w:t>
      </w:r>
      <w:r>
        <w:rPr>
          <w:rFonts w:ascii="Times New Roman" w:hAnsi="Times New Roman"/>
          <w:color w:val="000000"/>
          <w:sz w:val="20"/>
        </w:rPr>
        <w:t>, and (ii) the Proxy Statement shall include a statement to the effect that the Parent Board recommends that the Parent’s stockholders vote to approve the Parent Stockholder Matters. Parent shall engage a proxy solicitor reasonably acceptable to the Company (the “</w:t>
      </w:r>
      <w:r>
        <w:rPr>
          <w:rFonts w:ascii="Times New Roman" w:hAnsi="Times New Roman"/>
          <w:b/>
          <w:i/>
          <w:color w:val="000000"/>
          <w:sz w:val="20"/>
        </w:rPr>
        <w:t>Proxy Solicitor</w:t>
      </w:r>
      <w:r>
        <w:rPr>
          <w:rFonts w:ascii="Times New Roman" w:hAnsi="Times New Roman"/>
          <w:color w:val="000000"/>
          <w:sz w:val="20"/>
        </w:rPr>
        <w:t>”) to assist in the solicitation of proxies from stockholders relating to the Required Parent Stockholder Vote.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The Company and Parent acknowledge that, under the Nasdaq Stock Market Rules, holders of the Parent Common Stock Payment Shares and the Parent Preferred Stock Payment Shares shall not be entitled to vote such shares on the Preferred Stock Conversion Proposal or the Change of Control Proposal.</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4.2          </w:t>
      </w:r>
      <w:r>
        <w:rPr>
          <w:rFonts w:ascii="Times New Roman" w:hAnsi="Times New Roman"/>
          <w:b/>
          <w:color w:val="000000"/>
          <w:sz w:val="20"/>
          <w:u w:val="single"/>
        </w:rPr>
        <w:t>Proxy Statement.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As promptly as practicable after the Closing Date and in any event on or before the date that is 20 days after the date hereof, Parent shall prepare and file with the SEC a proxy statement relating to the Parent Stockholders’ Meeting to be held in connection with the Parent Stockholder Matters (together with any amendments thereof or supplements thereto, the “</w:t>
      </w:r>
      <w:r>
        <w:rPr>
          <w:rFonts w:ascii="Times New Roman" w:hAnsi="Times New Roman"/>
          <w:b/>
          <w:i/>
          <w:color w:val="000000"/>
          <w:sz w:val="20"/>
        </w:rPr>
        <w:t>Proxy Statement</w:t>
      </w:r>
      <w:r>
        <w:rPr>
          <w:rFonts w:ascii="Times New Roman" w:hAnsi="Times New Roman"/>
          <w:color w:val="000000"/>
          <w:sz w:val="20"/>
        </w:rPr>
        <w:t>”). Parent shall use its reasonable best efforts to (i) cause the Proxy Statement to comply with applicable rules and regulations promulgated by the SEC and (ii) respond promptly to any comments or requests of the SEC or its staff related to the Proxy Statement. Parent shall not file the Proxy Statement, or any amendment or supplement thereto or respond to SEC comments or requests, without providing the Company and its counsel a reasonable opportunity to review and comment thereon (which comments shall be reasonably considered by Parent).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Parent covenants and agrees that the Proxy Statement (and the letters to stockholders, notice of meeting and form of proxy included therewith) (i) shall comply as to form in all material respects with the requirements of applicable U.S. federal securities Laws and the DGCL, and (ii) shall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Parent shall cause the Proxy Statement to be mailed to Parent’s stockholders as promptly as practicable after the Proxy Statement has been filed with the SEC and either (i) the SEC has indicated that it does not intend to review the Proxy Statement or that its review of the Proxy Statement has been completed or (ii) at least ten days shall have passed since the Proxy Statement was filed with the SEC without receiving any correspondence from the SEC commenting upon, or indicating that it intends to review, the Proxy Statement, all in compliance with applicable U.S. federal securities laws and the DGCL (the earlier of such date that the events described in clause (i) or (ii) shall have occurred, the “</w:t>
      </w:r>
      <w:r>
        <w:rPr>
          <w:rFonts w:ascii="Times New Roman" w:hAnsi="Times New Roman"/>
          <w:b/>
          <w:i/>
          <w:color w:val="000000"/>
          <w:sz w:val="20"/>
        </w:rPr>
        <w:t>Clearance Date</w:t>
      </w:r>
      <w:r>
        <w:rPr>
          <w:rFonts w:ascii="Times New Roman" w:hAnsi="Times New Roman"/>
          <w:color w:val="000000"/>
          <w:sz w:val="20"/>
        </w:rPr>
        <w:t>”). If Parent, First Merger Sub, Second Merger Sub or the Surviving Entity (A) become aware of any event or information that, pursuant to the Securities Act or the Exchange Act, should be disclosed in an amendment or supplement to the Proxy Statement, (B) receives notice of any SEC request for an amendment or supplement to the Proxy Statement or for additional information related thereto, or (C) receives SEC comments on the Proxy Statement, as the case may be, then such Party, as the case may be, shall promptly inform the other Parties thereof and shall cooperate and consult with such other Parties in Parent filing such amendment or supplement with the SEC and, if appropriate, in mailing such amendment or supplement to the Parent stockholders.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The Parties shall reasonably cooperate and consult with each other and provide, and shall use reasonable best efforts to cause their respective Representatives to provide, the other Party and its Representatives, with all true, correct and complete information regarding such Party that is required by applicable Law to be included in the Proxy Statement or reasonably requested by the other Party to be included in the Proxy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4.3         </w:t>
      </w:r>
      <w:r>
        <w:rPr>
          <w:rFonts w:ascii="Times New Roman" w:hAnsi="Times New Roman"/>
          <w:b/>
          <w:color w:val="000000"/>
          <w:sz w:val="20"/>
          <w:u w:val="single"/>
        </w:rPr>
        <w:t>Reservation of Parent Common Stock; Issuance of Shares of Parent Common Stock</w:t>
      </w:r>
      <w:r>
        <w:rPr>
          <w:rFonts w:ascii="Times New Roman" w:hAnsi="Times New Roman"/>
          <w:color w:val="000000"/>
          <w:sz w:val="20"/>
        </w:rPr>
        <w:t>. For as long as any Parent Preferred Stock Payment Shares remain outstanding, Parent shall at all times reserve and keep available, free from preemptive rights, out of its authorized but unissued Parent Common Stock or shares of Parent Common Stock held in treasury by Parent, for the purpose of effecting the conversion of the Parent Preferred Stock Payment Shares, the full number of shares of Parent Common Stock then issuable upon the conversion of all Parent Preferred Stock Payment Shares then outstanding. All shares of Parent Common Stock delivered upon conversion of the Parent Preferred Stock Payment Shares shall be newly issued shares or shares held in treasury by Parent, shall have been duly authorized and validly issued and shall be fully paid and nonassessable, and shall be free from preemptive rights and free of any Encumbrance.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4.4         </w:t>
      </w:r>
      <w:r>
        <w:rPr>
          <w:rFonts w:ascii="Times New Roman" w:hAnsi="Times New Roman"/>
          <w:b/>
          <w:color w:val="000000"/>
          <w:sz w:val="20"/>
          <w:u w:val="single"/>
        </w:rPr>
        <w:t>Employee Benefits.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For purposes of vesting, eligibility to participate, and level of benefits (other than for purposes of determining awards under an equity incentive plan or accrued benefits under any defined benefit pension plan) under the benefit plans, programs, Contracts or arrangements of Parent or any of its Subsidiaries (including, following the Closing, the Surviving Entity and its Subsidiaries) (the “</w:t>
      </w:r>
      <w:r>
        <w:rPr>
          <w:rFonts w:ascii="Times New Roman" w:hAnsi="Times New Roman"/>
          <w:b/>
          <w:i/>
          <w:color w:val="000000"/>
          <w:sz w:val="20"/>
        </w:rPr>
        <w:t>Post-Closing Plans</w:t>
      </w:r>
      <w:r>
        <w:rPr>
          <w:rFonts w:ascii="Times New Roman" w:hAnsi="Times New Roman"/>
          <w:color w:val="000000"/>
          <w:sz w:val="20"/>
        </w:rPr>
        <w:t>”), Parent shall use reasonable best efforts to cause each employee of the Company who remains employed by Parent or the Surviving Entity, or any of their respective Subsidiaries following the Closing, (together, the “</w:t>
      </w:r>
      <w:r>
        <w:rPr>
          <w:rFonts w:ascii="Times New Roman" w:hAnsi="Times New Roman"/>
          <w:b/>
          <w:i/>
          <w:color w:val="000000"/>
          <w:sz w:val="20"/>
        </w:rPr>
        <w:t>Continuing Employees</w:t>
      </w:r>
      <w:r>
        <w:rPr>
          <w:rFonts w:ascii="Times New Roman" w:hAnsi="Times New Roman"/>
          <w:color w:val="000000"/>
          <w:sz w:val="20"/>
        </w:rPr>
        <w:t xml:space="preserve">”) to be credited with his or her years of service with the Company or any of its predecessors; </w:t>
      </w:r>
      <w:r>
        <w:rPr>
          <w:rFonts w:ascii="Times New Roman" w:hAnsi="Times New Roman"/>
          <w:i/>
          <w:color w:val="000000"/>
          <w:sz w:val="20"/>
        </w:rPr>
        <w:t>provided</w:t>
      </w:r>
      <w:r>
        <w:rPr>
          <w:rFonts w:ascii="Times New Roman" w:hAnsi="Times New Roman"/>
          <w:color w:val="000000"/>
          <w:sz w:val="20"/>
        </w:rPr>
        <w:t xml:space="preserve"> that the foregoing shall not apply to the extent that its application would result in a duplication of benefits. In addition, and without limiting the generality of the foregoing, for purposes of each Post-Closing Plan providing medical, dental, pharmaceutical and/or vision benefits to a Continuing Employee, Parent shall use reasonable best efforts to cause all pre-existing condition exclusions and actively-at-work requirements of such Post-Closing Plan to be waived for such Continuing Employee and his or her covered dependents to the extent and unless such conditions would have been waived or satisfied under the employee benefit plan whose coverage is being replaced under the Post-Closing Plan, and Parent shall use its best efforts to cause any eligible expenses incurred by a Continuing Employee and his or her covered dependents during the portion of such plan year in which coverage is replaced with coverage under a Post-Closing Plan to be taken into account under such Post-Closing Plan with respect to the plan year in which participation in such Post-Closing Plan begins for purposes of satisfying all deductible, coinsurance and maximum out-of-pocket requirements applicable to such Continuing Employee and his or her covered dependents for such plan year as if such amounts had been paid in accordance with such Post-Closing Plan.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Parent shall, or shall cause one of its Affiliates to, (i) provide Continuing Employees with base salary or hourly wage rate, as applicable, that are no less than the base salary or hourly wage rate, as applicable, in effect as of immediately prior to the First Effective Time through the twelve-month anniversary following the Closing Date and, (ii) at all times from the First Effective Time through the twelve-month anniversary following the Closing Date, honor all severance commitments of the Company in effect as of immediately prior to the First Effective Time that pertain to the Continuing Employees (the “</w:t>
      </w:r>
      <w:r>
        <w:rPr>
          <w:rFonts w:ascii="Times New Roman" w:hAnsi="Times New Roman"/>
          <w:b/>
          <w:i/>
          <w:color w:val="000000"/>
          <w:sz w:val="20"/>
        </w:rPr>
        <w:t>Existing Severance Plan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(c)          The provisions of this </w:t>
      </w:r>
      <w:r>
        <w:rPr>
          <w:rFonts w:ascii="Times New Roman" w:hAnsi="Times New Roman"/>
          <w:color w:val="000000"/>
          <w:sz w:val="20"/>
          <w:u w:val="single"/>
        </w:rPr>
        <w:t>Section 4.4</w:t>
      </w:r>
      <w:r>
        <w:rPr>
          <w:rFonts w:ascii="Times New Roman" w:hAnsi="Times New Roman"/>
          <w:color w:val="000000"/>
          <w:sz w:val="20"/>
        </w:rPr>
        <w:t xml:space="preserve"> are for the sole benefit of Parent and the Company and no provision of this Agreement shall (i) create any third-party beneficiary or other rights in any Person, including rights in respect of any benefits that may be provided, directly or indirectly, under any Company Benefit Plan, Parent Benefit Plan or Post-Closing Plan or rights to continued employment or service with the Company or the Parent (or any Subsidiary thereof), (ii) be construed as an amendment, waiver or creation of or limitation on the ability to terminate any Company Benefit Plan, Parent Benefit Plan or Post-Closing Plan, or (iii) limit the ability of the Parent to terminate the employment of any Continuing Employee or modify the at-will status of any Continuing Employees.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4.5          </w:t>
      </w:r>
      <w:r>
        <w:rPr>
          <w:rFonts w:ascii="Times New Roman" w:hAnsi="Times New Roman"/>
          <w:b/>
          <w:color w:val="000000"/>
          <w:sz w:val="20"/>
          <w:u w:val="single"/>
        </w:rPr>
        <w:t>Indemnification of Officers and Directors.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or any of their respective Subsidiaries, respectively (the “</w:t>
      </w:r>
      <w:r>
        <w:rPr>
          <w:rFonts w:ascii="Times New Roman" w:hAnsi="Times New Roman"/>
          <w:b/>
          <w:i/>
          <w:color w:val="000000"/>
          <w:sz w:val="20"/>
        </w:rPr>
        <w:t>D&amp;O Indemnified Parties</w:t>
      </w:r>
      <w:r>
        <w:rPr>
          <w:rFonts w:ascii="Times New Roman" w:hAnsi="Times New Roman"/>
          <w:color w:val="000000"/>
          <w:sz w:val="20"/>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Parent or of the Company, or any Subsidiary thereof, asserted or claimed prior to the First Effective Time, in each case, to the fullest extent permitted under applicable Law. Except in the case of fraud,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hAnsi="Times New Roman"/>
          <w:i/>
          <w:color w:val="000000"/>
          <w:sz w:val="20"/>
        </w:rPr>
        <w:t>provided</w:t>
      </w:r>
      <w:r>
        <w:rPr>
          <w:rFonts w:ascii="Times New Roman" w:hAnsi="Times New Roman"/>
          <w:color w:val="000000"/>
          <w:sz w:val="20"/>
        </w:rPr>
        <w:t xml:space="preserve"> that any such person to whom expenses are advanced provides an undertaking to Parent, to the extent then required by the DGCL or DLLCA, as applicable, to repay such advances if it is ultimately determined that such person is not entitled to indemnification.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years from the First Effective Time in a manner that would adversely affect the rights thereunder of individuals who, at or prior to the First Effective Time, were officers or directors of Parent, unless such modification is required by applicable Law. The certificate of formation and limited liability company agreement of the Surviving Entity shall contain, and Parent shall cause the certificate of formation and limited liability company agreement of the Surviving Entity to so contain, provisions no less favorable with respect to indemnification, advancement of expenses and exculpation of present and former directors and officers as those presently set forth in the certificate of incorporation and bylaws of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From and after the First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In addition, Parent shall maintain the six year prepaid “tail policy” (the “</w:t>
      </w:r>
      <w:r>
        <w:rPr>
          <w:rFonts w:ascii="Times New Roman" w:hAnsi="Times New Roman"/>
          <w:b/>
          <w:i/>
          <w:color w:val="000000"/>
          <w:sz w:val="20"/>
        </w:rPr>
        <w:t>D&amp;O Tail Policy</w:t>
      </w:r>
      <w:r>
        <w:rPr>
          <w:rFonts w:ascii="Times New Roman" w:hAnsi="Times New Roman"/>
          <w:color w:val="000000"/>
          <w:sz w:val="20"/>
        </w:rPr>
        <w:t>”) that it has purchased prior to the date of this Agreement for the non-cancelable extension of the directors’ and officers’ liability coverage of Parent’s existing directors’ and officers’ insurance policies for a claims reporting or discovery period of at least six years from and after the Change of Control Effective Time with respect to any claim related to any period of time at or prior to the Change of Control Effective Time with terms, conditions, retentions and limits of liability that are no less favorable than the coverage provided under Parent’s existing policies as of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(e)          The provisions of this </w:t>
      </w:r>
      <w:r>
        <w:rPr>
          <w:rFonts w:ascii="Times New Roman" w:hAnsi="Times New Roman"/>
          <w:color w:val="000000"/>
          <w:sz w:val="20"/>
          <w:u w:val="single"/>
        </w:rPr>
        <w:t>Section 4.5</w:t>
      </w:r>
      <w:r>
        <w:rPr>
          <w:rFonts w:ascii="Times New Roman" w:hAnsi="Times New Roman"/>
          <w:color w:val="000000"/>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(f)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color w:val="000000"/>
          <w:sz w:val="20"/>
          <w:u w:val="single"/>
        </w:rPr>
        <w:t>Section 4.5</w:t>
      </w:r>
      <w:r>
        <w:rPr>
          <w:rFonts w:ascii="Times New Roman" w:hAnsi="Times New Roman"/>
          <w:color w:val="000000"/>
          <w:sz w:val="20"/>
        </w:rPr>
        <w:t xml:space="preserve">. Parent shall cause the Surviving Entity to perform all of the obligations of the Surviving Entity under this </w:t>
      </w:r>
      <w:r>
        <w:rPr>
          <w:rFonts w:ascii="Times New Roman" w:hAnsi="Times New Roman"/>
          <w:color w:val="000000"/>
          <w:sz w:val="20"/>
          <w:u w:val="single"/>
        </w:rPr>
        <w:t>Section 4.5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4.6          </w:t>
      </w:r>
      <w:r>
        <w:rPr>
          <w:rFonts w:ascii="Times New Roman" w:hAnsi="Times New Roman"/>
          <w:b/>
          <w:color w:val="000000"/>
          <w:sz w:val="20"/>
          <w:u w:val="single"/>
        </w:rPr>
        <w:t>Additional Agreements</w:t>
      </w:r>
      <w:r>
        <w:rPr>
          <w:rFonts w:ascii="Times New Roman" w:hAnsi="Times New Roman"/>
          <w:color w:val="000000"/>
          <w:sz w:val="20"/>
        </w:rPr>
        <w:t xml:space="preserve">. The Parties shall use reasonable best efforts to cause to be taken all actions necessary to consummate the Contemplated Transactions. Without limiting the generality of the foregoing, each Party to this Agreement: (a) shall make all filings and other submissions (if any) and give all notices (if any) set forth on </w:t>
      </w:r>
      <w:r>
        <w:rPr>
          <w:rFonts w:ascii="Times New Roman" w:hAnsi="Times New Roman"/>
          <w:color w:val="000000"/>
          <w:sz w:val="20"/>
          <w:u w:val="single"/>
        </w:rPr>
        <w:t>Section 4.6(a)</w:t>
      </w:r>
      <w:r>
        <w:rPr>
          <w:rFonts w:ascii="Times New Roman" w:hAnsi="Times New Roman"/>
          <w:color w:val="000000"/>
          <w:sz w:val="20"/>
        </w:rPr>
        <w:t xml:space="preserve"> of the Parent Disclosure Schedule required to be made and given by such Party in connection with the Contemplated Transactions; (b) shall use reasonable best efforts to obtain each Consent (if any) set forth on </w:t>
      </w:r>
      <w:r>
        <w:rPr>
          <w:rFonts w:ascii="Times New Roman" w:hAnsi="Times New Roman"/>
          <w:color w:val="000000"/>
          <w:sz w:val="20"/>
          <w:u w:val="single"/>
        </w:rPr>
        <w:t>Section 4.6(a)</w:t>
      </w:r>
      <w:r>
        <w:rPr>
          <w:rFonts w:ascii="Times New Roman" w:hAnsi="Times New Roman"/>
          <w:color w:val="000000"/>
          <w:sz w:val="20"/>
        </w:rPr>
        <w:t xml:space="preserve"> of the Parent Disclosure Schedule required to be obtained (pursuant to any applicable Law or Contract, or otherwise) by such Party in connection with the Contemplated Transactions or for such Contract to remain in full force and effect; (c) shall use reasonable best efforts to lift any injunction prohibiting, or any other legal bar to, the Contemplated Transactions; and (d) shall use reasonable best efforts to satisfy the conditions precedent to the consummation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4.7          </w:t>
      </w:r>
      <w:r>
        <w:rPr>
          <w:rFonts w:ascii="Times New Roman" w:hAnsi="Times New Roman"/>
          <w:b/>
          <w:color w:val="000000"/>
          <w:sz w:val="20"/>
          <w:u w:val="single"/>
        </w:rPr>
        <w:t>Listing</w:t>
      </w:r>
      <w:r>
        <w:rPr>
          <w:rFonts w:ascii="Times New Roman" w:hAnsi="Times New Roman"/>
          <w:color w:val="000000"/>
          <w:sz w:val="20"/>
        </w:rPr>
        <w:t>. Parent shall use its reasonable best efforts to (a) maintain its existing listing on Nasdaq; (b) prepare and submit to Nasdaq a notification form for the listing of the Parent Common Stock Payment Shares and the Parent Common Stock to be issued upon conversion of the Parent Series C Convertible Preferred Stock to be issued in connection with the Contemplated Transactions; and (c) to the extent required by Nasdaq rules and regulations, file an initial listing application for the Parent Common Stock on Nasdaq (the “</w:t>
      </w:r>
      <w:r>
        <w:rPr>
          <w:rFonts w:ascii="Times New Roman" w:hAnsi="Times New Roman"/>
          <w:b/>
          <w:i/>
          <w:color w:val="000000"/>
          <w:sz w:val="20"/>
        </w:rPr>
        <w:t>Nasdaq Listing Application</w:t>
      </w:r>
      <w:r>
        <w:rPr>
          <w:rFonts w:ascii="Times New Roman" w:hAnsi="Times New Roman"/>
          <w:color w:val="000000"/>
          <w:sz w:val="20"/>
        </w:rPr>
        <w:t xml:space="preserve">”), which Nasdaq Listing Application shall be prepared in cooperation with the Company, and to cause such Nasdaq Listing Application to be conditionally approved prior to the First Effective Time. The Parties shall use reasonable best efforts to coordinate with respect to compliance with Nasdaq rules and regulations. Each Party shall promptly inform the other Party of all verbal or written communications between Nasdaq and such Party or its representatives. The Company shall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Times New Roman" w:hAnsi="Times New Roman"/>
          <w:color w:val="000000"/>
          <w:sz w:val="20"/>
          <w:u w:val="single"/>
        </w:rPr>
        <w:t>Section 4.7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4.8          </w:t>
      </w:r>
      <w:r>
        <w:rPr>
          <w:rFonts w:ascii="Times New Roman" w:hAnsi="Times New Roman"/>
          <w:b/>
          <w:color w:val="000000"/>
          <w:sz w:val="20"/>
          <w:u w:val="single"/>
        </w:rPr>
        <w:t>Tax Matters</w:t>
      </w:r>
      <w:r>
        <w:rPr>
          <w:rFonts w:ascii="Times New Roman" w:hAnsi="Times New Roman"/>
          <w:color w:val="000000"/>
          <w:sz w:val="20"/>
        </w:rPr>
        <w:t>. For U.S. federal income Tax purposes, (i) the Parties intend that the First Merger and the Second Merger, taken together, constitute an integrated transaction described in Rev. Rul. 2001-46, 2001-2 C.B. 321 that qualifies as a “reorganization” within the meaning of Section 368(a) of the Code and the Treasury Regulations promulgated thereunder (the “</w:t>
      </w:r>
      <w:r>
        <w:rPr>
          <w:rFonts w:ascii="Times New Roman" w:hAnsi="Times New Roman"/>
          <w:b/>
          <w:i/>
          <w:color w:val="000000"/>
          <w:sz w:val="20"/>
        </w:rPr>
        <w:t>Intended Tax Treatment</w:t>
      </w:r>
      <w:r>
        <w:rPr>
          <w:rFonts w:ascii="Times New Roman" w:hAnsi="Times New Roman"/>
          <w:color w:val="000000"/>
          <w:sz w:val="20"/>
        </w:rPr>
        <w:t>”), and (ii) this Agreement is intended to be, and is hereby adopted as, a “plan of reorganization” for purposes of Sections 354 and 361 of the Code and Treasury Regulations Sections 1.368-2(g) and 1.368-3(a), to which the Parent, Merger Subs and the Company are parties under Section 368(b) of the Code. The Parties shall treat and shall not take any tax reporting position (including during the course of any audit, litigation or other proceeding with respect to Taxes) inconsistent with the treatment of the Merger as a reorganization within the meaning of Section 368(a) of the Code for U.S. federal, state and other relevant Tax purposes, unless otherwise required pursuant to a “determination” within the meaning of Section 1313(a) of the Code. The Parties shall (and shall cause their Affiliates to) not take any action or cause any action to be taken, or fail to take or cause to be taken any action, which action or failure to act would reasonably be expected to prevent the Merger from qualifying for the Intended Tax Treatment.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4.9          </w:t>
      </w:r>
      <w:r>
        <w:rPr>
          <w:rFonts w:ascii="Times New Roman" w:hAnsi="Times New Roman"/>
          <w:b/>
          <w:color w:val="000000"/>
          <w:sz w:val="20"/>
          <w:u w:val="single"/>
        </w:rPr>
        <w:t>Legends</w:t>
      </w:r>
      <w:r>
        <w:rPr>
          <w:rFonts w:ascii="Times New Roman" w:hAnsi="Times New Roman"/>
          <w:color w:val="000000"/>
          <w:sz w:val="20"/>
        </w:rPr>
        <w:t xml:space="preserve">. Parent shall be entitled to place appropriate legends, including the legend noted in </w:t>
      </w:r>
      <w:r>
        <w:rPr>
          <w:rFonts w:ascii="Times New Roman" w:hAnsi="Times New Roman"/>
          <w:color w:val="000000"/>
          <w:sz w:val="20"/>
          <w:u w:val="single"/>
        </w:rPr>
        <w:t>Section 4.16</w:t>
      </w:r>
      <w:r>
        <w:rPr>
          <w:rFonts w:ascii="Times New Roman" w:hAnsi="Times New Roman"/>
          <w:color w:val="000000"/>
          <w:sz w:val="20"/>
        </w:rPr>
        <w:t>, on the book entries and/or certificates evidencing any shares of Parent Common Stock or Parent Series C Convertible Preferred Stock to be received in the Merger by equity holders of the Company reflecting the restrictions set forth in Rules 144 and 145 under the Securities Act and to issue appropriate stop transfer instructions to the transfer agent for Parent Common Stock and Parent Series C Convertible Preferred Stock.</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4.10        </w:t>
      </w:r>
      <w:r>
        <w:rPr>
          <w:rFonts w:ascii="Times New Roman" w:hAnsi="Times New Roman"/>
          <w:b/>
          <w:color w:val="000000"/>
          <w:sz w:val="20"/>
          <w:u w:val="single"/>
        </w:rPr>
        <w:t>Directors and Officers</w:t>
      </w:r>
      <w:r>
        <w:rPr>
          <w:rFonts w:ascii="Times New Roman" w:hAnsi="Times New Roman"/>
          <w:color w:val="000000"/>
          <w:sz w:val="20"/>
        </w:rPr>
        <w:t xml:space="preserve">. The Parties shall take all necessary action such that effective as of the Second Effective Time, (a) the Parent Board consists of seven members, with (i) the six incumbent members of the Parent Board listed on </w:t>
      </w:r>
      <w:r>
        <w:rPr>
          <w:rFonts w:ascii="Times New Roman" w:hAnsi="Times New Roman"/>
          <w:color w:val="000000"/>
          <w:sz w:val="20"/>
          <w:u w:val="single"/>
        </w:rPr>
        <w:t>Section 4.10(a)(i)</w:t>
      </w:r>
      <w:r>
        <w:rPr>
          <w:rFonts w:ascii="Times New Roman" w:hAnsi="Times New Roman"/>
          <w:color w:val="000000"/>
          <w:sz w:val="20"/>
        </w:rPr>
        <w:t xml:space="preserve"> of the Parent Disclosure Schedule continuing to serve on the Parent Board and (ii) the individual designated by the Company and set forth on </w:t>
      </w:r>
      <w:r>
        <w:rPr>
          <w:rFonts w:ascii="Times New Roman" w:hAnsi="Times New Roman"/>
          <w:color w:val="000000"/>
          <w:sz w:val="20"/>
          <w:u w:val="single"/>
        </w:rPr>
        <w:t>Section 4.10(a)(ii)</w:t>
      </w:r>
      <w:r>
        <w:rPr>
          <w:rFonts w:ascii="Times New Roman" w:hAnsi="Times New Roman"/>
          <w:color w:val="000000"/>
          <w:sz w:val="20"/>
        </w:rPr>
        <w:t xml:space="preserve"> of the Parent Disclosure Schedule being appointed to the Parent Board, effective as of the Second Effective Time, and (b) the individual set forth on </w:t>
      </w:r>
      <w:r>
        <w:rPr>
          <w:rFonts w:ascii="Times New Roman" w:hAnsi="Times New Roman"/>
          <w:color w:val="000000"/>
          <w:sz w:val="20"/>
          <w:u w:val="single"/>
        </w:rPr>
        <w:t>Section 4.10(b)</w:t>
      </w:r>
      <w:r>
        <w:rPr>
          <w:rFonts w:ascii="Times New Roman" w:hAnsi="Times New Roman"/>
          <w:color w:val="000000"/>
          <w:sz w:val="20"/>
        </w:rPr>
        <w:t xml:space="preserve"> of the Parent Disclosure Schedule is appointed as an officer of Parent, as set forth therein, to serve in such position effective as of the Second Effective Time until a successor is duly appointed and qualified in accordance with applicable Law. The members of the newly constituted Parent Board that qualify as “independent” under applicable SEC rules and Nasdaq listing rules shall comprise a majority of the Board. In addition, the Parties shall take the actions set forth on </w:t>
      </w:r>
      <w:r>
        <w:rPr>
          <w:rFonts w:ascii="Times New Roman" w:hAnsi="Times New Roman"/>
          <w:color w:val="000000"/>
          <w:sz w:val="20"/>
          <w:u w:val="single"/>
        </w:rPr>
        <w:t>Section 4.10(c)</w:t>
      </w:r>
      <w:r>
        <w:rPr>
          <w:rFonts w:ascii="Times New Roman" w:hAnsi="Times New Roman"/>
          <w:color w:val="000000"/>
          <w:sz w:val="20"/>
        </w:rPr>
        <w:t xml:space="preserve"> of the Parent Disclosure Schedule.</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4.11        </w:t>
      </w:r>
      <w:r>
        <w:rPr>
          <w:rFonts w:ascii="Times New Roman" w:hAnsi="Times New Roman"/>
          <w:b/>
          <w:color w:val="000000"/>
          <w:sz w:val="20"/>
          <w:u w:val="single"/>
        </w:rPr>
        <w:t>Section 16 Matters</w:t>
      </w:r>
      <w:r>
        <w:rPr>
          <w:rFonts w:ascii="Times New Roman" w:hAnsi="Times New Roman"/>
          <w:color w:val="000000"/>
          <w:sz w:val="20"/>
        </w:rPr>
        <w:t>. Prior to the First Effective Time, Parent and the Company shall take all such steps as may be required (to the extent permitted under applicable Laws) to cause any acquisitions of Parent Common Stock, restricted stock awards to acquire Parent Common Stock and any Parent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4.12        </w:t>
      </w:r>
      <w:r>
        <w:rPr>
          <w:rFonts w:ascii="Times New Roman" w:hAnsi="Times New Roman"/>
          <w:b/>
          <w:color w:val="000000"/>
          <w:sz w:val="20"/>
          <w:u w:val="single"/>
        </w:rPr>
        <w:t>Cooperation</w:t>
      </w:r>
      <w:r>
        <w:rPr>
          <w:rFonts w:ascii="Times New Roman" w:hAnsi="Times New Roman"/>
          <w:color w:val="000000"/>
          <w:sz w:val="20"/>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First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4.13        </w:t>
      </w:r>
      <w:r>
        <w:rPr>
          <w:rFonts w:ascii="Times New Roman" w:hAnsi="Times New Roman"/>
          <w:b/>
          <w:color w:val="000000"/>
          <w:sz w:val="20"/>
          <w:u w:val="single"/>
        </w:rPr>
        <w:t>Closing Certificates.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(a)          The Company shall prepare and deliver to Parent prior to the Closing a certificate signed by the Chief Executive Officer of the Company in a form reasonably acceptable to Parent setting forth, as of immediately prior to the First Effective Time (i) each holder of Company Common Stock (including shares of Company Common Stock issued upon conversion of the Company SAFEs pursuant to </w:t>
      </w:r>
      <w:r>
        <w:rPr>
          <w:rFonts w:ascii="Times New Roman" w:hAnsi="Times New Roman"/>
          <w:color w:val="000000"/>
          <w:sz w:val="20"/>
          <w:u w:val="single"/>
        </w:rPr>
        <w:t>Section 1.10</w:t>
      </w:r>
      <w:r>
        <w:rPr>
          <w:rFonts w:ascii="Times New Roman" w:hAnsi="Times New Roman"/>
          <w:color w:val="000000"/>
          <w:sz w:val="20"/>
        </w:rPr>
        <w:t xml:space="preserve">), Company Preferred Stock, Company Options and Company SAFEs, (ii) such holder’s name and address, (iii) the number and type of Company Common Stock held (including shares of Company Common Stock issued upon conversion of the Company SAFEs pursuant to </w:t>
      </w:r>
      <w:r>
        <w:rPr>
          <w:rFonts w:ascii="Times New Roman" w:hAnsi="Times New Roman"/>
          <w:color w:val="000000"/>
          <w:sz w:val="20"/>
          <w:u w:val="single"/>
        </w:rPr>
        <w:t>Section 1.10</w:t>
      </w:r>
      <w:r>
        <w:rPr>
          <w:rFonts w:ascii="Times New Roman" w:hAnsi="Times New Roman"/>
          <w:color w:val="000000"/>
          <w:sz w:val="20"/>
        </w:rPr>
        <w:t xml:space="preserve">) and/or underlying the Company Options as of immediately prior to the First Effective Time for each such holder, the number and type of Company Preferred Stock held and/or the number of Company SAFEs held prior to conversion into shares of Company Common Stock pursuant to </w:t>
      </w:r>
      <w:r>
        <w:rPr>
          <w:rFonts w:ascii="Times New Roman" w:hAnsi="Times New Roman"/>
          <w:color w:val="000000"/>
          <w:sz w:val="20"/>
          <w:u w:val="single"/>
        </w:rPr>
        <w:t>Section 1.10</w:t>
      </w:r>
      <w:r>
        <w:rPr>
          <w:rFonts w:ascii="Times New Roman" w:hAnsi="Times New Roman"/>
          <w:color w:val="000000"/>
          <w:sz w:val="20"/>
        </w:rPr>
        <w:t xml:space="preserve"> and (iv) the number of shares of Parent Common Stock and/or Parent Series C Convertible Preferred Stock to be issued to such holder, or to underlie any Parent Option to be issued to such holder, pursuant to this Agreement in respect of the Company Capital Stock (including shares of Company Common Stock issued upon conversion of the Company SAFEs pursuant to </w:t>
      </w:r>
      <w:r>
        <w:rPr>
          <w:rFonts w:ascii="Times New Roman" w:hAnsi="Times New Roman"/>
          <w:color w:val="000000"/>
          <w:sz w:val="20"/>
          <w:u w:val="single"/>
        </w:rPr>
        <w:t>Section 1.10</w:t>
      </w:r>
      <w:r>
        <w:rPr>
          <w:rFonts w:ascii="Times New Roman" w:hAnsi="Times New Roman"/>
          <w:color w:val="000000"/>
          <w:sz w:val="20"/>
        </w:rPr>
        <w:t xml:space="preserve">), Company Preferred Stock or Company Options held by such holder as of immediately prior to the First Effective Time or Company SAFEs held as of immediately prior to the conversion of such Company SAFEs pursuant to </w:t>
      </w:r>
      <w:r>
        <w:rPr>
          <w:rFonts w:ascii="Times New Roman" w:hAnsi="Times New Roman"/>
          <w:color w:val="000000"/>
          <w:sz w:val="20"/>
          <w:u w:val="single"/>
        </w:rPr>
        <w:t>Section 1.10</w:t>
      </w:r>
      <w:r>
        <w:rPr>
          <w:rFonts w:ascii="Times New Roman" w:hAnsi="Times New Roman"/>
          <w:color w:val="000000"/>
          <w:sz w:val="20"/>
        </w:rPr>
        <w:t xml:space="preserve"> (the “</w:t>
      </w:r>
      <w:r>
        <w:rPr>
          <w:rFonts w:ascii="Times New Roman" w:hAnsi="Times New Roman"/>
          <w:b/>
          <w:i/>
          <w:color w:val="000000"/>
          <w:sz w:val="20"/>
        </w:rPr>
        <w:t>Allocation Certificate</w:t>
      </w:r>
      <w:r>
        <w:rPr>
          <w:rFonts w:ascii="Times New Roman" w:hAnsi="Times New Roman"/>
          <w:color w:val="000000"/>
          <w:sz w:val="20"/>
        </w:rPr>
        <w:t xml:space="preserve">”). The aggregate number of shares of Parent Common Stock and/or Parent Series C Convertible Preferred Stock set forth on the Allocation Certificate as issuable to all such holders (including, for the avoidance of doubt, holders of shares of Company Common Stock issued upon conversion of the Company SAFEs pursuant to </w:t>
      </w:r>
      <w:r>
        <w:rPr>
          <w:rFonts w:ascii="Times New Roman" w:hAnsi="Times New Roman"/>
          <w:color w:val="000000"/>
          <w:sz w:val="20"/>
          <w:u w:val="single"/>
        </w:rPr>
        <w:t>Section 1.10</w:t>
      </w:r>
      <w:r>
        <w:rPr>
          <w:rFonts w:ascii="Times New Roman" w:hAnsi="Times New Roman"/>
          <w:color w:val="000000"/>
          <w:sz w:val="20"/>
        </w:rPr>
        <w:t xml:space="preserve"> and holders of Company Options) shall not exceed the Company Merger Shares.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Parent shall prepare and deliver to the Company prior to the Closing a certificate signed by the Chief Financial Officer of Parent in a form reasonably acceptable to the Company, setting forth, as of immediately prior to the Reference Date (A) the number of Parent Common Stock outstanding and (B) (i) each record holder of Parent Common Stock, Parent Options or Parent RSUs, (ii) such record holder’s name and address, (iii) the number of shares of Parent Common Stock underlying the Parent Options or Parent RSUs as of Reference Date for such holder (the “</w:t>
      </w:r>
      <w:r>
        <w:rPr>
          <w:rFonts w:ascii="Times New Roman" w:hAnsi="Times New Roman"/>
          <w:b/>
          <w:i/>
          <w:color w:val="000000"/>
          <w:sz w:val="20"/>
        </w:rPr>
        <w:t>Parent Outstanding Shares Certificate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4.14        </w:t>
      </w:r>
      <w:r>
        <w:rPr>
          <w:rFonts w:ascii="Times New Roman" w:hAnsi="Times New Roman"/>
          <w:b/>
          <w:color w:val="000000"/>
          <w:sz w:val="20"/>
          <w:u w:val="single"/>
        </w:rPr>
        <w:t>Takeover Statutes</w:t>
      </w:r>
      <w:r>
        <w:rPr>
          <w:rFonts w:ascii="Times New Roman" w:hAnsi="Times New Roman"/>
          <w:color w:val="000000"/>
          <w:sz w:val="20"/>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4.15        </w:t>
      </w:r>
      <w:r>
        <w:rPr>
          <w:rFonts w:ascii="Times New Roman" w:hAnsi="Times New Roman"/>
          <w:b/>
          <w:color w:val="000000"/>
          <w:sz w:val="20"/>
          <w:u w:val="single"/>
        </w:rPr>
        <w:t>Obligations of Merger Subs</w:t>
      </w:r>
      <w:r>
        <w:rPr>
          <w:rFonts w:ascii="Times New Roman" w:hAnsi="Times New Roman"/>
          <w:color w:val="000000"/>
          <w:sz w:val="20"/>
        </w:rPr>
        <w:t>. Parent shall take all action necessary to cause Merger Subs to perform their obligations under this Agreement and to consummate the Merger on the terms and conditions set forth in this Agreement.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4.16        </w:t>
      </w:r>
      <w:r>
        <w:rPr>
          <w:rFonts w:ascii="Times New Roman" w:hAnsi="Times New Roman"/>
          <w:b/>
          <w:color w:val="000000"/>
          <w:sz w:val="20"/>
          <w:u w:val="single"/>
        </w:rPr>
        <w:t>Private Placement</w:t>
      </w:r>
      <w:r>
        <w:rPr>
          <w:rFonts w:ascii="Times New Roman" w:hAnsi="Times New Roman"/>
          <w:color w:val="000000"/>
          <w:sz w:val="20"/>
        </w:rPr>
        <w:t>. Each of the Company and Parent shall take all reasonably necessary action on its part such that the issuance of Parent Common Stock Payment Shares and Parent Preferred Stock Payment Shares pursuant to this Agreement constitutes a transaction exempt from registration under the Securities Act. Each certificate representing Parent Common Stock Payment Shares and the Parent Preferred Stock Payment Shares comprising Merger Consideration shall, until such time that such shares are not so restricted under the Securities Act, bear a legend identical or similar in effect to the following legend (together with any other legend or legends required by applicable state securities Law or otherwise, if 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THE SHARES REPRESENTED HEREBY HAVE NOT BEEN REGISTERED UNDER THE SECURITIES ACT OF 1933, AS AMENDED (THE “SECURITIES ACT”), OR THE SECURITIES LAWS OF ANY STATE OF THE UNITED STATES. THE SHARES HAVE BEEN ACQUIRED FOR INVESTMENT AND MAY NOT BE SOLD, TRANSFERRED OR ASSIGNED UNLESS (I) SUCH SHARES HAVE BEEN REGISTERED FOR SALE PURSUANT TO THE SECURITIES ACT, (II) SUCH SHARES MAY BE SOLD PURSUANT TO RULE 144, (III) THE COMPANY HAS RECEIVED AN OPINION OF COUNSEL REASONABLY SATISFACTORY TO IT THAT SUCH TRANSFER MAY LAWFULLY BE MADE WITHOUT REGISTRATION UNDER THE SECURITIES ACT, OR (IV) THE SHARES ARE TRANSFERRED WITHOUT CONSIDERATION TO AN AFFILIATE OF SUCH HOLDER OR A CUSTODIAL NOMINEE (WHICH FOR THE AVOIDANCE OF DOUBT SHALL REQUIRE NEITHER CONSENT NOR THE DELIVERY OF AN OPINION).”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such certificate may contain a legend regarding “affiliate” status of such holder of Parent Common Stock Payment Shares and Parent Preferred Stock Payment Shares for purposes of Rules 144 and 145 under the Securities Act, if applicable.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4.17        </w:t>
      </w:r>
      <w:r>
        <w:rPr>
          <w:rFonts w:ascii="Times New Roman" w:hAnsi="Times New Roman"/>
          <w:b/>
          <w:color w:val="000000"/>
          <w:sz w:val="20"/>
          <w:u w:val="single"/>
        </w:rPr>
        <w:t>Parent Options</w:t>
      </w:r>
      <w:r>
        <w:rPr>
          <w:rFonts w:ascii="Times New Roman" w:hAnsi="Times New Roman"/>
          <w:color w:val="000000"/>
          <w:sz w:val="20"/>
        </w:rPr>
        <w:t>. Each unexpired and unexercised Parent Option, whether vested or unvested, shall remain outstanding immediately after the First Effective Time in accordance with its terms.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color w:val="000000"/>
          <w:sz w:val="20"/>
        </w:rPr>
        <w:t>SECTION 5.       CONDITIONS PRECEDENT TO OBLIGATIONS OF EACH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5.1          </w:t>
      </w:r>
      <w:r>
        <w:rPr>
          <w:rFonts w:ascii="Times New Roman" w:hAnsi="Times New Roman"/>
          <w:b/>
          <w:color w:val="000000"/>
          <w:sz w:val="20"/>
          <w:u w:val="single"/>
        </w:rPr>
        <w:t>No Restraints</w:t>
      </w:r>
      <w:r>
        <w:rPr>
          <w:rFonts w:ascii="Times New Roman" w:hAnsi="Times New Roman"/>
          <w:color w:val="000000"/>
          <w:sz w:val="20"/>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5.2         </w:t>
      </w:r>
      <w:r>
        <w:rPr>
          <w:rFonts w:ascii="Times New Roman" w:hAnsi="Times New Roman"/>
          <w:b/>
          <w:color w:val="000000"/>
          <w:sz w:val="20"/>
          <w:u w:val="single"/>
        </w:rPr>
        <w:t>Certificate of Designation</w:t>
      </w:r>
      <w:r>
        <w:rPr>
          <w:rFonts w:ascii="Times New Roman" w:hAnsi="Times New Roman"/>
          <w:color w:val="000000"/>
          <w:sz w:val="20"/>
        </w:rPr>
        <w:t>. Parent shall have filed the Series C Certificate of Designation with the Secretary of State of the State of Delaware.</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5.3          </w:t>
      </w:r>
      <w:r>
        <w:rPr>
          <w:rFonts w:ascii="Times New Roman" w:hAnsi="Times New Roman"/>
          <w:b/>
          <w:color w:val="000000"/>
          <w:sz w:val="20"/>
          <w:u w:val="single"/>
        </w:rPr>
        <w:t>PIPE Financing</w:t>
      </w:r>
      <w:r>
        <w:rPr>
          <w:rFonts w:ascii="Times New Roman" w:hAnsi="Times New Roman"/>
          <w:color w:val="000000"/>
          <w:sz w:val="20"/>
        </w:rPr>
        <w:t>. The Securities Purchase Agreement shall be in full force and effect and cash proceeds not less than the Concurrent Investment Amount shall be received by Parent in accordance with the terms of Securities Purchase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color w:val="000000"/>
          <w:sz w:val="20"/>
        </w:rPr>
        <w:t>SECTION 6.       CLOSING DELIVERIES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6.1          </w:t>
      </w:r>
      <w:r>
        <w:rPr>
          <w:rFonts w:ascii="Times New Roman" w:hAnsi="Times New Roman"/>
          <w:b/>
          <w:color w:val="000000"/>
          <w:sz w:val="20"/>
          <w:u w:val="single"/>
        </w:rPr>
        <w:t>Documents</w:t>
      </w:r>
      <w:r>
        <w:rPr>
          <w:rFonts w:ascii="Times New Roman" w:hAnsi="Times New Roman"/>
          <w:color w:val="000000"/>
          <w:sz w:val="20"/>
        </w:rPr>
        <w:t>. Parent shall have received the following documents, each of which shall be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(a)          a written resignation, in a form reasonably satisfactory to Parent, dated as of the Closing Date and effective as of the Closing, executed by each of the directors of the Company listed in </w:t>
      </w:r>
      <w:r>
        <w:rPr>
          <w:rFonts w:ascii="Times New Roman" w:hAnsi="Times New Roman"/>
          <w:color w:val="000000"/>
          <w:sz w:val="20"/>
          <w:u w:val="single"/>
        </w:rPr>
        <w:t>Section 6.1(a)</w:t>
      </w:r>
      <w:r>
        <w:rPr>
          <w:rFonts w:ascii="Times New Roman" w:hAnsi="Times New Roman"/>
          <w:color w:val="000000"/>
          <w:sz w:val="20"/>
        </w:rPr>
        <w:t xml:space="preserve"> of the Company Disclosure Schedule;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the Allocation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6.2         </w:t>
      </w:r>
      <w:r>
        <w:rPr>
          <w:rFonts w:ascii="Times New Roman" w:hAnsi="Times New Roman"/>
          <w:b/>
          <w:color w:val="000000"/>
          <w:sz w:val="20"/>
          <w:u w:val="single"/>
        </w:rPr>
        <w:t>FIRPTA Certificate</w:t>
      </w:r>
      <w:r>
        <w:rPr>
          <w:rFonts w:ascii="Times New Roman" w:hAnsi="Times New Roman"/>
          <w:color w:val="000000"/>
          <w:sz w:val="20"/>
        </w:rPr>
        <w:t xml:space="preserve">. Parent shall have received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w:t>
      </w:r>
      <w:r>
        <w:rPr>
          <w:rFonts w:ascii="Times New Roman" w:hAnsi="Times New Roman"/>
          <w:i/>
          <w:color w:val="000000"/>
          <w:sz w:val="20"/>
        </w:rPr>
        <w:t>provided</w:t>
      </w:r>
      <w:r>
        <w:rPr>
          <w:rFonts w:ascii="Times New Roman" w:hAnsi="Times New Roman"/>
          <w:color w:val="000000"/>
          <w:sz w:val="20"/>
        </w:rPr>
        <w:t xml:space="preserve">, that the Parent’s sole remedy for the Company’s failure to deliver such documentation shall be to withhold pursuant to </w:t>
      </w:r>
      <w:r>
        <w:rPr>
          <w:rFonts w:ascii="Times New Roman" w:hAnsi="Times New Roman"/>
          <w:color w:val="000000"/>
          <w:sz w:val="20"/>
          <w:u w:val="single"/>
        </w:rPr>
        <w:t>Section 1.13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6.3         </w:t>
      </w:r>
      <w:r>
        <w:rPr>
          <w:rFonts w:ascii="Times New Roman" w:hAnsi="Times New Roman"/>
          <w:b/>
          <w:color w:val="000000"/>
          <w:sz w:val="20"/>
          <w:u w:val="single"/>
        </w:rPr>
        <w:t>Company Lock-Up Agreements</w:t>
      </w:r>
      <w:r>
        <w:rPr>
          <w:rFonts w:ascii="Times New Roman" w:hAnsi="Times New Roman"/>
          <w:color w:val="000000"/>
          <w:sz w:val="20"/>
        </w:rPr>
        <w:t>. Parent shall have received the Lock-Up Agreements duly executed by each of the Company Signatories, each of which shall be in full force and effect.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6.4         </w:t>
      </w:r>
      <w:r>
        <w:rPr>
          <w:rFonts w:ascii="Times New Roman" w:hAnsi="Times New Roman"/>
          <w:b/>
          <w:color w:val="000000"/>
          <w:sz w:val="20"/>
          <w:u w:val="single"/>
        </w:rPr>
        <w:t>Registration Rights Agreements</w:t>
      </w:r>
      <w:r>
        <w:rPr>
          <w:rFonts w:ascii="Times New Roman" w:hAnsi="Times New Roman"/>
          <w:color w:val="000000"/>
          <w:sz w:val="20"/>
        </w:rPr>
        <w:t>. Parent shall have received the Registration Rights Agreements duly executed by the parties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color w:val="000000"/>
          <w:sz w:val="20"/>
        </w:rPr>
        <w:t>SECTION 7.       CLOSING DELIVERIES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7.1          </w:t>
      </w:r>
      <w:r>
        <w:rPr>
          <w:rFonts w:ascii="Times New Roman" w:hAnsi="Times New Roman"/>
          <w:b/>
          <w:color w:val="000000"/>
          <w:sz w:val="20"/>
          <w:u w:val="single"/>
        </w:rPr>
        <w:t>Documents</w:t>
      </w:r>
      <w:r>
        <w:rPr>
          <w:rFonts w:ascii="Times New Roman" w:hAnsi="Times New Roman"/>
          <w:color w:val="000000"/>
          <w:sz w:val="20"/>
        </w:rPr>
        <w:t>. The Company shall have received the following documents, each of which shall be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the Parent Outstanding Shares Certificate;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(b)          a written resignation, in a form reasonably satisfactory to the Company, dated as of the Closing Date and effective as of the Closing, executed by the officer of Parent set forth on </w:t>
      </w:r>
      <w:r>
        <w:rPr>
          <w:rFonts w:ascii="Times New Roman" w:hAnsi="Times New Roman"/>
          <w:color w:val="000000"/>
          <w:sz w:val="20"/>
          <w:u w:val="single"/>
        </w:rPr>
        <w:t>Section 7.1(b)</w:t>
      </w:r>
      <w:r>
        <w:rPr>
          <w:rFonts w:ascii="Times New Roman" w:hAnsi="Times New Roman"/>
          <w:color w:val="000000"/>
          <w:sz w:val="20"/>
        </w:rPr>
        <w:t xml:space="preserve"> of the Parent Disclosure Schedule who is not to continue in the officer position specified therein after the Closing pursuant to </w:t>
      </w:r>
      <w:r>
        <w:rPr>
          <w:rFonts w:ascii="Times New Roman" w:hAnsi="Times New Roman"/>
          <w:color w:val="000000"/>
          <w:sz w:val="20"/>
          <w:u w:val="single"/>
        </w:rPr>
        <w:t>Section 4.10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(c)          certified copies of the resolutions duly adopted by the Parent Board and in full force and effect as of the Closing authorizing the appointment of the director and officer set forth in </w:t>
      </w:r>
      <w:r>
        <w:rPr>
          <w:rFonts w:ascii="Times New Roman" w:hAnsi="Times New Roman"/>
          <w:color w:val="000000"/>
          <w:sz w:val="20"/>
          <w:u w:val="single"/>
        </w:rPr>
        <w:t>Section 4.10</w:t>
      </w:r>
      <w:r>
        <w:rPr>
          <w:rFonts w:ascii="Times New Roman" w:hAnsi="Times New Roman"/>
          <w:color w:val="000000"/>
          <w:sz w:val="20"/>
        </w:rPr>
        <w:t>; and</w:t>
      </w:r>
    </w:p>
    <w:p>
      <w:pPr>
        <w:pStyle w:val="TextBody"/>
        <w:bidi w:val="0"/>
        <w:spacing w:before="0" w:after="0"/>
        <w:ind w:left="0" w:right="0" w:firstLine="216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(d)          a certificate in the form of </w:t>
      </w:r>
      <w:r>
        <w:rPr>
          <w:rFonts w:ascii="Times New Roman" w:hAnsi="Times New Roman"/>
          <w:b/>
          <w:color w:val="000000"/>
          <w:sz w:val="20"/>
        </w:rPr>
        <w:t>Exhibit G</w:t>
      </w:r>
      <w:r>
        <w:rPr>
          <w:rFonts w:ascii="Times New Roman" w:hAnsi="Times New Roman"/>
          <w:color w:val="000000"/>
          <w:sz w:val="20"/>
        </w:rPr>
        <w:t xml:space="preserve"> attached hereto setting forth Parent’s good faith calculation of Parent Net Cash.</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7.2         </w:t>
      </w:r>
      <w:r>
        <w:rPr>
          <w:rFonts w:ascii="Times New Roman" w:hAnsi="Times New Roman"/>
          <w:b/>
          <w:color w:val="000000"/>
          <w:sz w:val="20"/>
          <w:u w:val="single"/>
        </w:rPr>
        <w:t>Listing</w:t>
      </w:r>
      <w:r>
        <w:rPr>
          <w:rFonts w:ascii="Times New Roman" w:hAnsi="Times New Roman"/>
          <w:color w:val="000000"/>
          <w:sz w:val="20"/>
        </w:rPr>
        <w:t>. Parent shall have filed with Nasdaq a Notification Form: Listing of Additional Shares for the listing of the Parent Common Stock Payment Shares and the Parent Common Stock to be issued upon conversion of the Parent Series C Convertible Preferred Stock to be issued in connection with the Contemplated Transactions and shall not have received any objections from Nasdaq to the transactions contemplated in this Agreement.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7.3          </w:t>
      </w:r>
      <w:r>
        <w:rPr>
          <w:rFonts w:ascii="Times New Roman" w:hAnsi="Times New Roman"/>
          <w:b/>
          <w:color w:val="000000"/>
          <w:sz w:val="20"/>
          <w:u w:val="single"/>
        </w:rPr>
        <w:t>Parent Lock-Up Agreements</w:t>
      </w:r>
      <w:r>
        <w:rPr>
          <w:rFonts w:ascii="Times New Roman" w:hAnsi="Times New Roman"/>
          <w:color w:val="000000"/>
          <w:sz w:val="20"/>
        </w:rPr>
        <w:t>. The Company shall have received the Lock-Up Agreements duly executed by each of the Parent Signatories, each of which shall be in full force and effect.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7.4         </w:t>
      </w:r>
      <w:r>
        <w:rPr>
          <w:rFonts w:ascii="Times New Roman" w:hAnsi="Times New Roman"/>
          <w:b/>
          <w:color w:val="000000"/>
          <w:sz w:val="20"/>
          <w:u w:val="single"/>
        </w:rPr>
        <w:t>Registration Rights Agreements</w:t>
      </w:r>
      <w:r>
        <w:rPr>
          <w:rFonts w:ascii="Times New Roman" w:hAnsi="Times New Roman"/>
          <w:color w:val="000000"/>
          <w:sz w:val="20"/>
        </w:rPr>
        <w:t>. The Company shall have received each Registration Rights Agreement duly executed by each of the parties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color w:val="000000"/>
          <w:sz w:val="20"/>
        </w:rPr>
        <w:t>SECTION 8.       MISCELLANEOUS PROVISIONS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8.1         </w:t>
      </w:r>
      <w:r>
        <w:rPr>
          <w:rFonts w:ascii="Times New Roman" w:hAnsi="Times New Roman"/>
          <w:b/>
          <w:color w:val="000000"/>
          <w:sz w:val="20"/>
          <w:u w:val="single"/>
        </w:rPr>
        <w:t>Non-Survival of Representations and Warranties</w:t>
      </w:r>
      <w:r>
        <w:rPr>
          <w:rFonts w:ascii="Times New Roman" w:hAnsi="Times New Roman"/>
          <w:color w:val="000000"/>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color w:val="000000"/>
          <w:sz w:val="20"/>
          <w:u w:val="single"/>
        </w:rPr>
        <w:t>Section 8</w:t>
      </w:r>
      <w:r>
        <w:rPr>
          <w:rFonts w:ascii="Times New Roman" w:hAnsi="Times New Roman"/>
          <w:color w:val="000000"/>
          <w:sz w:val="20"/>
        </w:rPr>
        <w:t xml:space="preserve"> shall survive the First Effective Time.</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8.2         </w:t>
      </w:r>
      <w:r>
        <w:rPr>
          <w:rFonts w:ascii="Times New Roman" w:hAnsi="Times New Roman"/>
          <w:b/>
          <w:color w:val="000000"/>
          <w:sz w:val="20"/>
          <w:u w:val="single"/>
        </w:rPr>
        <w:t>Amendment</w:t>
      </w:r>
      <w:r>
        <w:rPr>
          <w:rFonts w:ascii="Times New Roman" w:hAnsi="Times New Roman"/>
          <w:color w:val="000000"/>
          <w:sz w:val="20"/>
        </w:rPr>
        <w:t xml:space="preserve">. This Agreement may be amended with the approval of the respective boards of directors (or managers as applicable) of the Surviving Entity and Parent at any time;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Surviving Entity and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8.3         </w:t>
      </w:r>
      <w:r>
        <w:rPr>
          <w:rFonts w:ascii="Times New Roman" w:hAnsi="Times New Roman"/>
          <w:b/>
          <w:color w:val="000000"/>
          <w:sz w:val="20"/>
          <w:u w:val="single"/>
        </w:rPr>
        <w:t>Waiver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8.4          </w:t>
      </w:r>
      <w:r>
        <w:rPr>
          <w:rFonts w:ascii="Times New Roman" w:hAnsi="Times New Roman"/>
          <w:b/>
          <w:color w:val="000000"/>
          <w:sz w:val="20"/>
          <w:u w:val="single"/>
        </w:rPr>
        <w:t>Entire Agreement; Counterparts; Exchanges by Electronic Transmission</w:t>
      </w:r>
      <w:r>
        <w:rPr>
          <w:rFonts w:ascii="Times New Roman" w:hAnsi="Times New Roman"/>
          <w:color w:val="000000"/>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8.5          </w:t>
      </w:r>
      <w:r>
        <w:rPr>
          <w:rFonts w:ascii="Times New Roman" w:hAnsi="Times New Roman"/>
          <w:b/>
          <w:color w:val="000000"/>
          <w:sz w:val="20"/>
          <w:u w:val="single"/>
        </w:rPr>
        <w:t>Applicable Law; Jurisdiction</w:t>
      </w:r>
      <w:r>
        <w:rPr>
          <w:rFonts w:ascii="Times New Roman" w:hAnsi="Times New Roman"/>
          <w:color w:val="000000"/>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 w:hAnsi="Times New Roman"/>
          <w:color w:val="000000"/>
          <w:sz w:val="20"/>
          <w:u w:val="single"/>
        </w:rPr>
        <w:t>Section 8.5</w:t>
      </w:r>
      <w:r>
        <w:rPr>
          <w:rFonts w:ascii="Times New Roman" w:hAnsi="Times New Roman"/>
          <w:color w:val="000000"/>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color w:val="000000"/>
          <w:sz w:val="20"/>
          <w:u w:val="single"/>
        </w:rPr>
        <w:t>Section 8.8</w:t>
      </w:r>
      <w:r>
        <w:rPr>
          <w:rFonts w:ascii="Times New Roman" w:hAnsi="Times New Roman"/>
          <w:color w:val="000000"/>
          <w:sz w:val="20"/>
        </w:rPr>
        <w:t xml:space="preserve"> of this Agreement; and (f) irrevocably and unconditionally waives the right to trial by jury.</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8.6          </w:t>
      </w:r>
      <w:r>
        <w:rPr>
          <w:rFonts w:ascii="Times New Roman" w:hAnsi="Times New Roman"/>
          <w:b/>
          <w:color w:val="000000"/>
          <w:sz w:val="20"/>
          <w:u w:val="single"/>
        </w:rPr>
        <w:t>Attorneys’ Fees</w:t>
      </w:r>
      <w:r>
        <w:rPr>
          <w:rFonts w:ascii="Times New Roman" w:hAnsi="Times New Roman"/>
          <w:color w:val="000000"/>
          <w:sz w:val="20"/>
        </w:rPr>
        <w:t>. In any action at law or suit in equity to enforce this Agreement or the rights of any of the Parties, the prevailing Party in such action or suit (as determined by a court of competent jurisdiction) shall be entitled to recover its reasonable out-of-pocket attorneys’ fees and all other reasonable costs and expenses incurred in such action or suit.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8.7          </w:t>
      </w:r>
      <w:r>
        <w:rPr>
          <w:rFonts w:ascii="Times New Roman" w:hAnsi="Times New Roman"/>
          <w:b/>
          <w:color w:val="000000"/>
          <w:sz w:val="20"/>
          <w:u w:val="single"/>
        </w:rPr>
        <w:t>Assignability</w:t>
      </w:r>
      <w:r>
        <w:rPr>
          <w:rFonts w:ascii="Times New Roman" w:hAnsi="Times New Roman"/>
          <w:color w:val="000000"/>
          <w:sz w:val="20"/>
        </w:rPr>
        <w:t xml:space="preserve">. This Agreement shall be binding upon, and shall be enforceable by and inure solely to the benefit of, the Parties and their respective successors and permitted assigns;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8.8          </w:t>
      </w:r>
      <w:r>
        <w:rPr>
          <w:rFonts w:ascii="Times New Roman" w:hAnsi="Times New Roman"/>
          <w:b/>
          <w:color w:val="000000"/>
          <w:sz w:val="20"/>
          <w:u w:val="single"/>
        </w:rPr>
        <w:t>Notices</w:t>
      </w:r>
      <w:r>
        <w:rPr>
          <w:rFonts w:ascii="Times New Roman" w:hAnsi="Times New Roman"/>
          <w:color w:val="000000"/>
          <w:sz w:val="20"/>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if to Parent or Merger Subs:</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Lisata Therapeutics, Inc.</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P.O. Box 173,</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Liberty Corner, New Jersey</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Attention: David J. Mazzo, PhD</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Address: [***]</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Mintz, Levin, Cohn, Ferris, Glovsky and Popeo, P.C.</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919 Third Avenue,</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New York, NY 10022</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Attention: Jeffrey P. Schultz; Daniel A. Bagliebter; Jason S. Miller</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Address: [***]</w:t>
      </w:r>
    </w:p>
    <w:p>
      <w:pPr>
        <w:pStyle w:val="TextBody"/>
        <w:bidi w:val="0"/>
        <w:spacing w:before="0" w:after="0"/>
        <w:ind w:left="720" w:right="0" w:hanging="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Marea Therapeutics, Inc.</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131 Oyster Point Boulevard, Floor 4,</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South San Francisco, CA 94080</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Attention: Josh Lehrer</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Address: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100 Northern Avenue</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Boston, MA 02210</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Attention: Blake Liggio; Maggie L. Wong; Richard E. Schwartz</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Address: [***]</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8.9          </w:t>
      </w:r>
      <w:r>
        <w:rPr>
          <w:rFonts w:ascii="Times New Roman" w:hAnsi="Times New Roman"/>
          <w:b/>
          <w:color w:val="000000"/>
          <w:sz w:val="20"/>
          <w:u w:val="single"/>
        </w:rPr>
        <w:t>Cooperation</w:t>
      </w:r>
      <w:r>
        <w:rPr>
          <w:rFonts w:ascii="Times New Roman" w:hAnsi="Times New Roman"/>
          <w:color w:val="000000"/>
          <w:sz w:val="20"/>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and the Registration Rights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8.10        </w:t>
      </w:r>
      <w:r>
        <w:rPr>
          <w:rFonts w:ascii="Times New Roman" w:hAnsi="Times New Roman"/>
          <w:b/>
          <w:color w:val="000000"/>
          <w:sz w:val="20"/>
          <w:u w:val="single"/>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8.11        </w:t>
      </w:r>
      <w:r>
        <w:rPr>
          <w:rFonts w:ascii="Times New Roman" w:hAnsi="Times New Roman"/>
          <w:b/>
          <w:color w:val="000000"/>
          <w:sz w:val="20"/>
          <w:u w:val="single"/>
        </w:rPr>
        <w:t>Other Remedies; Specific Performance</w:t>
      </w:r>
      <w:r>
        <w:rPr>
          <w:rFonts w:ascii="Times New Roman" w:hAnsi="Times New Roman"/>
          <w:color w:val="000000"/>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8.12        </w:t>
      </w:r>
      <w:r>
        <w:rPr>
          <w:rFonts w:ascii="Times New Roman" w:hAnsi="Times New Roman"/>
          <w:b/>
          <w:color w:val="000000"/>
          <w:sz w:val="20"/>
          <w:u w:val="single"/>
        </w:rPr>
        <w:t>No Third-Party Beneficiaries</w:t>
      </w:r>
      <w:r>
        <w:rPr>
          <w:rFonts w:ascii="Times New Roman" w:hAnsi="Times New Roman"/>
          <w:color w:val="000000"/>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color w:val="000000"/>
          <w:sz w:val="20"/>
          <w:u w:val="single"/>
        </w:rPr>
        <w:t>Section 4.5</w:t>
      </w:r>
      <w:r>
        <w:rPr>
          <w:rFonts w:ascii="Times New Roman" w:hAnsi="Times New Roman"/>
          <w:color w:val="000000"/>
          <w:sz w:val="20"/>
        </w:rPr>
        <w:t>) any right, benefit or remedy of any nature whatsoever under or by reason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8.13        </w:t>
      </w:r>
      <w:r>
        <w:rPr>
          <w:rFonts w:ascii="Times New Roman" w:hAnsi="Times New Roman"/>
          <w:b/>
          <w:color w:val="000000"/>
          <w:sz w:val="20"/>
          <w:u w:val="single"/>
        </w:rPr>
        <w:t>Construction.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(a)          References to “cash,” “dollars” or “$” are to U.S. dollars.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(d)         As used in this Agreement, the words “include” and “including,” and variations thereof, shall not be deemed to be terms of limitation, but rather shall be deemed to be followed by the words “without limitation.”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(e)         Except as otherwise indicated, all references in this Agreement to “Sections,” “Exhibits” and “Schedules” are intended to refer to Sections of this Agreement and Exhibits and Schedules to this Agreement, respectively.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(f)          Any reference to legislation or to any provision of any legislation shall include any modification, amendment, re-enactment thereof, any legislative provision substituted therefor and all rules, regulations, and statutory instruments issued or related to such legislation.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(g)         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(h)         The inclusion of any information in the Company Disclosure Schedule or Parent Disclosure Schedule shall not be deemed an admission or acknowledgment to any third party, in and of itself and solely by virtue of the inclusion of such information in the Company Disclosure Schedule or Parent Disclosure Schedule, as applicable, that such information is required to be listed in the Company Disclosure Schedule or Parent Disclosure Schedule, as applicable, that such items are material to the Company and its Subsidiaries, taken as a whole, or Parent and its Subsidiaries, taken as a whole, as the case may be, or that such items have resulted in a Company Material Adverse Effect or a Parent Material Adverse Effect.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Each of “delivered” or “made available” means, with respect to any documentation, that (i) prior to 11:59 p.m. (Eastern Time) on the date that is one Business Day prior to the date of this Agreement (A) a copy of such material has been posted to and made available by a Party to the other Party and its Representatives in the electronic data room maintained by such disclosing Party or (B)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 prior to the execution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(j)          Whenever the last day for the exercise of any privilege or the discharge of any duty hereunder shall fall upon a Saturday, Sunday, or any date on which banks in New York, New York, are authorized or obligated by Law to be closed, the Party having such privilege or duty may exercise such privilege or discharge such duty on the next succeeding day which is a regular Business Day.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8.14        </w:t>
      </w:r>
      <w:r>
        <w:rPr>
          <w:rFonts w:ascii="Times New Roman" w:hAnsi="Times New Roman"/>
          <w:b/>
          <w:color w:val="000000"/>
          <w:sz w:val="20"/>
          <w:u w:val="single"/>
        </w:rPr>
        <w:t>Expenses</w:t>
      </w:r>
      <w:r>
        <w:rPr>
          <w:rFonts w:ascii="Times New Roman" w:hAnsi="Times New Roman"/>
          <w:color w:val="000000"/>
          <w:sz w:val="20"/>
        </w:rPr>
        <w:t>. Except as otherwise expressly provided in this Agreement, all expenses incurred in connection with this Agreement and the Contemplated Transactions will be paid by the Party incurring such expenses.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4"/>
        </w:rPr>
        <w:t xml:space="preserve"> </w:t>
      </w:r>
      <w:r>
        <w:rPr>
          <w:rFonts w:ascii="Times New Roman" w:hAnsi="Times New Roman"/>
          <w:color w:val="000000"/>
          <w:sz w:val="20"/>
        </w:rPr>
        <w:t>the Parties have caused this Agreement to be executed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5" w:name="z246d82e3ad314298a6af413e4ccab10b"/>
      <w:bookmarkStart w:id="736" w:name="z246d82e3ad314298a6af413e4ccab10b"/>
      <w:bookmarkEnd w:id="736"/>
    </w:p>
    <w:tbl>
      <w:tblPr>
        <w:tblW w:w="4645" w:type="dxa"/>
        <w:jc w:val="left"/>
        <w:tblInd w:w="0" w:type="dxa"/>
        <w:tblLayout w:type="fixed"/>
        <w:tblCellMar>
          <w:top w:w="0" w:type="dxa"/>
          <w:left w:w="0" w:type="dxa"/>
          <w:bottom w:w="0" w:type="dxa"/>
          <w:right w:w="0" w:type="dxa"/>
        </w:tblCellMar>
      </w:tblPr>
      <w:tblGrid>
        <w:gridCol w:w="60"/>
        <w:gridCol w:w="650"/>
        <w:gridCol w:w="3935"/>
      </w:tblGrid>
      <w:tr>
        <w:trPr/>
        <w:tc>
          <w:tcPr>
            <w:tcW w:w="60"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0"/>
              <w:jc w:val="left"/>
              <w:rPr>
                <w:b/>
                <w:color w:val="000000"/>
              </w:rPr>
            </w:pPr>
            <w:r>
              <w:rPr>
                <w:b/>
                <w:color w:val="000000"/>
              </w:rPr>
              <w:t>LISATA THERAPEUTICS, INC.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3935" w:type="dxa"/>
            <w:tcBorders>
              <w:bottom w:val="single" w:sz="12" w:space="0" w:color="000000"/>
            </w:tcBorders>
            <w:tcMar>
              <w:bottom w:w="28" w:type="dxa"/>
            </w:tcMar>
            <w:vAlign w:val="center"/>
          </w:tcPr>
          <w:p>
            <w:pPr>
              <w:pStyle w:val="TableContents"/>
              <w:bidi w:val="0"/>
              <w:spacing w:before="0" w:after="0"/>
              <w:jc w:val="left"/>
              <w:rPr/>
            </w:pPr>
            <w:r>
              <w:rPr/>
              <w:t>/s/ David J. Mazzo</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3935" w:type="dxa"/>
            <w:tcBorders/>
            <w:vAlign w:val="center"/>
          </w:tcPr>
          <w:p>
            <w:pPr>
              <w:pStyle w:val="TableContents"/>
              <w:bidi w:val="0"/>
              <w:spacing w:before="0" w:after="0"/>
              <w:jc w:val="left"/>
              <w:rPr>
                <w:color w:val="000000"/>
              </w:rPr>
            </w:pPr>
            <w:r>
              <w:rPr>
                <w:color w:val="000000"/>
              </w:rPr>
              <w:t>David J. Mazzo, PhD</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3935" w:type="dxa"/>
            <w:tcBorders/>
            <w:vAlign w:val="center"/>
          </w:tcPr>
          <w:p>
            <w:pPr>
              <w:pStyle w:val="TableContents"/>
              <w:bidi w:val="0"/>
              <w:spacing w:before="0" w:after="0"/>
              <w:jc w:val="left"/>
              <w:rPr>
                <w:color w:val="000000"/>
              </w:rPr>
            </w:pPr>
            <w:r>
              <w:rPr>
                <w:color w:val="000000"/>
              </w:rPr>
              <w:t>President and Chief Executive Officer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0"/>
              <w:jc w:val="left"/>
              <w:rPr>
                <w:b/>
                <w:color w:val="000000"/>
              </w:rPr>
            </w:pPr>
            <w:r>
              <w:rPr>
                <w:b/>
                <w:color w:val="000000"/>
              </w:rPr>
              <w:t>MARINER MERGER SUB I, INC.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3935" w:type="dxa"/>
            <w:tcBorders>
              <w:bottom w:val="single" w:sz="12" w:space="0" w:color="000000"/>
            </w:tcBorders>
            <w:tcMar>
              <w:bottom w:w="28" w:type="dxa"/>
            </w:tcMar>
            <w:vAlign w:val="center"/>
          </w:tcPr>
          <w:p>
            <w:pPr>
              <w:pStyle w:val="TableContents"/>
              <w:bidi w:val="0"/>
              <w:spacing w:before="0" w:after="0"/>
              <w:jc w:val="left"/>
              <w:rPr/>
            </w:pPr>
            <w:r>
              <w:rPr/>
              <w:t>/s/ David J. Mazzo</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3935" w:type="dxa"/>
            <w:tcBorders/>
            <w:vAlign w:val="center"/>
          </w:tcPr>
          <w:p>
            <w:pPr>
              <w:pStyle w:val="TableContents"/>
              <w:bidi w:val="0"/>
              <w:spacing w:before="0" w:after="0"/>
              <w:jc w:val="left"/>
              <w:rPr>
                <w:color w:val="000000"/>
              </w:rPr>
            </w:pPr>
            <w:r>
              <w:rPr>
                <w:color w:val="000000"/>
              </w:rPr>
              <w:t>David J. Mazzo, PhD</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3935" w:type="dxa"/>
            <w:tcBorders/>
            <w:vAlign w:val="center"/>
          </w:tcPr>
          <w:p>
            <w:pPr>
              <w:pStyle w:val="TableContents"/>
              <w:bidi w:val="0"/>
              <w:spacing w:before="0" w:after="0"/>
              <w:jc w:val="left"/>
              <w:rPr>
                <w:color w:val="000000"/>
              </w:rPr>
            </w:pPr>
            <w:r>
              <w:rPr>
                <w:color w:val="000000"/>
              </w:rPr>
              <w:t>President and Chief Executive Officer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0"/>
              <w:jc w:val="left"/>
              <w:rPr>
                <w:b/>
                <w:color w:val="000000"/>
              </w:rPr>
            </w:pPr>
            <w:r>
              <w:rPr>
                <w:b/>
                <w:color w:val="000000"/>
              </w:rPr>
              <w:t>MARINER MERGER SUB II, LLC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935" w:type="dxa"/>
            <w:tcBorders/>
            <w:vAlign w:val="center"/>
          </w:tcPr>
          <w:p>
            <w:pPr>
              <w:pStyle w:val="TableContents"/>
              <w:bidi w:val="0"/>
              <w:spacing w:before="0" w:after="0"/>
              <w:jc w:val="left"/>
              <w:rPr/>
            </w:pPr>
            <w:r>
              <w:rPr/>
              <w:t>Lisata Therapeutics, Inc., its sole member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3935" w:type="dxa"/>
            <w:tcBorders>
              <w:bottom w:val="single" w:sz="12" w:space="0" w:color="000000"/>
            </w:tcBorders>
            <w:tcMar>
              <w:bottom w:w="28" w:type="dxa"/>
            </w:tcMar>
            <w:vAlign w:val="center"/>
          </w:tcPr>
          <w:p>
            <w:pPr>
              <w:pStyle w:val="TableContents"/>
              <w:bidi w:val="0"/>
              <w:spacing w:before="0" w:after="0"/>
              <w:jc w:val="left"/>
              <w:rPr/>
            </w:pPr>
            <w:r>
              <w:rPr/>
              <w:t>/s/ David J. Mazzo</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3935" w:type="dxa"/>
            <w:tcBorders/>
            <w:vAlign w:val="center"/>
          </w:tcPr>
          <w:p>
            <w:pPr>
              <w:pStyle w:val="TableContents"/>
              <w:bidi w:val="0"/>
              <w:spacing w:before="0" w:after="0"/>
              <w:jc w:val="left"/>
              <w:rPr>
                <w:color w:val="000000"/>
              </w:rPr>
            </w:pPr>
            <w:r>
              <w:rPr>
                <w:color w:val="000000"/>
              </w:rPr>
              <w:t>David J. Mazzo, PhD</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3935" w:type="dxa"/>
            <w:tcBorders/>
            <w:vAlign w:val="center"/>
          </w:tcPr>
          <w:p>
            <w:pPr>
              <w:pStyle w:val="TableContents"/>
              <w:bidi w:val="0"/>
              <w:spacing w:before="0" w:after="0"/>
              <w:jc w:val="left"/>
              <w:rPr>
                <w:color w:val="000000"/>
              </w:rPr>
            </w:pPr>
            <w:r>
              <w:rPr>
                <w:color w:val="000000"/>
              </w:rPr>
              <w:t>President and Chief Executive Officer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0"/>
              <w:jc w:val="left"/>
              <w:rPr>
                <w:b/>
                <w:color w:val="000000"/>
              </w:rPr>
            </w:pPr>
            <w:r>
              <w:rPr>
                <w:b/>
                <w:color w:val="000000"/>
              </w:rPr>
              <w:t>MAREA THERAPEUTICS, INC.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3935" w:type="dxa"/>
            <w:tcBorders>
              <w:bottom w:val="single" w:sz="12" w:space="0" w:color="000000"/>
            </w:tcBorders>
            <w:tcMar>
              <w:bottom w:w="28" w:type="dxa"/>
            </w:tcMar>
            <w:vAlign w:val="center"/>
          </w:tcPr>
          <w:p>
            <w:pPr>
              <w:pStyle w:val="TableContents"/>
              <w:bidi w:val="0"/>
              <w:spacing w:before="0" w:after="0"/>
              <w:jc w:val="left"/>
              <w:rPr/>
            </w:pPr>
            <w:r>
              <w:rPr/>
              <w:t>/s/ Josh Lehrer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3935" w:type="dxa"/>
            <w:tcBorders/>
            <w:vAlign w:val="center"/>
          </w:tcPr>
          <w:p>
            <w:pPr>
              <w:pStyle w:val="TableContents"/>
              <w:bidi w:val="0"/>
              <w:spacing w:before="0" w:after="0"/>
              <w:jc w:val="left"/>
              <w:rPr/>
            </w:pPr>
            <w:r>
              <w:rPr/>
              <w:t>Josh Lehrer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3935" w:type="dxa"/>
            <w:tcBorders/>
            <w:vAlign w:val="center"/>
          </w:tcPr>
          <w:p>
            <w:pPr>
              <w:pStyle w:val="TableContents"/>
              <w:bidi w:val="0"/>
              <w:spacing w:before="0" w:after="0"/>
              <w:jc w:val="left"/>
              <w:rPr>
                <w:color w:val="000000"/>
              </w:rPr>
            </w:pPr>
            <w:r>
              <w:rPr>
                <w:color w:val="000000"/>
              </w:rPr>
              <w:t>President and Chief Executive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CERTAIN 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For purposes of this Agreement (including this </w:t>
      </w:r>
      <w:r>
        <w:rPr>
          <w:rFonts w:ascii="Times New Roman" w:hAnsi="Times New Roman"/>
          <w:b/>
          <w:color w:val="000000"/>
          <w:sz w:val="20"/>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Aggregate Valuation</w:t>
      </w:r>
      <w:r>
        <w:rPr>
          <w:rFonts w:ascii="Times New Roman" w:hAnsi="Times New Roman"/>
          <w:color w:val="000000"/>
          <w:sz w:val="20"/>
        </w:rPr>
        <w:t xml:space="preserve">” means the amount equal to (a) the Company Valuation </w:t>
      </w:r>
      <w:r>
        <w:rPr>
          <w:rFonts w:ascii="Times New Roman" w:hAnsi="Times New Roman"/>
          <w:color w:val="000000"/>
          <w:sz w:val="20"/>
          <w:u w:val="single"/>
        </w:rPr>
        <w:t>plus</w:t>
      </w:r>
      <w:r>
        <w:rPr>
          <w:rFonts w:ascii="Times New Roman" w:hAnsi="Times New Roman"/>
          <w:color w:val="000000"/>
          <w:sz w:val="20"/>
        </w:rPr>
        <w:t xml:space="preserve"> (b) the Parent Valuation </w:t>
      </w:r>
      <w:r>
        <w:rPr>
          <w:rFonts w:ascii="Times New Roman" w:hAnsi="Times New Roman"/>
          <w:color w:val="000000"/>
          <w:sz w:val="20"/>
          <w:u w:val="single"/>
        </w:rPr>
        <w:t>plus</w:t>
      </w:r>
      <w:r>
        <w:rPr>
          <w:rFonts w:ascii="Times New Roman" w:hAnsi="Times New Roman"/>
          <w:color w:val="000000"/>
          <w:sz w:val="20"/>
        </w:rPr>
        <w:t xml:space="preserve"> (c) the amount of the Concurrent Investment Amount.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Agreement</w:t>
      </w:r>
      <w:r>
        <w:rPr>
          <w:rFonts w:ascii="Times New Roman" w:hAnsi="Times New Roman"/>
          <w:color w:val="000000"/>
          <w:sz w:val="20"/>
        </w:rPr>
        <w:t xml:space="preserve">” means the Agreement and Plan of Merger to which this </w:t>
      </w:r>
      <w:r>
        <w:rPr>
          <w:rFonts w:ascii="Times New Roman" w:hAnsi="Times New Roman"/>
          <w:b/>
          <w:color w:val="000000"/>
          <w:sz w:val="20"/>
        </w:rPr>
        <w:t>Exhibit A</w:t>
      </w:r>
      <w:r>
        <w:rPr>
          <w:rFonts w:ascii="Times New Roman" w:hAnsi="Times New Roman"/>
          <w:color w:val="000000"/>
          <w:sz w:val="20"/>
        </w:rPr>
        <w:t xml:space="preserve"> is attached, as it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Allocation Certificate</w:t>
      </w:r>
      <w:r>
        <w:rPr>
          <w:rFonts w:ascii="Times New Roman" w:hAnsi="Times New Roman"/>
          <w:color w:val="000000"/>
          <w:sz w:val="20"/>
        </w:rPr>
        <w:t xml:space="preserve">” has the meaning set forth in </w:t>
      </w:r>
      <w:r>
        <w:rPr>
          <w:rFonts w:ascii="Times New Roman" w:hAnsi="Times New Roman"/>
          <w:color w:val="000000"/>
          <w:sz w:val="20"/>
          <w:u w:val="single"/>
        </w:rPr>
        <w:t>Section 4.13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Anti-Bribery Laws</w:t>
      </w:r>
      <w:r>
        <w:rPr>
          <w:rFonts w:ascii="Times New Roman" w:hAnsi="Times New Roman"/>
          <w:color w:val="000000"/>
          <w:sz w:val="20"/>
        </w:rPr>
        <w:t xml:space="preserve">” has the meaning set forth in </w:t>
      </w:r>
      <w:r>
        <w:rPr>
          <w:rFonts w:ascii="Times New Roman" w:hAnsi="Times New Roman"/>
          <w:color w:val="000000"/>
          <w:sz w:val="20"/>
          <w:u w:val="single"/>
        </w:rPr>
        <w:t>Section 2.22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Board Approval</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Book-Entry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1.7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means any day other than a Saturday, Sunday or other day on which banks in San Francisco, California, are authorized or obligated by Law to be closed.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Certificates of Merger</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Certifications</w:t>
      </w:r>
      <w:r>
        <w:rPr>
          <w:rFonts w:ascii="Times New Roman" w:hAnsi="Times New Roman"/>
          <w:color w:val="000000"/>
          <w:sz w:val="20"/>
        </w:rPr>
        <w:t xml:space="preserve">” has the meaning set forth in </w:t>
      </w:r>
      <w:r>
        <w:rPr>
          <w:rFonts w:ascii="Times New Roman" w:hAnsi="Times New Roman"/>
          <w:color w:val="000000"/>
          <w:sz w:val="20"/>
          <w:u w:val="single"/>
        </w:rPr>
        <w:t>Section 3.7(a)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Change of Control Effective Time</w:t>
      </w:r>
      <w:r>
        <w:rPr>
          <w:rFonts w:ascii="Times New Roman" w:hAnsi="Times New Roman"/>
          <w:color w:val="000000"/>
          <w:sz w:val="20"/>
        </w:rPr>
        <w:t>” means the time promptly following (and, in any event, within three (3) Business Days) the approval of the Parent Stockholder Matters and approval of the Nasdaq Listing Application.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Change of Control Proposal</w:t>
      </w:r>
      <w:r>
        <w:rPr>
          <w:rFonts w:ascii="Times New Roman" w:hAnsi="Times New Roman"/>
          <w:color w:val="000000"/>
          <w:sz w:val="20"/>
        </w:rPr>
        <w:t xml:space="preserve">” has the meaning set forth in </w:t>
      </w:r>
      <w:r>
        <w:rPr>
          <w:rFonts w:ascii="Times New Roman" w:hAnsi="Times New Roman"/>
          <w:color w:val="000000"/>
          <w:sz w:val="20"/>
          <w:u w:val="single"/>
        </w:rPr>
        <w:t>Section 4.1(a)(ii)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Clearance Date</w:t>
      </w:r>
      <w:r>
        <w:rPr>
          <w:rFonts w:ascii="Times New Roman" w:hAnsi="Times New Roman"/>
          <w:color w:val="000000"/>
          <w:sz w:val="20"/>
        </w:rPr>
        <w:t xml:space="preserve">” has the meaning set forth in </w:t>
      </w:r>
      <w:r>
        <w:rPr>
          <w:rFonts w:ascii="Times New Roman" w:hAnsi="Times New Roman"/>
          <w:color w:val="000000"/>
          <w:sz w:val="20"/>
          <w:u w:val="single"/>
        </w:rPr>
        <w:t>Section 4.2(c)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Closing</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Closing Date</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Code</w:t>
      </w:r>
      <w:r>
        <w:rPr>
          <w:rFonts w:ascii="Times New Roman" w:hAnsi="Times New Roman"/>
          <w:color w:val="000000"/>
          <w:sz w:val="20"/>
        </w:rPr>
        <w:t>” means the Internal Revenue Code of 1986,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w:t>
      </w:r>
      <w:r>
        <w:rPr>
          <w:rFonts w:ascii="Times New Roman" w:hAnsi="Times New Roman"/>
          <w:color w:val="000000"/>
          <w:sz w:val="20"/>
        </w:rPr>
        <w:t>” has the meaning set forth in the Preamble.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Allocation Percentage</w:t>
      </w:r>
      <w:r>
        <w:rPr>
          <w:rFonts w:ascii="Times New Roman" w:hAnsi="Times New Roman"/>
          <w:color w:val="000000"/>
          <w:sz w:val="20"/>
        </w:rPr>
        <w:t>” means the quotient determined by dividing (a) the Company Valuation by (b) the Aggregate Valuation.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Associate</w:t>
      </w:r>
      <w:r>
        <w:rPr>
          <w:rFonts w:ascii="Times New Roman" w:hAnsi="Times New Roman"/>
          <w:color w:val="000000"/>
          <w:sz w:val="20"/>
        </w:rPr>
        <w:t>” means any current or former employee, independent contractor, officer or director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Benefit Plan</w:t>
      </w:r>
      <w:r>
        <w:rPr>
          <w:rFonts w:ascii="Times New Roman" w:hAnsi="Times New Roman"/>
          <w:color w:val="000000"/>
          <w:sz w:val="20"/>
        </w:rPr>
        <w:t xml:space="preserve">” has the meaning set forth in </w:t>
      </w:r>
      <w:r>
        <w:rPr>
          <w:rFonts w:ascii="Times New Roman" w:hAnsi="Times New Roman"/>
          <w:color w:val="000000"/>
          <w:sz w:val="20"/>
          <w:u w:val="single"/>
        </w:rPr>
        <w:t>Section 2.17(a)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Board</w:t>
      </w:r>
      <w:r>
        <w:rPr>
          <w:rFonts w:ascii="Times New Roman" w:hAnsi="Times New Roman"/>
          <w:color w:val="000000"/>
          <w:sz w:val="20"/>
        </w:rPr>
        <w:t>” means the board of directors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Capital Stock</w:t>
      </w:r>
      <w:r>
        <w:rPr>
          <w:rFonts w:ascii="Times New Roman" w:hAnsi="Times New Roman"/>
          <w:color w:val="000000"/>
          <w:sz w:val="20"/>
        </w:rPr>
        <w:t>” means the Company Common Stock and the Company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Common Stock</w:t>
      </w:r>
      <w:r>
        <w:rPr>
          <w:rFonts w:ascii="Times New Roman" w:hAnsi="Times New Roman"/>
          <w:color w:val="000000"/>
          <w:sz w:val="20"/>
        </w:rPr>
        <w:t>” means the Common Stock, $0.000001 par value per share,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Contract</w:t>
      </w:r>
      <w:r>
        <w:rPr>
          <w:rFonts w:ascii="Times New Roman" w:hAnsi="Times New Roman"/>
          <w:color w:val="000000"/>
          <w:sz w:val="20"/>
        </w:rPr>
        <w:t>” means any Contract: (a) to which the Company or any of its Subsidiaries is a Party; (b) by which the Company or any of its Subsidiaries or any Company IP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Data</w:t>
      </w:r>
      <w:r>
        <w:rPr>
          <w:rFonts w:ascii="Times New Roman" w:hAnsi="Times New Roman"/>
          <w:color w:val="000000"/>
          <w:sz w:val="20"/>
        </w:rPr>
        <w:t>” means all individually identifiable data and information Processed by or for the Company or any of its Subsidiaries that is subject to regulation under applicable Privacy and Data Processing Requirements.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Disclosure Schedule</w:t>
      </w:r>
      <w:r>
        <w:rPr>
          <w:rFonts w:ascii="Times New Roman" w:hAnsi="Times New Roman"/>
          <w:color w:val="000000"/>
          <w:sz w:val="20"/>
        </w:rPr>
        <w:t xml:space="preserve">” has the meaning set forth in </w:t>
      </w:r>
      <w:r>
        <w:rPr>
          <w:rFonts w:ascii="Times New Roman" w:hAnsi="Times New Roman"/>
          <w:color w:val="000000"/>
          <w:sz w:val="20"/>
          <w:u w:val="single"/>
        </w:rPr>
        <w:t>Section 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w:t>
      </w:r>
      <w:r>
        <w:rPr>
          <w:rFonts w:ascii="Times New Roman" w:hAnsi="Times New Roman"/>
          <w:color w:val="000000"/>
          <w:sz w:val="20"/>
        </w:rPr>
        <w:t> </w:t>
      </w:r>
      <w:r>
        <w:rPr>
          <w:rFonts w:ascii="Times New Roman" w:hAnsi="Times New Roman"/>
          <w:b/>
          <w:i/>
          <w:color w:val="000000"/>
          <w:sz w:val="20"/>
        </w:rPr>
        <w:t>ERISA Affiliate</w:t>
      </w:r>
      <w:r>
        <w:rPr>
          <w:rFonts w:ascii="Times New Roman" w:hAnsi="Times New Roman"/>
          <w:color w:val="000000"/>
          <w:sz w:val="20"/>
        </w:rPr>
        <w:t>” means any corporation or trade or business (whether or not incorporated) which is (or at any relevant time was) treated with the Company as a single employer within the meaning of Section 414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Financials</w:t>
      </w:r>
      <w:r>
        <w:rPr>
          <w:rFonts w:ascii="Times New Roman" w:hAnsi="Times New Roman"/>
          <w:color w:val="000000"/>
          <w:sz w:val="20"/>
        </w:rPr>
        <w:t xml:space="preserve">” has the meaning set forth in </w:t>
      </w:r>
      <w:r>
        <w:rPr>
          <w:rFonts w:ascii="Times New Roman" w:hAnsi="Times New Roman"/>
          <w:color w:val="000000"/>
          <w:sz w:val="20"/>
          <w:u w:val="single"/>
        </w:rPr>
        <w:t>Section 2.7(a)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In-bound License</w:t>
      </w:r>
      <w:r>
        <w:rPr>
          <w:rFonts w:ascii="Times New Roman" w:hAnsi="Times New Roman"/>
          <w:color w:val="000000"/>
          <w:sz w:val="20"/>
        </w:rPr>
        <w:t xml:space="preserve">” has the meaning set forth in </w:t>
      </w:r>
      <w:r>
        <w:rPr>
          <w:rFonts w:ascii="Times New Roman" w:hAnsi="Times New Roman"/>
          <w:color w:val="000000"/>
          <w:sz w:val="20"/>
          <w:u w:val="single"/>
        </w:rPr>
        <w:t>Section 2.12(d)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IP</w:t>
      </w:r>
      <w:r>
        <w:rPr>
          <w:rFonts w:ascii="Times New Roman" w:hAnsi="Times New Roman"/>
          <w:color w:val="000000"/>
          <w:sz w:val="20"/>
        </w:rPr>
        <w:t>” means all Intellectual Property Rights that are owned or purported to be owned by, assigned to, or exclusively licensed by, the Company or its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Material Adverse Effect</w:t>
      </w:r>
      <w:r>
        <w:rPr>
          <w:rFonts w:ascii="Times New Roman" w:hAnsi="Times New Roman"/>
          <w:color w:val="000000"/>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Effects arising or resulting from the following shall not be taken into account in determining whether there has been a Company Material Adverse Effect: (a) general economic conditions (or changes therein), including any changes affecting financial, credit or capital market conditions, changes in interest or exchange rates or the suspension of trading in securities (whether equity, debt, derivative or hybrid securities) generally on any securities exchange or over-the-counter market, (b) conditions (or changes therein) in any industry or industries in which the Company and its Subsidiaries operate, (c) political, geopolitical and/or regulatory conditions (or changes therein), including trade disputes or the imposition of trade restrictions, tariffs or similar Taxes, sanctions, the occurrence or the escalation or worsening of any acts of terrorism (including cyberterrorism and cyberterrorism data breaches), sabotage, war, civil disobedience or civil unrest, (d) any change in GAAP or interpretation thereof by any Governmental Body, (e) any change in applicable Law or interpretation thereof by any Governmental Body, (f) any actions taken expressly required by, or the failure to take any action expressly prohibited by, the terms of this Agreement or at the written request or with the written consent of Parent, First Merger Sub or Second Merger Sub and any Effect directly attributable to the negotiation, execution or announcement of this Agreement and the transactions contemplated hereby (including the Merger), including any litigation arising therefrom (including any litigation arising from allegations of a breach of duty or violation of applicable Law), and any adverse change in customer, employee (including employee departures), supplier, financing source, lessee, licensor, licensee, sub-licensee, stockholder, joint venture partner or similar relationship resulting therefrom, including as a result of the identity of Parent (except that this clause (f) shall not apply with respect to any representation or warranty of the Company in this Agreement that is intended to address the consequences of the execution of this Agreement or the consummation of the transactions contemplated by this Agreement), (g) any failure by the Company to meet any internal or published projections, estimates or expectations of the Company’s revenue, earnings or other financial performance or results of operations for any period (it being understood that the facts or occurrences giving rise or contributing to such failure that are not otherwise excluded from the definition of a “Company Material Adverse Effect” may be taken into account), (h) earthquakes, tornados, hurricanes, floods, mudslides, wild fires or other weather conditions or natural calamities, including any worsening of such conditions, (i) pandemics, epidemics, disease outbreak or other public health crisis or event, including any worsening of such conditions, and (j) any reduction in the credit rating of the Company or its Subsidiaries (it being understood that the facts or occurrences giving rise or contributing to such reduction or any consequences resulting from such reduction that are not otherwise excluded from the definition of a “Company Material Adverse Effect” may be taken into account); provided that any Effect described in clauses (a), (b), (c), (d), (e), (h) or (i) may be taken into account in determining whether there has been, or would reasonably be expected to be, a Company Material Adverse Effect to the extent such Effect has a materially disproportionate adverse effect on the Company and its Subsidiaries, taken as a whole, relative to other similarly situated participants in the industries in which the Company and its Subsidiaries operate, and in the case of clauses (h) or (i), in the geographic regions in the United States in which the Company and its Subsidiaries operate or own or lease properties (in which case only the incremental disproportionate adverse effect may be taken into account in determining whether there has been, or would reasonably be expected to be,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Material Contract(s)</w:t>
      </w:r>
      <w:r>
        <w:rPr>
          <w:rFonts w:ascii="Times New Roman" w:hAnsi="Times New Roman"/>
          <w:color w:val="000000"/>
          <w:sz w:val="20"/>
        </w:rPr>
        <w:t xml:space="preserve">” has the meaning set forth in </w:t>
      </w:r>
      <w:r>
        <w:rPr>
          <w:rFonts w:ascii="Times New Roman" w:hAnsi="Times New Roman"/>
          <w:color w:val="000000"/>
          <w:sz w:val="20"/>
          <w:u w:val="single"/>
        </w:rPr>
        <w:t>Section 2.13(a)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Merger Shares</w:t>
      </w:r>
      <w:r>
        <w:rPr>
          <w:rFonts w:ascii="Times New Roman" w:hAnsi="Times New Roman"/>
          <w:color w:val="000000"/>
          <w:sz w:val="20"/>
        </w:rPr>
        <w:t>” means, the product determined by multiplying (a) the Post-Closing Parent Shares by (b) the Company Allocation Percentage.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Options</w:t>
      </w:r>
      <w:r>
        <w:rPr>
          <w:rFonts w:ascii="Times New Roman" w:hAnsi="Times New Roman"/>
          <w:color w:val="000000"/>
          <w:sz w:val="20"/>
        </w:rPr>
        <w:t>” means options or other rights to purchase shares of Company Common Stock issued by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Out-bound License</w:t>
      </w:r>
      <w:r>
        <w:rPr>
          <w:rFonts w:ascii="Times New Roman" w:hAnsi="Times New Roman"/>
          <w:color w:val="000000"/>
          <w:sz w:val="20"/>
        </w:rPr>
        <w:t xml:space="preserve">” has the meaning set forth in </w:t>
      </w:r>
      <w:r>
        <w:rPr>
          <w:rFonts w:ascii="Times New Roman" w:hAnsi="Times New Roman"/>
          <w:color w:val="000000"/>
          <w:sz w:val="20"/>
          <w:u w:val="single"/>
        </w:rPr>
        <w:t>Section 2.12(d)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Outstanding Shares</w:t>
      </w:r>
      <w:r>
        <w:rPr>
          <w:rFonts w:ascii="Times New Roman" w:hAnsi="Times New Roman"/>
          <w:color w:val="000000"/>
          <w:sz w:val="20"/>
        </w:rPr>
        <w:t xml:space="preserve">” means the total number of shares of Company Common Stock outstanding immediately after the conversion of the Company SAFEs into shares of Company Common Stock pursuant to </w:t>
      </w:r>
      <w:r>
        <w:rPr>
          <w:rFonts w:ascii="Times New Roman" w:hAnsi="Times New Roman"/>
          <w:color w:val="000000"/>
          <w:sz w:val="20"/>
          <w:u w:val="single"/>
        </w:rPr>
        <w:t>Section 1.10</w:t>
      </w:r>
      <w:r>
        <w:rPr>
          <w:rFonts w:ascii="Times New Roman" w:hAnsi="Times New Roman"/>
          <w:color w:val="000000"/>
          <w:sz w:val="20"/>
        </w:rPr>
        <w:t>, calculated on a fully diluted and as-converted basis, and assuming, without limitation or duplication, (a) the issuance of shares of Company Common Stock upon the conversion of all shares of Company Preferred Stock in accordance with the Company’s certificate of incorporation and (b) the issuance of shares of Company Common Stock in respect of all Company Options.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Permits</w:t>
      </w:r>
      <w:r>
        <w:rPr>
          <w:rFonts w:ascii="Times New Roman" w:hAnsi="Times New Roman"/>
          <w:color w:val="000000"/>
          <w:sz w:val="20"/>
        </w:rPr>
        <w:t xml:space="preserve">” has the meaning set forth in </w:t>
      </w:r>
      <w:r>
        <w:rPr>
          <w:rFonts w:ascii="Times New Roman" w:hAnsi="Times New Roman"/>
          <w:color w:val="000000"/>
          <w:sz w:val="20"/>
          <w:u w:val="single"/>
        </w:rPr>
        <w:t>Section 2.14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Plan</w:t>
      </w:r>
      <w:r>
        <w:rPr>
          <w:rFonts w:ascii="Times New Roman" w:hAnsi="Times New Roman"/>
          <w:color w:val="000000"/>
          <w:sz w:val="20"/>
        </w:rPr>
        <w:t xml:space="preserve">” has the meaning set forth in </w:t>
      </w:r>
      <w:r>
        <w:rPr>
          <w:rFonts w:ascii="Times New Roman" w:hAnsi="Times New Roman"/>
          <w:color w:val="000000"/>
          <w:sz w:val="20"/>
          <w:u w:val="single"/>
        </w:rPr>
        <w:t>Section 2.6(c)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Preferred Stock</w:t>
      </w:r>
      <w:r>
        <w:rPr>
          <w:rFonts w:ascii="Times New Roman" w:hAnsi="Times New Roman"/>
          <w:color w:val="000000"/>
          <w:sz w:val="20"/>
        </w:rPr>
        <w:t>” means the Preferred Stock, $0.000001 par value per share,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Real Estate Leases</w:t>
      </w:r>
      <w:r>
        <w:rPr>
          <w:rFonts w:ascii="Times New Roman" w:hAnsi="Times New Roman"/>
          <w:color w:val="000000"/>
          <w:sz w:val="20"/>
        </w:rPr>
        <w:t xml:space="preserve">” has the meaning set forth in </w:t>
      </w:r>
      <w:r>
        <w:rPr>
          <w:rFonts w:ascii="Times New Roman" w:hAnsi="Times New Roman"/>
          <w:color w:val="000000"/>
          <w:sz w:val="20"/>
          <w:u w:val="single"/>
        </w:rPr>
        <w:t>Section 2.11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SAFEs</w:t>
      </w:r>
      <w:r>
        <w:rPr>
          <w:rFonts w:ascii="Times New Roman" w:hAnsi="Times New Roman"/>
          <w:color w:val="000000"/>
          <w:sz w:val="20"/>
        </w:rPr>
        <w:t xml:space="preserve">” means, collectively, the Simple Agreements for Future Equity issued by the Company to one or more investors that are outstanding immediately prior to the conversion of the Company SAFEs into shares of Company Common Stock pursuant to </w:t>
      </w:r>
      <w:r>
        <w:rPr>
          <w:rFonts w:ascii="Times New Roman" w:hAnsi="Times New Roman"/>
          <w:color w:val="000000"/>
          <w:sz w:val="20"/>
          <w:u w:val="single"/>
        </w:rPr>
        <w:t>Section 1.10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SAFE Conversion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1.10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Signatories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Stock Certificate</w:t>
      </w:r>
      <w:r>
        <w:rPr>
          <w:rFonts w:ascii="Times New Roman" w:hAnsi="Times New Roman"/>
          <w:color w:val="000000"/>
          <w:sz w:val="20"/>
        </w:rPr>
        <w:t xml:space="preserve">” has the meaning set forth in </w:t>
      </w:r>
      <w:r>
        <w:rPr>
          <w:rFonts w:ascii="Times New Roman" w:hAnsi="Times New Roman"/>
          <w:color w:val="000000"/>
          <w:sz w:val="20"/>
          <w:u w:val="single"/>
        </w:rPr>
        <w:t>Section 1.7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Stockholder Matters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Stockholder Registration Rights Agreement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Unaudited Interim Balance Sheet</w:t>
      </w:r>
      <w:r>
        <w:rPr>
          <w:rFonts w:ascii="Times New Roman" w:hAnsi="Times New Roman"/>
          <w:color w:val="000000"/>
          <w:sz w:val="20"/>
        </w:rPr>
        <w:t xml:space="preserve">” has the meaning set forth in </w:t>
      </w:r>
      <w:r>
        <w:rPr>
          <w:rFonts w:ascii="Times New Roman" w:hAnsi="Times New Roman"/>
          <w:color w:val="000000"/>
          <w:sz w:val="20"/>
          <w:u w:val="single"/>
        </w:rPr>
        <w:t>Section 2.7(a)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Company Valuation</w:t>
      </w:r>
      <w:r>
        <w:rPr>
          <w:rFonts w:ascii="Times New Roman" w:hAnsi="Times New Roman"/>
          <w:color w:val="000000"/>
          <w:sz w:val="20"/>
        </w:rPr>
        <w:t>” means $351,903,103.</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Concurrent Investment Amount</w:t>
      </w:r>
      <w:r>
        <w:rPr>
          <w:rFonts w:ascii="Times New Roman" w:hAnsi="Times New Roman"/>
          <w:color w:val="000000"/>
          <w:sz w:val="20"/>
        </w:rPr>
        <w:t>” means $225,000,000 as contemplated by the Securities Purchase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Confidentiality Agreement</w:t>
      </w:r>
      <w:r>
        <w:rPr>
          <w:rFonts w:ascii="Times New Roman" w:hAnsi="Times New Roman"/>
          <w:color w:val="000000"/>
          <w:sz w:val="20"/>
        </w:rPr>
        <w:t>” means that certain mutual letter agreement, dated as of July 29, 2026, between Parent and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Consent</w:t>
      </w:r>
      <w:r>
        <w:rPr>
          <w:rFonts w:ascii="Times New Roman" w:hAnsi="Times New Roman"/>
          <w:color w:val="000000"/>
          <w:sz w:val="20"/>
        </w:rPr>
        <w:t>” means any approval, consent, ratification, permission, waiver or authorization (including any Governmental Authorization).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Contemplated Transactions</w:t>
      </w:r>
      <w:r>
        <w:rPr>
          <w:rFonts w:ascii="Times New Roman" w:hAnsi="Times New Roman"/>
          <w:color w:val="000000"/>
          <w:sz w:val="20"/>
        </w:rPr>
        <w:t xml:space="preserve">” means the Merger, Parent Stockholder Support Agreements and the other transactions and actions contemplated by this Agreement to be consummated at or prior to the Closing (but not, for the avoidance of doubt, the actions proposed to be taken as the Parent Stockholders’ Meeting following the Closing pursuant to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Continuing Employees</w:t>
      </w:r>
      <w:r>
        <w:rPr>
          <w:rFonts w:ascii="Times New Roman" w:hAnsi="Times New Roman"/>
          <w:color w:val="000000"/>
          <w:sz w:val="20"/>
        </w:rPr>
        <w:t xml:space="preserve">” has the meaning set forth in </w:t>
      </w:r>
      <w:r>
        <w:rPr>
          <w:rFonts w:ascii="Times New Roman" w:hAnsi="Times New Roman"/>
          <w:color w:val="000000"/>
          <w:sz w:val="20"/>
          <w:u w:val="single"/>
        </w:rPr>
        <w:t>Section 4.4(a)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Contract</w:t>
      </w:r>
      <w:r>
        <w:rPr>
          <w:rFonts w:ascii="Times New Roman" w:hAnsi="Times New Roman"/>
          <w:color w:val="000000"/>
          <w:sz w:val="20"/>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Data Processing Policy</w:t>
      </w:r>
      <w:r>
        <w:rPr>
          <w:rFonts w:ascii="Times New Roman" w:hAnsi="Times New Roman"/>
          <w:color w:val="000000"/>
          <w:sz w:val="20"/>
        </w:rPr>
        <w:t>” means each policy, statement, representation, or notice of the Company, Parent or their respective Subsidiaries relating to the Processing of Company Data or Parent Data (as applicable), privacy, data protection, or security.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Determination Time</w:t>
      </w:r>
      <w:r>
        <w:rPr>
          <w:rFonts w:ascii="Times New Roman" w:hAnsi="Times New Roman"/>
          <w:color w:val="000000"/>
          <w:sz w:val="20"/>
        </w:rPr>
        <w:t>” means the close of business on the last Business Day before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DGCL</w:t>
      </w:r>
      <w:r>
        <w:rPr>
          <w:rFonts w:ascii="Times New Roman" w:hAnsi="Times New Roman"/>
          <w:color w:val="000000"/>
          <w:sz w:val="20"/>
        </w:rPr>
        <w:t>” means the General Corporation Law of the State of Delaware.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Disqualifying Event</w:t>
      </w:r>
      <w:r>
        <w:rPr>
          <w:rFonts w:ascii="Times New Roman" w:hAnsi="Times New Roman"/>
          <w:color w:val="000000"/>
          <w:sz w:val="20"/>
        </w:rPr>
        <w:t xml:space="preserve">” has the meaning set forth in </w:t>
      </w:r>
      <w:r>
        <w:rPr>
          <w:rFonts w:ascii="Times New Roman" w:hAnsi="Times New Roman"/>
          <w:color w:val="000000"/>
          <w:sz w:val="20"/>
          <w:u w:val="single"/>
        </w:rPr>
        <w:t>Section 3.24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Dissenting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DLLCA</w:t>
      </w:r>
      <w:r>
        <w:rPr>
          <w:rFonts w:ascii="Times New Roman" w:hAnsi="Times New Roman"/>
          <w:color w:val="000000"/>
          <w:sz w:val="20"/>
        </w:rPr>
        <w:t>” means the Delaware Limited Liability Company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D&amp;O Indemnified Parties</w:t>
      </w:r>
      <w:r>
        <w:rPr>
          <w:rFonts w:ascii="Times New Roman" w:hAnsi="Times New Roman"/>
          <w:color w:val="000000"/>
          <w:sz w:val="20"/>
        </w:rPr>
        <w:t xml:space="preserve">” has the meaning set forth in </w:t>
      </w:r>
      <w:r>
        <w:rPr>
          <w:rFonts w:ascii="Times New Roman" w:hAnsi="Times New Roman"/>
          <w:color w:val="000000"/>
          <w:sz w:val="20"/>
          <w:u w:val="single"/>
        </w:rPr>
        <w:t>Section 4.5(a)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D&amp;O Tail Policy</w:t>
      </w:r>
      <w:r>
        <w:rPr>
          <w:rFonts w:ascii="Times New Roman" w:hAnsi="Times New Roman"/>
          <w:color w:val="000000"/>
          <w:sz w:val="20"/>
        </w:rPr>
        <w:t xml:space="preserve">” has the meaning set forth in </w:t>
      </w:r>
      <w:r>
        <w:rPr>
          <w:rFonts w:ascii="Times New Roman" w:hAnsi="Times New Roman"/>
          <w:color w:val="000000"/>
          <w:sz w:val="20"/>
          <w:u w:val="single"/>
        </w:rPr>
        <w:t>Section 4.5(d)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Effect</w:t>
      </w:r>
      <w:r>
        <w:rPr>
          <w:rFonts w:ascii="Times New Roman" w:hAnsi="Times New Roman"/>
          <w:color w:val="000000"/>
          <w:sz w:val="20"/>
        </w:rPr>
        <w:t>” means any effect, change, event, circumstance, or development.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Embargoed Countries</w:t>
      </w:r>
      <w:r>
        <w:rPr>
          <w:rFonts w:ascii="Times New Roman" w:hAnsi="Times New Roman"/>
          <w:color w:val="000000"/>
          <w:sz w:val="20"/>
        </w:rPr>
        <w:t xml:space="preserve">” has the meaning set forth in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Encumbrance</w:t>
      </w:r>
      <w:r>
        <w:rPr>
          <w:rFonts w:ascii="Times New Roman" w:hAnsi="Times New Roman"/>
          <w:color w:val="000000"/>
          <w:sz w:val="20"/>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Enforceability Exceptions</w:t>
      </w:r>
      <w:r>
        <w:rPr>
          <w:rFonts w:ascii="Times New Roman" w:hAnsi="Times New Roman"/>
          <w:color w:val="000000"/>
          <w:sz w:val="20"/>
        </w:rPr>
        <w:t>” means the (a) Laws of general application relating to bankruptcy, insolvency and the relief of debtors; and (b) rules of law governing specific performance, injunctive relief and other equitable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Entity</w:t>
      </w:r>
      <w:r>
        <w:rPr>
          <w:rFonts w:ascii="Times New Roman" w:hAnsi="Times New Roman"/>
          <w:color w:val="000000"/>
          <w:sz w:val="20"/>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Environmental Law</w:t>
      </w:r>
      <w:r>
        <w:rPr>
          <w:rFonts w:ascii="Times New Roman" w:hAnsi="Times New Roman"/>
          <w:color w:val="000000"/>
          <w:sz w:val="20"/>
        </w:rPr>
        <w:t>” means any federal, state, local or foreign Law relating to pollution or protection of human health (as it relates to exposure to Hazardous Materials)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ERISA</w:t>
      </w:r>
      <w:r>
        <w:rPr>
          <w:rFonts w:ascii="Times New Roman" w:hAnsi="Times New Roman"/>
          <w:color w:val="000000"/>
          <w:sz w:val="20"/>
        </w:rPr>
        <w:t>” means the Employee Retirement Income Security Act of 1974,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Exchange Act</w:t>
      </w:r>
      <w:r>
        <w:rPr>
          <w:rFonts w:ascii="Times New Roman" w:hAnsi="Times New Roman"/>
          <w:color w:val="000000"/>
          <w:sz w:val="20"/>
        </w:rPr>
        <w:t>” means the Securities Exchange Act of 1934.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Exchange Agent</w:t>
      </w:r>
      <w:r>
        <w:rPr>
          <w:rFonts w:ascii="Times New Roman" w:hAnsi="Times New Roman"/>
          <w:color w:val="000000"/>
          <w:sz w:val="20"/>
        </w:rPr>
        <w:t xml:space="preserve">” has the meaning set forth in </w:t>
      </w:r>
      <w:r>
        <w:rPr>
          <w:rFonts w:ascii="Times New Roman" w:hAnsi="Times New Roman"/>
          <w:color w:val="000000"/>
          <w:sz w:val="20"/>
          <w:u w:val="single"/>
        </w:rPr>
        <w:t>Section 1.8(a)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Exchange Fund</w:t>
      </w:r>
      <w:r>
        <w:rPr>
          <w:rFonts w:ascii="Times New Roman" w:hAnsi="Times New Roman"/>
          <w:color w:val="000000"/>
          <w:sz w:val="20"/>
        </w:rPr>
        <w:t xml:space="preserve">” has the meaning set forth in </w:t>
      </w:r>
      <w:r>
        <w:rPr>
          <w:rFonts w:ascii="Times New Roman" w:hAnsi="Times New Roman"/>
          <w:color w:val="000000"/>
          <w:sz w:val="20"/>
          <w:u w:val="single"/>
        </w:rPr>
        <w:t>Section 1.8(a)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Exchange Ratio</w:t>
      </w:r>
      <w:r>
        <w:rPr>
          <w:rFonts w:ascii="Times New Roman" w:hAnsi="Times New Roman"/>
          <w:color w:val="000000"/>
          <w:sz w:val="20"/>
        </w:rPr>
        <w:t>” means the quotient obtained by dividing (a) the Company Merger Shares by (b) the Company Outstanding Shares, rounded to four decimal places.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Existing Severance Plan</w:t>
      </w:r>
      <w:r>
        <w:rPr>
          <w:rFonts w:ascii="Times New Roman" w:hAnsi="Times New Roman"/>
          <w:color w:val="000000"/>
          <w:sz w:val="20"/>
        </w:rPr>
        <w:t xml:space="preserve">” has the meaning set forth in </w:t>
      </w:r>
      <w:r>
        <w:rPr>
          <w:rFonts w:ascii="Times New Roman" w:hAnsi="Times New Roman"/>
          <w:color w:val="000000"/>
          <w:sz w:val="20"/>
          <w:u w:val="single"/>
        </w:rPr>
        <w:t>Section 4.4(b)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First Certificate of Merger</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First Effective Time</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First Merger</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First Merger Sub</w:t>
      </w:r>
      <w:r>
        <w:rPr>
          <w:rFonts w:ascii="Times New Roman" w:hAnsi="Times New Roman"/>
          <w:color w:val="000000"/>
          <w:sz w:val="20"/>
        </w:rPr>
        <w:t>” has the meaning set forth in the Preamble.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First Merger Sub Board</w:t>
      </w:r>
      <w:r>
        <w:rPr>
          <w:rFonts w:ascii="Times New Roman" w:hAnsi="Times New Roman"/>
          <w:color w:val="000000"/>
          <w:sz w:val="20"/>
        </w:rPr>
        <w:t>” means the board of directors of First Merger Sub.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First Step Surviving Corporation</w:t>
      </w:r>
      <w:r>
        <w:rPr>
          <w:rFonts w:ascii="Times New Roman" w:hAnsi="Times New Roman"/>
          <w:color w:val="000000"/>
          <w:sz w:val="20"/>
        </w:rPr>
        <w:t xml:space="preserve">” has the meaning set forth in </w:t>
      </w:r>
      <w:r>
        <w:rPr>
          <w:rFonts w:ascii="Times New Roman" w:hAnsi="Times New Roman"/>
          <w:color w:val="000000"/>
          <w:sz w:val="20"/>
          <w:u w:val="single"/>
        </w:rPr>
        <w:t>Section 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FLSA</w:t>
      </w:r>
      <w:r>
        <w:rPr>
          <w:rFonts w:ascii="Times New Roman" w:hAnsi="Times New Roman"/>
          <w:color w:val="000000"/>
          <w:sz w:val="20"/>
        </w:rPr>
        <w:t xml:space="preserve">” has the meaning set forth in </w:t>
      </w:r>
      <w:r>
        <w:rPr>
          <w:rFonts w:ascii="Times New Roman" w:hAnsi="Times New Roman"/>
          <w:color w:val="000000"/>
          <w:sz w:val="20"/>
          <w:u w:val="single"/>
        </w:rPr>
        <w:t>Section 2.17(n)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GAAP</w:t>
      </w:r>
      <w:r>
        <w:rPr>
          <w:rFonts w:ascii="Times New Roman" w:hAnsi="Times New Roman"/>
          <w:color w:val="000000"/>
          <w:sz w:val="20"/>
        </w:rPr>
        <w:t>” means generally accepted accounting principles and practices in effect from time to time within the United States applied consistently throughout the period involved.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Governmental Authorization</w:t>
      </w:r>
      <w:r>
        <w:rPr>
          <w:rFonts w:ascii="Times New Roman" w:hAnsi="Times New Roman"/>
          <w:color w:val="000000"/>
          <w:sz w:val="20"/>
        </w:rPr>
        <w:t>” means any: (a) permit, license, certificate, franchise, permission, variance, exception, approval, exemption, order, clearance, registration, qualification or authorization issued, granted, given or otherwise made available by or under the authority of any Governmental Body or pursuant to any Law; or (b) right under any Contract with any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Governmental Body</w:t>
      </w:r>
      <w:r>
        <w:rPr>
          <w:rFonts w:ascii="Times New Roman" w:hAnsi="Times New Roman"/>
          <w:color w:val="000000"/>
          <w:sz w:val="20"/>
        </w:rPr>
        <w:t>” means any: (a) nation, state, commonwealth, province, territory, county, municipality, district or other jurisdiction of any nature; (b) federal, state, local, municipal, foreign or other government; (c) 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Hazardous Materials</w:t>
      </w:r>
      <w:r>
        <w:rPr>
          <w:rFonts w:ascii="Times New Roman" w:hAnsi="Times New Roman"/>
          <w:color w:val="000000"/>
          <w:sz w:val="20"/>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Intellectual Property Rights</w:t>
      </w:r>
      <w:r>
        <w:rPr>
          <w:rFonts w:ascii="Times New Roman" w:hAnsi="Times New Roman"/>
          <w:color w:val="000000"/>
          <w:sz w:val="20"/>
        </w:rPr>
        <w:t>”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privacy and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Intended Tax Treatment</w:t>
      </w:r>
      <w:r>
        <w:rPr>
          <w:rFonts w:ascii="Times New Roman" w:hAnsi="Times New Roman"/>
          <w:color w:val="000000"/>
          <w:sz w:val="20"/>
        </w:rPr>
        <w:t xml:space="preserve">” has the meaning set forth in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Investor Agreements</w:t>
      </w:r>
      <w:r>
        <w:rPr>
          <w:rFonts w:ascii="Times New Roman" w:hAnsi="Times New Roman"/>
          <w:color w:val="000000"/>
          <w:sz w:val="20"/>
        </w:rPr>
        <w:t xml:space="preserve">” has the meaning set forth in </w:t>
      </w:r>
      <w:r>
        <w:rPr>
          <w:rFonts w:ascii="Times New Roman" w:hAnsi="Times New Roman"/>
          <w:color w:val="000000"/>
          <w:sz w:val="20"/>
          <w:u w:val="single"/>
        </w:rPr>
        <w:t>Section 2.21(b)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Investors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IRS</w:t>
      </w:r>
      <w:r>
        <w:rPr>
          <w:rFonts w:ascii="Times New Roman" w:hAnsi="Times New Roman"/>
          <w:color w:val="000000"/>
          <w:sz w:val="20"/>
        </w:rPr>
        <w:t>” means the United States Internal Revenue Service.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officer of such Person as of the date such knowledge is imputed has Knowledge of such fact or other matter.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Law</w:t>
      </w:r>
      <w:r>
        <w:rPr>
          <w:rFonts w:ascii="Times New Roman" w:hAnsi="Times New Roman"/>
          <w:color w:val="000000"/>
          <w:sz w:val="20"/>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Legal Proceeding</w:t>
      </w:r>
      <w:r>
        <w:rPr>
          <w:rFonts w:ascii="Times New Roman" w:hAnsi="Times New Roman"/>
          <w:color w:val="000000"/>
          <w:sz w:val="20"/>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Liability</w:t>
      </w:r>
      <w:r>
        <w:rPr>
          <w:rFonts w:ascii="Times New Roman" w:hAnsi="Times New Roman"/>
          <w:color w:val="000000"/>
          <w:sz w:val="20"/>
        </w:rPr>
        <w:t xml:space="preserve">” has the meaning set forth in </w:t>
      </w:r>
      <w:r>
        <w:rPr>
          <w:rFonts w:ascii="Times New Roman" w:hAnsi="Times New Roman"/>
          <w:color w:val="000000"/>
          <w:sz w:val="20"/>
          <w:u w:val="single"/>
        </w:rPr>
        <w:t>Section 2.9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Lock-Up Agreement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M2 Inc.</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M2 LLC</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M2 SAFEs</w:t>
      </w:r>
      <w:r>
        <w:rPr>
          <w:rFonts w:ascii="Times New Roman" w:hAnsi="Times New Roman"/>
          <w:color w:val="000000"/>
          <w:sz w:val="20"/>
        </w:rPr>
        <w:t>” means the Simple Agreements for Future Equity issued by M2 Inc. to one or more investors that are outstanding immediately prior to the effective time of the Recombination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Merger</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Merger Consideration</w:t>
      </w:r>
      <w:r>
        <w:rPr>
          <w:rFonts w:ascii="Times New Roman" w:hAnsi="Times New Roman"/>
          <w:color w:val="000000"/>
          <w:sz w:val="20"/>
        </w:rPr>
        <w:t xml:space="preserve">” has the meaning set forth in </w:t>
      </w:r>
      <w:r>
        <w:rPr>
          <w:rFonts w:ascii="Times New Roman" w:hAnsi="Times New Roman"/>
          <w:color w:val="000000"/>
          <w:sz w:val="20"/>
          <w:u w:val="single"/>
        </w:rPr>
        <w:t>Section 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Merger Subs</w:t>
      </w:r>
      <w:r>
        <w:rPr>
          <w:rFonts w:ascii="Times New Roman" w:hAnsi="Times New Roman"/>
          <w:color w:val="000000"/>
          <w:sz w:val="20"/>
        </w:rPr>
        <w:t>” has the meaning set forth in the Preamble.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Nasdaq</w:t>
      </w:r>
      <w:r>
        <w:rPr>
          <w:rFonts w:ascii="Times New Roman" w:hAnsi="Times New Roman"/>
          <w:color w:val="000000"/>
          <w:sz w:val="20"/>
        </w:rPr>
        <w:t>” means the Nasdaq Stock Market, including the Nasdaq Capital Market or such other Nasdaq market on which shares of Parent Common Stock are then listed.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Nasdaq Listing Application</w:t>
      </w:r>
      <w:r>
        <w:rPr>
          <w:rFonts w:ascii="Times New Roman" w:hAnsi="Times New Roman"/>
          <w:color w:val="000000"/>
          <w:sz w:val="20"/>
        </w:rPr>
        <w:t xml:space="preserve">” has the meaning set forth in </w:t>
      </w:r>
      <w:r>
        <w:rPr>
          <w:rFonts w:ascii="Times New Roman" w:hAnsi="Times New Roman"/>
          <w:color w:val="000000"/>
          <w:sz w:val="20"/>
          <w:u w:val="single"/>
        </w:rPr>
        <w:t>Section 4.7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Nasdaq Reverse Split</w:t>
      </w:r>
      <w:r>
        <w:rPr>
          <w:rFonts w:ascii="Times New Roman" w:hAnsi="Times New Roman"/>
          <w:color w:val="000000"/>
          <w:sz w:val="20"/>
        </w:rPr>
        <w:t>” means a reverse stock split of all outstanding shares of Parent Common Stock at a reverse stock split ratio to be reasonably determined by Parent for the purpose of maintaining compliance with Nasdaq listing standards.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OFAC</w:t>
      </w:r>
      <w:r>
        <w:rPr>
          <w:rFonts w:ascii="Times New Roman" w:hAnsi="Times New Roman"/>
          <w:color w:val="000000"/>
          <w:sz w:val="20"/>
        </w:rPr>
        <w:t xml:space="preserve">” has the meaning set forth in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Ordinary Course of Business</w:t>
      </w:r>
      <w:r>
        <w:rPr>
          <w:rFonts w:ascii="Times New Roman" w:hAnsi="Times New Roman"/>
          <w:color w:val="000000"/>
          <w:sz w:val="20"/>
        </w:rPr>
        <w:t>” means, in the case of each of the Company and Parent, such actions taken in the ordinary course of its normal operations and consistent with its past practices or, with respect to the Company, the customary practices of a recently formed company at a similar stage of development.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Organizational Documents</w:t>
      </w:r>
      <w:r>
        <w:rPr>
          <w:rFonts w:ascii="Times New Roman" w:hAnsi="Times New Roman"/>
          <w:color w:val="000000"/>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w:t>
      </w:r>
      <w:r>
        <w:rPr>
          <w:rFonts w:ascii="Times New Roman" w:hAnsi="Times New Roman"/>
          <w:color w:val="000000"/>
          <w:sz w:val="20"/>
        </w:rPr>
        <w:t>” has the meaning set forth in the Preamble.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Allocation Percentage</w:t>
      </w:r>
      <w:r>
        <w:rPr>
          <w:rFonts w:ascii="Times New Roman" w:hAnsi="Times New Roman"/>
          <w:color w:val="000000"/>
          <w:sz w:val="20"/>
        </w:rPr>
        <w:t>” means the quotient determined by dividing (a) the Parent Valuation by (b) the Aggregate Valuation.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Associate</w:t>
      </w:r>
      <w:r>
        <w:rPr>
          <w:rFonts w:ascii="Times New Roman" w:hAnsi="Times New Roman"/>
          <w:color w:val="000000"/>
          <w:sz w:val="20"/>
        </w:rPr>
        <w:t>” means any current or former employee, independent contractor, officer or director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Balance Sheet</w:t>
      </w:r>
      <w:r>
        <w:rPr>
          <w:rFonts w:ascii="Times New Roman" w:hAnsi="Times New Roman"/>
          <w:color w:val="000000"/>
          <w:sz w:val="20"/>
        </w:rPr>
        <w:t>” means the unaudited balance sheet of Parent as of June 30, 2026 (the “</w:t>
      </w:r>
      <w:r>
        <w:rPr>
          <w:rFonts w:ascii="Times New Roman" w:hAnsi="Times New Roman"/>
          <w:b/>
          <w:i/>
          <w:color w:val="000000"/>
          <w:sz w:val="20"/>
        </w:rPr>
        <w:t>Parent Balance Sheet Date</w:t>
      </w:r>
      <w:r>
        <w:rPr>
          <w:rFonts w:ascii="Times New Roman" w:hAnsi="Times New Roman"/>
          <w:color w:val="000000"/>
          <w:sz w:val="20"/>
        </w:rPr>
        <w:t>”) provided to the Company prior to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Benefit Plan</w:t>
      </w:r>
      <w:r>
        <w:rPr>
          <w:rFonts w:ascii="Times New Roman" w:hAnsi="Times New Roman"/>
          <w:color w:val="000000"/>
          <w:sz w:val="20"/>
        </w:rPr>
        <w:t xml:space="preserve">” has the meaning set forth in </w:t>
      </w:r>
      <w:r>
        <w:rPr>
          <w:rFonts w:ascii="Times New Roman" w:hAnsi="Times New Roman"/>
          <w:color w:val="000000"/>
          <w:sz w:val="20"/>
          <w:u w:val="single"/>
        </w:rPr>
        <w:t>Section 3.17(a)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Board</w:t>
      </w:r>
      <w:r>
        <w:rPr>
          <w:rFonts w:ascii="Times New Roman" w:hAnsi="Times New Roman"/>
          <w:color w:val="000000"/>
          <w:sz w:val="20"/>
        </w:rPr>
        <w:t>” means the board of directors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Data</w:t>
      </w:r>
      <w:r>
        <w:rPr>
          <w:rFonts w:ascii="Times New Roman" w:hAnsi="Times New Roman"/>
          <w:color w:val="000000"/>
          <w:sz w:val="20"/>
        </w:rPr>
        <w:t>” means all individually identifiable data and information Processed by or for Parent or any of its Subsidiaries that is subject to regulation under applicable Privacy and Data Processing Requirements.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Common Stock</w:t>
      </w:r>
      <w:r>
        <w:rPr>
          <w:rFonts w:ascii="Times New Roman" w:hAnsi="Times New Roman"/>
          <w:color w:val="000000"/>
          <w:sz w:val="20"/>
        </w:rPr>
        <w:t>” means the Common Stock, $0.001 par value per share,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Common Stock Consideration Cap</w:t>
      </w:r>
      <w:r>
        <w:rPr>
          <w:rFonts w:ascii="Times New Roman" w:hAnsi="Times New Roman"/>
          <w:color w:val="000000"/>
          <w:sz w:val="20"/>
        </w:rPr>
        <w:t xml:space="preserve">” has the meaning set forth in </w:t>
      </w:r>
      <w:r>
        <w:rPr>
          <w:rFonts w:ascii="Times New Roman" w:hAnsi="Times New Roman"/>
          <w:color w:val="000000"/>
          <w:sz w:val="20"/>
          <w:u w:val="single"/>
        </w:rPr>
        <w:t>Section 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Common Stock Payment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Contract</w:t>
      </w:r>
      <w:r>
        <w:rPr>
          <w:rFonts w:ascii="Times New Roman" w:hAnsi="Times New Roman"/>
          <w:color w:val="000000"/>
          <w:sz w:val="20"/>
        </w:rPr>
        <w:t>”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Covered Person</w:t>
      </w:r>
      <w:r>
        <w:rPr>
          <w:rFonts w:ascii="Times New Roman" w:hAnsi="Times New Roman"/>
          <w:color w:val="000000"/>
          <w:sz w:val="20"/>
        </w:rPr>
        <w:t>” means, with respect to Parent as an “issuer” for purposes of Rule 506 promulgated under the Securities Act, any Person listed in the first paragraph of Rule 506(d)(1).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Disclosure Schedule</w:t>
      </w:r>
      <w:r>
        <w:rPr>
          <w:rFonts w:ascii="Times New Roman" w:hAnsi="Times New Roman"/>
          <w:color w:val="000000"/>
          <w:sz w:val="20"/>
        </w:rPr>
        <w:t xml:space="preserve">” has the meaning set forth in </w:t>
      </w:r>
      <w:r>
        <w:rPr>
          <w:rFonts w:ascii="Times New Roman" w:hAnsi="Times New Roman"/>
          <w:color w:val="000000"/>
          <w:sz w:val="20"/>
          <w:u w:val="single"/>
        </w:rPr>
        <w:t>Section 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w:t>
      </w:r>
      <w:r>
        <w:rPr>
          <w:rFonts w:ascii="Times New Roman" w:hAnsi="Times New Roman"/>
          <w:color w:val="000000"/>
          <w:sz w:val="20"/>
        </w:rPr>
        <w:t> </w:t>
      </w:r>
      <w:r>
        <w:rPr>
          <w:rFonts w:ascii="Times New Roman" w:hAnsi="Times New Roman"/>
          <w:b/>
          <w:i/>
          <w:color w:val="000000"/>
          <w:sz w:val="20"/>
        </w:rPr>
        <w:t>ERISA Affiliate</w:t>
      </w:r>
      <w:r>
        <w:rPr>
          <w:rFonts w:ascii="Times New Roman" w:hAnsi="Times New Roman"/>
          <w:color w:val="000000"/>
          <w:sz w:val="20"/>
        </w:rPr>
        <w:t>” means any corporation or trade or business (whether or not incorporated) which is (or at any relevant time was) treated with Parent or any of its Subsidiaries as a single employer within the meaning of Section 414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In-bound License</w:t>
      </w:r>
      <w:r>
        <w:rPr>
          <w:rFonts w:ascii="Times New Roman" w:hAnsi="Times New Roman"/>
          <w:color w:val="000000"/>
          <w:sz w:val="20"/>
        </w:rPr>
        <w:t xml:space="preserve">” has the meaning set forth in </w:t>
      </w:r>
      <w:r>
        <w:rPr>
          <w:rFonts w:ascii="Times New Roman" w:hAnsi="Times New Roman"/>
          <w:color w:val="000000"/>
          <w:sz w:val="20"/>
          <w:u w:val="single"/>
        </w:rPr>
        <w:t>Section 3.12(d)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IP</w:t>
      </w:r>
      <w:r>
        <w:rPr>
          <w:rFonts w:ascii="Times New Roman" w:hAnsi="Times New Roman"/>
          <w:color w:val="000000"/>
          <w:sz w:val="20"/>
        </w:rPr>
        <w:t>” means all Intellectual Property Rights that are owned or purported to be owned by, assigned to, or exclusively licensed by, Parent or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Material Adverse Effect</w:t>
      </w:r>
      <w:r>
        <w:rPr>
          <w:rFonts w:ascii="Times New Roman" w:hAnsi="Times New Roman"/>
          <w:color w:val="000000"/>
          <w:sz w:val="20"/>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Effects arising or resulting from the following shall not be taken into account in determining whether there has been a Parent Material Adverse Effect: (a) general economic conditions (or changes therein), including any changes affecting financial, credit or capital market conditions, changes in interest or exchange rates or the suspension of trading in securities (whether equity, debt, derivative or hybrid securities) generally on any securities exchange or over-the-counter market, (b) conditions (or changes therein) in any industry or industries in which the Parent and its Subsidiaries operate, (c) political, geopolitical and/or regulatory conditions (or changes therein), including trade disputes or the imposition of trade restrictions, tariffs or similar Taxes, sanctions, the occurrence or the escalation or worsening of any acts of terrorism (including cyberterrorism and cyberterrorism data breaches), sabotage, war, civil disobedience or civil unrest, (d) any change in GAAP or interpretation thereof by any Governmental Body, (e) any change in applicable Law or interpretation thereof by any Governmental Body, (f) any actions taken expressly required by, or the failure to take any action expressly prohibited by, the terms of this Agreement or at the written request or with the written consent of Parent, First Merger Sub or Second Merger Sub and any Effect directly attributable to the negotiation, execution or announcement of this Agreement and the transactions contemplated hereby (including the Merger), including any litigation arising therefrom (including any litigation arising from allegations of a breach of duty or violation of applicable Law), and any adverse change in customer, employee (including employee departures), supplier, financing source, lessee, licensor, licensee, sub-licensee, stockholder, joint venture partner or similar relationship resulting therefrom, including as a result of the identity of the Company (except that this clause (f) shall not apply with respect to any representation or warranty of the Parent in this Agreement that is intended to address the consequences of the execution of this Agreement or the consummation of the transactions contemplated by this Agreement), (g) changes in the price or trading volume of the Parent Common Stock (it being understood that the facts or occurrences giving rise or contributing to such changes that are not otherwise excluded from the definition of a “Parent Material Adverse Effect” may be taken into account), (h) any failure by the Parent to meet any internal or published projections, estimates or expectations of the Parent’s revenue, earnings or other financial performance or results of operations for any period (it being understood that the facts or occurrences giving rise or contributing to such failure that are not otherwise excluded from the definition of a “Parent Material Adverse Effect” may be taken into account), (i) earthquakes, tornados, hurricanes, floods, mudslides, wild fires or other weather conditions or natural calamities, including any worsening of such conditions, (j) pandemics, epidemics, disease outbreak or other public health crisis or event, including any worsening of such conditions, and (k) any reduction in the credit rating of the Parent or its Subsidiaries (it being understood that the facts or occurrences giving rise or contributing to such reduction or any consequences resulting from such reduction that are not otherwise excluded from the definition of a “Parent Material Adverse Effect” may be taken into account); provided that any Effect described in clauses (a), (b), (c), (d), (e), (i) or (j) may be taken into account in determining whether there has been, or would reasonably be expected to be, a Parent Material Adverse Effect to the extent such Effect has a materially disproportionate adverse effect on the Parent and its Subsidiaries, taken as a whole, relative to other similarly situated participants in the industries in which the Parent and its Subsidiaries operate, and in the case of clauses (i) or (j), in the geographic regions in the United States in which the Parent and its Subsidiaries operate or own or lease properties (in which case only the incremental disproportionate adverse effect may be taken into account in determining whether there has been, or would reasonably be expected to be, a Parent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Material Contract(s)</w:t>
      </w:r>
      <w:r>
        <w:rPr>
          <w:rFonts w:ascii="Times New Roman" w:hAnsi="Times New Roman"/>
          <w:color w:val="000000"/>
          <w:sz w:val="20"/>
        </w:rPr>
        <w:t xml:space="preserve">” has the meaning set forth in </w:t>
      </w:r>
      <w:r>
        <w:rPr>
          <w:rFonts w:ascii="Times New Roman" w:hAnsi="Times New Roman"/>
          <w:color w:val="000000"/>
          <w:sz w:val="20"/>
          <w:u w:val="single"/>
        </w:rPr>
        <w:t>Section 3.13(a)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Net Cash</w:t>
      </w:r>
      <w:r>
        <w:rPr>
          <w:rFonts w:ascii="Times New Roman" w:hAnsi="Times New Roman"/>
          <w:color w:val="000000"/>
          <w:sz w:val="20"/>
        </w:rPr>
        <w:t xml:space="preserve">” means, with respect to Parent, (without duplication) in each case as of the Determination Time and as determined in accordance with GAAP: (a) the unrestricted free cash and cash equivalents and marketable securities, accounts, interest and other receivables (to the extent determined to be collectible) and deposits (to the extent refundable to Parent); </w:t>
      </w:r>
      <w:r>
        <w:rPr>
          <w:rFonts w:ascii="Times New Roman" w:hAnsi="Times New Roman"/>
          <w:color w:val="000000"/>
          <w:sz w:val="20"/>
          <w:u w:val="single"/>
        </w:rPr>
        <w:t>minus</w:t>
      </w:r>
      <w:r>
        <w:rPr>
          <w:rFonts w:ascii="Times New Roman" w:hAnsi="Times New Roman"/>
          <w:color w:val="000000"/>
          <w:sz w:val="20"/>
        </w:rPr>
        <w:t xml:space="preserve"> (b) total short- and long-term liabilities (whether absolute, contingent, accrued, matured, or unmatured) outstanding (including fees and expenses incurred with respect to the transactions contemplated by this Agreement, accounts payable and accrued expenses, costs associated with obtaining the D&amp;O Tail Policy pursuant to </w:t>
      </w:r>
      <w:r>
        <w:rPr>
          <w:rFonts w:ascii="Times New Roman" w:hAnsi="Times New Roman"/>
          <w:color w:val="000000"/>
          <w:sz w:val="20"/>
          <w:u w:val="single"/>
        </w:rPr>
        <w:t>Section 4.5(d)</w:t>
      </w:r>
      <w:r>
        <w:rPr>
          <w:rFonts w:ascii="Times New Roman" w:hAnsi="Times New Roman"/>
          <w:color w:val="000000"/>
          <w:sz w:val="20"/>
        </w:rPr>
        <w:t xml:space="preserve">, lease termination costs (if any), notice payments, fines or other payments to be made by Parent in order to terminate any existing agreement to which Parent is a party, fees and expenses incurred with respect to the matters set forth on </w:t>
      </w:r>
      <w:r>
        <w:rPr>
          <w:rFonts w:ascii="Times New Roman" w:hAnsi="Times New Roman"/>
          <w:color w:val="000000"/>
          <w:sz w:val="20"/>
          <w:u w:val="single"/>
        </w:rPr>
        <w:t>Section A-3</w:t>
      </w:r>
      <w:r>
        <w:rPr>
          <w:rFonts w:ascii="Times New Roman" w:hAnsi="Times New Roman"/>
          <w:color w:val="000000"/>
          <w:sz w:val="20"/>
        </w:rPr>
        <w:t xml:space="preserve"> of the Parent Disclosure Schedule); </w:t>
      </w:r>
      <w:r>
        <w:rPr>
          <w:rFonts w:ascii="Times New Roman" w:hAnsi="Times New Roman"/>
          <w:color w:val="000000"/>
          <w:sz w:val="20"/>
          <w:u w:val="single"/>
        </w:rPr>
        <w:t>minus</w:t>
      </w:r>
      <w:r>
        <w:rPr>
          <w:rFonts w:ascii="Times New Roman" w:hAnsi="Times New Roman"/>
          <w:color w:val="000000"/>
          <w:sz w:val="20"/>
        </w:rPr>
        <w:t xml:space="preserve"> (c) the cost of change in control payments and severance to employees (including associated payroll taxes) that are to be paid by Parent in connection with, or at the time of, the Closing, including in connection with the termination of its then employees (if any), in a manner consistent with </w:t>
      </w:r>
      <w:r>
        <w:rPr>
          <w:rFonts w:ascii="Times New Roman" w:hAnsi="Times New Roman"/>
          <w:b/>
          <w:color w:val="000000"/>
          <w:sz w:val="20"/>
        </w:rPr>
        <w:t>Exhibit G</w:t>
      </w:r>
      <w:r>
        <w:rPr>
          <w:rFonts w:ascii="Times New Roman" w:hAnsi="Times New Roman"/>
          <w:color w:val="000000"/>
          <w:sz w:val="20"/>
        </w:rPr>
        <w:t xml:space="preserve"> attached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Options</w:t>
      </w:r>
      <w:r>
        <w:rPr>
          <w:rFonts w:ascii="Times New Roman" w:hAnsi="Times New Roman"/>
          <w:color w:val="000000"/>
          <w:sz w:val="20"/>
        </w:rPr>
        <w:t>” means options or other rights to purchase shares of Parent Common Stock issued by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Out-bound License</w:t>
      </w:r>
      <w:r>
        <w:rPr>
          <w:rFonts w:ascii="Times New Roman" w:hAnsi="Times New Roman"/>
          <w:color w:val="000000"/>
          <w:sz w:val="20"/>
        </w:rPr>
        <w:t xml:space="preserve">” has the meaning set forth in </w:t>
      </w:r>
      <w:r>
        <w:rPr>
          <w:rFonts w:ascii="Times New Roman" w:hAnsi="Times New Roman"/>
          <w:color w:val="000000"/>
          <w:sz w:val="20"/>
          <w:u w:val="single"/>
        </w:rPr>
        <w:t>Section 3.12(d)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Outstanding Shares</w:t>
      </w:r>
      <w:r>
        <w:rPr>
          <w:rFonts w:ascii="Times New Roman" w:hAnsi="Times New Roman"/>
          <w:color w:val="000000"/>
          <w:sz w:val="20"/>
        </w:rPr>
        <w:t>” means the total number of shares of Parent Common Stock outstanding immediately prior to the First Effective Time expressed on a fully diluted basis and as-converted to Parent Common Stock on a “treasury method” basis, assuming, without limitation or duplication, the issuance of shares of Parent Common Stock in respect of all Parent Series B Convertible Preferred Stock, Parent Options, Parent RSUs, any investment banking fees in respect of the transactions contemplated by this Agreement that are payable and will be paid in the form of shares of Parent Common Stock at the Closing, or other rights to receive shares, whether conditional or unconditional, that will be outstanding as of immediately prior to the First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Outstanding Shares Certificate</w:t>
      </w:r>
      <w:r>
        <w:rPr>
          <w:rFonts w:ascii="Times New Roman" w:hAnsi="Times New Roman"/>
          <w:color w:val="000000"/>
          <w:sz w:val="20"/>
        </w:rPr>
        <w:t xml:space="preserve">” has the meaning set forth in </w:t>
      </w:r>
      <w:r>
        <w:rPr>
          <w:rFonts w:ascii="Times New Roman" w:hAnsi="Times New Roman"/>
          <w:color w:val="000000"/>
          <w:sz w:val="20"/>
          <w:u w:val="single"/>
        </w:rPr>
        <w:t>Section 4.13(b)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Permits</w:t>
      </w:r>
      <w:r>
        <w:rPr>
          <w:rFonts w:ascii="Times New Roman" w:hAnsi="Times New Roman"/>
          <w:color w:val="000000"/>
          <w:sz w:val="20"/>
        </w:rPr>
        <w:t xml:space="preserve">” has the meaning set forth in </w:t>
      </w:r>
      <w:r>
        <w:rPr>
          <w:rFonts w:ascii="Times New Roman" w:hAnsi="Times New Roman"/>
          <w:color w:val="000000"/>
          <w:sz w:val="20"/>
          <w:u w:val="single"/>
        </w:rPr>
        <w:t>Section 3.14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Preferred Stock Payment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Real Estate Leases</w:t>
      </w:r>
      <w:r>
        <w:rPr>
          <w:rFonts w:ascii="Times New Roman" w:hAnsi="Times New Roman"/>
          <w:color w:val="000000"/>
          <w:sz w:val="20"/>
        </w:rPr>
        <w:t xml:space="preserve">” has the meaning set forth in </w:t>
      </w:r>
      <w:r>
        <w:rPr>
          <w:rFonts w:ascii="Times New Roman" w:hAnsi="Times New Roman"/>
          <w:color w:val="000000"/>
          <w:sz w:val="20"/>
          <w:u w:val="single"/>
        </w:rPr>
        <w:t>Section 3.11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RSUs</w:t>
      </w:r>
      <w:r>
        <w:rPr>
          <w:rFonts w:ascii="Times New Roman" w:hAnsi="Times New Roman"/>
          <w:color w:val="000000"/>
          <w:sz w:val="20"/>
        </w:rPr>
        <w:t>” means any restricted stock unit award granted pursuant to the Parent Stock Plans.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SEC Documents</w:t>
      </w:r>
      <w:r>
        <w:rPr>
          <w:rFonts w:ascii="Times New Roman" w:hAnsi="Times New Roman"/>
          <w:color w:val="000000"/>
          <w:sz w:val="20"/>
        </w:rPr>
        <w:t xml:space="preserve">” has the meaning set forth in </w:t>
      </w:r>
      <w:r>
        <w:rPr>
          <w:rFonts w:ascii="Times New Roman" w:hAnsi="Times New Roman"/>
          <w:color w:val="000000"/>
          <w:sz w:val="20"/>
          <w:u w:val="single"/>
        </w:rPr>
        <w:t>Section 3.7(a)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Series B Convertible Preferred Stock</w:t>
      </w:r>
      <w:r>
        <w:rPr>
          <w:rFonts w:ascii="Times New Roman" w:hAnsi="Times New Roman"/>
          <w:color w:val="000000"/>
          <w:sz w:val="20"/>
        </w:rPr>
        <w:t>” means Parent’s convertible preferred stock, par value $0.01 per share, with the rights, preferences, powers and privileges specified in the Series B Certificate of Designation.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Series C Convertible Preferred Stock</w:t>
      </w:r>
      <w:r>
        <w:rPr>
          <w:rFonts w:ascii="Times New Roman" w:hAnsi="Times New Roman"/>
          <w:color w:val="000000"/>
          <w:sz w:val="20"/>
        </w:rPr>
        <w:t>” means Parent’s non-voting convertible preferred stock, par value $0.01 per share, with the rights, preferences, powers and privileges specified in the Series C Certificate of Designation.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Signatories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Stock Plans</w:t>
      </w:r>
      <w:r>
        <w:rPr>
          <w:rFonts w:ascii="Times New Roman" w:hAnsi="Times New Roman"/>
          <w:color w:val="000000"/>
          <w:sz w:val="24"/>
        </w:rPr>
        <w:t xml:space="preserve">” </w:t>
      </w:r>
      <w:r>
        <w:rPr>
          <w:rFonts w:ascii="Times New Roman" w:hAnsi="Times New Roman"/>
          <w:color w:val="000000"/>
          <w:sz w:val="20"/>
        </w:rPr>
        <w:t>means collectively, the 2018 Equity Incentive Compensation Plan, the 2017 Employee Stock Purchase Plan, the 2015 Equity Compensation Plan, the 2009 Stock Option and Incentive Plan, each as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Stockholder Matters</w:t>
      </w:r>
      <w:r>
        <w:rPr>
          <w:rFonts w:ascii="Times New Roman" w:hAnsi="Times New Roman"/>
          <w:color w:val="000000"/>
          <w:sz w:val="20"/>
        </w:rPr>
        <w:t xml:space="preserve">” has the meaning set forth in </w:t>
      </w:r>
      <w:r>
        <w:rPr>
          <w:rFonts w:ascii="Times New Roman" w:hAnsi="Times New Roman"/>
          <w:color w:val="000000"/>
          <w:sz w:val="20"/>
          <w:u w:val="single"/>
        </w:rPr>
        <w:t>Section 4.1(a)(v)</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Stockholders’ Meeting</w:t>
      </w:r>
      <w:r>
        <w:rPr>
          <w:rFonts w:ascii="Times New Roman" w:hAnsi="Times New Roman"/>
          <w:color w:val="000000"/>
          <w:sz w:val="20"/>
        </w:rPr>
        <w:t xml:space="preserve">” has the meaning set forth in </w:t>
      </w:r>
      <w:r>
        <w:rPr>
          <w:rFonts w:ascii="Times New Roman" w:hAnsi="Times New Roman"/>
          <w:color w:val="000000"/>
          <w:sz w:val="20"/>
          <w:u w:val="single"/>
        </w:rPr>
        <w:t>Section 4.1(a)(v)</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Stockholder Support Agreement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Parent Valuation</w:t>
      </w:r>
      <w:r>
        <w:rPr>
          <w:rFonts w:ascii="Times New Roman" w:hAnsi="Times New Roman"/>
          <w:color w:val="000000"/>
          <w:sz w:val="20"/>
        </w:rPr>
        <w:t>” means $14,149,811.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Party</w:t>
      </w:r>
      <w:r>
        <w:rPr>
          <w:rFonts w:ascii="Times New Roman" w:hAnsi="Times New Roman"/>
          <w:color w:val="000000"/>
          <w:sz w:val="20"/>
        </w:rPr>
        <w:t>” or “</w:t>
      </w:r>
      <w:r>
        <w:rPr>
          <w:rFonts w:ascii="Times New Roman" w:hAnsi="Times New Roman"/>
          <w:b/>
          <w:i/>
          <w:color w:val="000000"/>
          <w:sz w:val="20"/>
        </w:rPr>
        <w:t>Parties</w:t>
      </w:r>
      <w:r>
        <w:rPr>
          <w:rFonts w:ascii="Times New Roman" w:hAnsi="Times New Roman"/>
          <w:color w:val="000000"/>
          <w:sz w:val="20"/>
        </w:rPr>
        <w:t>” means the Company, First Merger Sub, Second Merger Sub and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Permitted Encumbrance</w:t>
      </w:r>
      <w:r>
        <w:rPr>
          <w:rFonts w:ascii="Times New Roman" w:hAnsi="Times New Roman"/>
          <w:color w:val="000000"/>
          <w:sz w:val="20"/>
        </w:rPr>
        <w:t>” means: (a) any Encumbrance for current Taxes not yet due and payable or for Taxes that are being contested in good faith and, in each case, for which adequate reserves have been made on the Company Unaudited Interim Balance Sheet or the Parent Balance Sheet, as applicable, in accordance with GAAP; (b) minor liens that have arisen in the Ordinary Course of Business and that do not (in any case or in the aggregate) materially detract from the value of the assets or properties subject thereto or materially impair the operations of the Company or any of its Subsidiaries or Parent, as applicable; (c)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or Parent,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 the payment for which is not delinquent.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means any individual, Entity or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PIPE Investor Registration Rights Agreement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PIPE Financing</w:t>
      </w:r>
      <w:r>
        <w:rPr>
          <w:rFonts w:ascii="Times New Roman" w:hAnsi="Times New Roman"/>
          <w:color w:val="000000"/>
          <w:sz w:val="20"/>
        </w:rPr>
        <w:t>” means an acquisition of shares of Parent Series C Convertible Preferred Stock to be consummated in accordance with the terms of the Securities Purchase Agreement with aggregate gross cash proceeds to Parent of at least the Concurrent Investment Amount.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Post-Closing Parent Shares</w:t>
      </w:r>
      <w:r>
        <w:rPr>
          <w:rFonts w:ascii="Times New Roman" w:hAnsi="Times New Roman"/>
          <w:color w:val="000000"/>
          <w:sz w:val="20"/>
        </w:rPr>
        <w:t>” mean the quotient determined by dividing (a) the Parent Outstanding Shares by (b) the Parent Allocation Percentage.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Post-Closing Plans</w:t>
      </w:r>
      <w:r>
        <w:rPr>
          <w:rFonts w:ascii="Times New Roman" w:hAnsi="Times New Roman"/>
          <w:color w:val="000000"/>
          <w:sz w:val="20"/>
        </w:rPr>
        <w:t xml:space="preserve">” has the meaning set forth in </w:t>
      </w:r>
      <w:r>
        <w:rPr>
          <w:rFonts w:ascii="Times New Roman" w:hAnsi="Times New Roman"/>
          <w:color w:val="000000"/>
          <w:sz w:val="20"/>
          <w:u w:val="single"/>
        </w:rPr>
        <w:t>Section 4.4(a)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Pre-Closing Recombination</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Preferred Exchange Ratio</w:t>
      </w:r>
      <w:r>
        <w:rPr>
          <w:rFonts w:ascii="Times New Roman" w:hAnsi="Times New Roman"/>
          <w:color w:val="000000"/>
          <w:sz w:val="20"/>
        </w:rPr>
        <w:t>” means (i) the Exchange Ratio divided by (ii) 1,000.</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Preferred Stock Conversion Proposal</w:t>
      </w:r>
      <w:r>
        <w:rPr>
          <w:rFonts w:ascii="Times New Roman" w:hAnsi="Times New Roman"/>
          <w:color w:val="000000"/>
          <w:sz w:val="20"/>
        </w:rPr>
        <w:t xml:space="preserve">” has the meaning set forth in </w:t>
      </w:r>
      <w:r>
        <w:rPr>
          <w:rFonts w:ascii="Times New Roman" w:hAnsi="Times New Roman"/>
          <w:color w:val="000000"/>
          <w:sz w:val="20"/>
          <w:u w:val="single"/>
        </w:rPr>
        <w:t>Section 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Privacy and Data Processing Requirements</w:t>
      </w:r>
      <w:r>
        <w:rPr>
          <w:rFonts w:ascii="Times New Roman" w:hAnsi="Times New Roman"/>
          <w:color w:val="000000"/>
          <w:sz w:val="20"/>
        </w:rPr>
        <w:t>” means any applicable (i) Law relating to privacy, data protection, or security, (ii) Data Processing Policy, or (iii) requirement of any self-regulatory organization, industry standard (including, as applicable, the Payment Card Industry Data Security Standard), or Contract by which the Company, Parent or their respective Subsidiaries are legally bound relating to the Processing of Company Data or Parent Data (as applicable), privacy, data protection, or security, including, in each case of (i) through (iii), in connection with direct marketing or the initiation, transmission, monitoring, interception, recording, or receipt of communications.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Process</w:t>
      </w:r>
      <w:r>
        <w:rPr>
          <w:rFonts w:ascii="Times New Roman" w:hAnsi="Times New Roman"/>
          <w:color w:val="000000"/>
          <w:sz w:val="20"/>
        </w:rPr>
        <w:t>” means, with respect to any data, information, or information technology system,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Proxy Solicitor</w:t>
      </w:r>
      <w:r>
        <w:rPr>
          <w:rFonts w:ascii="Times New Roman" w:hAnsi="Times New Roman"/>
          <w:color w:val="000000"/>
          <w:sz w:val="20"/>
        </w:rPr>
        <w:t xml:space="preserve">” has the meaning set forth in </w:t>
      </w:r>
      <w:r>
        <w:rPr>
          <w:rFonts w:ascii="Times New Roman" w:hAnsi="Times New Roman"/>
          <w:color w:val="000000"/>
          <w:sz w:val="20"/>
          <w:u w:val="single"/>
        </w:rPr>
        <w:t>Section 4.1(c)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Proxy Statement</w:t>
      </w:r>
      <w:r>
        <w:rPr>
          <w:rFonts w:ascii="Times New Roman" w:hAnsi="Times New Roman"/>
          <w:color w:val="000000"/>
          <w:sz w:val="20"/>
        </w:rPr>
        <w:t xml:space="preserve">” has the meaning set forth in </w:t>
      </w:r>
      <w:r>
        <w:rPr>
          <w:rFonts w:ascii="Times New Roman" w:hAnsi="Times New Roman"/>
          <w:color w:val="000000"/>
          <w:sz w:val="20"/>
          <w:u w:val="single"/>
        </w:rPr>
        <w:t>Section 4.2(a)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Reference Date</w:t>
      </w:r>
      <w:r>
        <w:rPr>
          <w:rFonts w:ascii="Times New Roman" w:hAnsi="Times New Roman"/>
          <w:color w:val="000000"/>
          <w:sz w:val="20"/>
        </w:rPr>
        <w:t>” means the last Business Day prior to the date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Registered IP</w:t>
      </w:r>
      <w:r>
        <w:rPr>
          <w:rFonts w:ascii="Times New Roman" w:hAnsi="Times New Roman"/>
          <w:color w:val="000000"/>
          <w:sz w:val="20"/>
        </w:rPr>
        <w:t>” means all Intellectual Property Rights that are registered or issued under the authority of, with or by any Governmental Body, including all patents, registered copyrights, registered mask works, and registered trademarks, service marks and trade dress, and all applications for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Registration Rights Agreements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Representatives</w:t>
      </w:r>
      <w:r>
        <w:rPr>
          <w:rFonts w:ascii="Times New Roman" w:hAnsi="Times New Roman"/>
          <w:color w:val="000000"/>
          <w:sz w:val="20"/>
        </w:rPr>
        <w:t>” means directors, officers, employees, agents, attorneys, accountants, investment bankers, advisors and representatives.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Required Company Stockholder Vote</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Required Parent Stockholder Vote</w:t>
      </w:r>
      <w:r>
        <w:rPr>
          <w:rFonts w:ascii="Times New Roman" w:hAnsi="Times New Roman"/>
          <w:color w:val="000000"/>
          <w:sz w:val="20"/>
        </w:rPr>
        <w:t xml:space="preserve">” has the meaning set forth in </w:t>
      </w:r>
      <w:r>
        <w:rPr>
          <w:rFonts w:ascii="Times New Roman" w:hAnsi="Times New Roman"/>
          <w:color w:val="000000"/>
          <w:sz w:val="20"/>
          <w:u w:val="single"/>
        </w:rPr>
        <w:t>Section 3.4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Sanctioned Party</w:t>
      </w:r>
      <w:r>
        <w:rPr>
          <w:rFonts w:ascii="Times New Roman" w:hAnsi="Times New Roman"/>
          <w:color w:val="000000"/>
          <w:sz w:val="20"/>
        </w:rPr>
        <w:t xml:space="preserve">” has the meaning set forth in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Sarbanes-Oxley Act</w:t>
      </w:r>
      <w:r>
        <w:rPr>
          <w:rFonts w:ascii="Times New Roman" w:hAnsi="Times New Roman"/>
          <w:color w:val="000000"/>
          <w:sz w:val="20"/>
        </w:rPr>
        <w:t>” means the Sarbanes-Oxley Act of 2002.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w:t>
      </w:r>
      <w:r>
        <w:rPr>
          <w:rFonts w:ascii="Times New Roman" w:hAnsi="Times New Roman"/>
          <w:color w:val="000000"/>
          <w:sz w:val="20"/>
        </w:rPr>
        <w:t>” means the United States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Second Certificate of Merger</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Second Effective Time</w:t>
      </w:r>
      <w:r>
        <w:rPr>
          <w:rFonts w:ascii="Times New Roman" w:hAnsi="Times New Roman"/>
          <w:color w:val="000000"/>
          <w:sz w:val="20"/>
        </w:rPr>
        <w:t xml:space="preserve">” has the meaning set forth in </w:t>
      </w:r>
      <w:r>
        <w:rPr>
          <w:rFonts w:ascii="Times New Roman" w:hAnsi="Times New Roman"/>
          <w:color w:val="000000"/>
          <w:sz w:val="20"/>
          <w:u w:val="single"/>
        </w:rPr>
        <w:t>Section 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Second Merger</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Second Merger Sub</w:t>
      </w:r>
      <w:r>
        <w:rPr>
          <w:rFonts w:ascii="Times New Roman" w:hAnsi="Times New Roman"/>
          <w:color w:val="000000"/>
          <w:sz w:val="20"/>
        </w:rPr>
        <w:t>” has the meaning set forth in the Preamble.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Second Merger Sub Board</w:t>
      </w:r>
      <w:r>
        <w:rPr>
          <w:rFonts w:ascii="Times New Roman" w:hAnsi="Times New Roman"/>
          <w:color w:val="000000"/>
          <w:sz w:val="20"/>
        </w:rPr>
        <w:t>” means the board of managers of Second Merger Sub.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Securities Act</w:t>
      </w:r>
      <w:r>
        <w:rPr>
          <w:rFonts w:ascii="Times New Roman" w:hAnsi="Times New Roman"/>
          <w:color w:val="000000"/>
          <w:sz w:val="20"/>
        </w:rPr>
        <w:t>” means the Securities Act of 1933,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Securities Purchase Agreement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Series B Certificate of Designation</w:t>
      </w:r>
      <w:r>
        <w:rPr>
          <w:rFonts w:ascii="Times New Roman" w:hAnsi="Times New Roman"/>
          <w:color w:val="000000"/>
          <w:sz w:val="20"/>
        </w:rPr>
        <w:t>” means the Certificate of Designation of Preferences, Rights and Limitations of Parent Series B Convertible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Series C Certificate of Designation</w:t>
      </w:r>
      <w:r>
        <w:rPr>
          <w:rFonts w:ascii="Times New Roman" w:hAnsi="Times New Roman"/>
          <w:color w:val="000000"/>
          <w:sz w:val="20"/>
        </w:rPr>
        <w:t xml:space="preserve">” means the Certificate of Designation of Preferences, Rights and Limitations of Parent Series C Convertible Preferred Stock in the form attached hereto as </w:t>
      </w:r>
      <w:r>
        <w:rPr>
          <w:rFonts w:ascii="Times New Roman" w:hAnsi="Times New Roman"/>
          <w:b/>
          <w:color w:val="000000"/>
          <w:sz w:val="20"/>
        </w:rPr>
        <w:t>Exhibit 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Stockholder Written Consent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Subsidiary</w:t>
      </w:r>
      <w:r>
        <w:rPr>
          <w:rFonts w:ascii="Times New Roman" w:hAnsi="Times New Roman"/>
          <w:color w:val="000000"/>
          <w:sz w:val="20"/>
        </w:rPr>
        <w:t>” An entity shall be deemed to be a ‘subsidiary’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Surviving Entity</w:t>
      </w:r>
      <w:r>
        <w:rPr>
          <w:rFonts w:ascii="Times New Roman" w:hAnsi="Times New Roman"/>
          <w:color w:val="000000"/>
          <w:sz w:val="20"/>
        </w:rPr>
        <w:t xml:space="preserve">” has the meaning set forth in </w:t>
      </w:r>
      <w:r>
        <w:rPr>
          <w:rFonts w:ascii="Times New Roman" w:hAnsi="Times New Roman"/>
          <w:color w:val="000000"/>
          <w:sz w:val="20"/>
          <w:u w:val="single"/>
        </w:rPr>
        <w:t>Section 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Takeover Statute</w:t>
      </w:r>
      <w:r>
        <w:rPr>
          <w:rFonts w:ascii="Times New Roman" w:hAnsi="Times New Roman"/>
          <w:color w:val="000000"/>
          <w:sz w:val="20"/>
        </w:rPr>
        <w:t>” means any “fair price,” “moratorium,” “control share acquisition” or other similar anti-takeover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Tax</w:t>
      </w:r>
      <w:r>
        <w:rPr>
          <w:rFonts w:ascii="Times New Roman" w:hAnsi="Times New Roman"/>
          <w:color w:val="000000"/>
          <w:sz w:val="20"/>
        </w:rPr>
        <w:t>” means any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fees, assessments or governmental charges, surtaxes or deficiencies thereof in the nature of a tax, however denominated (whether imposed directly or through withholding and whether or not disputed), and including any fine, penalty, addition to tax, or interest or additional amount imposed by a Governmental Body with respect thereto (or attributable to the nonpayment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Tax Return</w:t>
      </w:r>
      <w:r>
        <w:rPr>
          <w:rFonts w:ascii="Times New Roman" w:hAnsi="Times New Roman"/>
          <w:color w:val="000000"/>
          <w:sz w:val="20"/>
        </w:rPr>
        <w:t>” means any return (including any information return), report, statement, declaration, claim for refund, estimate, schedule, notice, notification, form, election, certificate or other document, and any amendment or supplement to any of the foregoing, filed with or submitted to, or required to be filed with or submitted to, any Governmental Body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Trade Laws</w:t>
      </w:r>
      <w:r>
        <w:rPr>
          <w:rFonts w:ascii="Times New Roman" w:hAnsi="Times New Roman"/>
          <w:color w:val="000000"/>
          <w:sz w:val="20"/>
        </w:rPr>
        <w:t xml:space="preserve">” has the meaning set forth in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Treasury Regulations</w:t>
      </w:r>
      <w:r>
        <w:rPr>
          <w:rFonts w:ascii="Times New Roman" w:hAnsi="Times New Roman"/>
          <w:color w:val="000000"/>
          <w:sz w:val="20"/>
        </w:rPr>
        <w:t>” means the United States Treasury regulations promulgated under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WARN Act</w:t>
      </w:r>
      <w:r>
        <w:rPr>
          <w:rFonts w:ascii="Times New Roman" w:hAnsi="Times New Roman"/>
          <w:color w:val="000000"/>
          <w:sz w:val="20"/>
        </w:rPr>
        <w:t>” means the Worker Adjustment Retraining and Notification Act of 1988, as amended, or any similar state or local plant closing mass layoff statute, rule or regulation.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i/>
          <w:color w:val="000000"/>
          <w:sz w:val="20"/>
        </w:rPr>
        <w:t>Withholding Agent</w:t>
      </w:r>
      <w:r>
        <w:rPr>
          <w:rFonts w:ascii="Times New Roman" w:hAnsi="Times New Roman"/>
          <w:color w:val="000000"/>
          <w:sz w:val="20"/>
        </w:rPr>
        <w:t xml:space="preserve">” has the meaning set forth in </w:t>
      </w:r>
      <w:r>
        <w:rPr>
          <w:rFonts w:ascii="Times New Roman" w:hAnsi="Times New Roman"/>
          <w:color w:val="000000"/>
          <w:sz w:val="20"/>
          <w:u w:val="single"/>
        </w:rPr>
        <w:t>Section 1.133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LOCK-UP AGREEMENT</w:t>
      </w:r>
    </w:p>
    <w:p>
      <w:pPr>
        <w:pStyle w:val="TextBody"/>
        <w:bidi w:val="0"/>
        <w:spacing w:before="0" w:after="0"/>
        <w:jc w:val="center"/>
        <w:rPr>
          <w:b/>
        </w:rPr>
      </w:pPr>
      <w:r>
        <w:rPr>
          <w:b/>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September 17,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Lisata Therapeutics, Inc.</w:t>
        <w:br/>
        <w:t>P.O. Box 173</w:t>
        <w:br/>
        <w:t>Liberty Corner, New Jersey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The undersigned signatory of this lock-up agreement (this “</w:t>
      </w:r>
      <w:r>
        <w:rPr>
          <w:rFonts w:ascii="Times New Roman" w:hAnsi="Times New Roman"/>
          <w:b/>
          <w:i/>
          <w:color w:val="000000"/>
          <w:sz w:val="20"/>
        </w:rPr>
        <w:t>Lock-Up Agreement</w:t>
      </w:r>
      <w:r>
        <w:rPr>
          <w:rFonts w:ascii="Times New Roman" w:hAnsi="Times New Roman"/>
          <w:b w:val="false"/>
          <w:color w:val="000000"/>
          <w:sz w:val="20"/>
        </w:rPr>
        <w:t>”) understands that Lisata Therapeutics, Inc., a Delaware corporation (including any successor thereto, “</w:t>
      </w:r>
      <w:r>
        <w:rPr>
          <w:rFonts w:ascii="Times New Roman" w:hAnsi="Times New Roman"/>
          <w:b/>
          <w:i/>
          <w:color w:val="000000"/>
          <w:sz w:val="20"/>
        </w:rPr>
        <w:t>Parent</w:t>
      </w:r>
      <w:r>
        <w:rPr>
          <w:rFonts w:ascii="Times New Roman" w:hAnsi="Times New Roman"/>
          <w:b w:val="false"/>
          <w:color w:val="000000"/>
          <w:sz w:val="20"/>
        </w:rPr>
        <w:t>”), has entered into an Agreement and Plan of Merger, dated as of September 17, 2026 (as the same may be amended from time to time, the “</w:t>
      </w:r>
      <w:r>
        <w:rPr>
          <w:rFonts w:ascii="Times New Roman" w:hAnsi="Times New Roman"/>
          <w:b/>
          <w:i/>
          <w:color w:val="000000"/>
          <w:sz w:val="20"/>
        </w:rPr>
        <w:t>Merger Agreement</w:t>
      </w:r>
      <w:r>
        <w:rPr>
          <w:rFonts w:ascii="Times New Roman" w:hAnsi="Times New Roman"/>
          <w:b w:val="false"/>
          <w:color w:val="000000"/>
          <w:sz w:val="20"/>
        </w:rPr>
        <w:t>”) with Merger Sub I, Inc., a Delaware corporation and wholly-owned subsidiary of Parent, Merger Sub II, LLC, a Delaware limited liability company and wholly-owned subsidiary of Parent, and Marea Therapeutics, Inc., a Delaware corporation (the “</w:t>
      </w:r>
      <w:r>
        <w:rPr>
          <w:rFonts w:ascii="Times New Roman" w:hAnsi="Times New Roman"/>
          <w:b/>
          <w:i/>
          <w:color w:val="000000"/>
          <w:sz w:val="20"/>
        </w:rPr>
        <w:t>Company</w:t>
      </w:r>
      <w:r>
        <w:rPr>
          <w:rFonts w:ascii="Times New Roman" w:hAnsi="Times New Roman"/>
          <w:b w:val="false"/>
          <w:color w:val="000000"/>
          <w:sz w:val="20"/>
        </w:rPr>
        <w:t>”). Capitalized terms used but not otherwise defined herein shall have the respective meanings ascribed to such terms in the Merger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1.          </w:t>
      </w:r>
      <w:bookmarkStart w:id="737" w:name="z_Ref237971198"/>
      <w:bookmarkEnd w:id="737"/>
      <w:r>
        <w:rPr>
          <w:rFonts w:ascii="Times New Roman" w:hAnsi="Times New Roman"/>
          <w:b w:val="false"/>
          <w:color w:val="000000"/>
          <w:sz w:val="20"/>
        </w:rPr>
        <w:t>As a condition and material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b/>
          <w:i/>
          <w:color w:val="000000"/>
          <w:sz w:val="20"/>
        </w:rPr>
        <w:t>Restricted Period</w:t>
      </w:r>
      <w:r>
        <w:rPr>
          <w:rFonts w:ascii="Times New Roman" w:hAnsi="Times New Roman"/>
          <w:b w:val="false"/>
          <w:color w:val="000000"/>
          <w:sz w:val="20"/>
        </w:rPr>
        <w:t xml:space="preserve">”); </w:t>
      </w:r>
      <w:r>
        <w:rPr>
          <w:rFonts w:ascii="Times New Roman" w:hAnsi="Times New Roman"/>
          <w:b w:val="false"/>
          <w:color w:val="000000"/>
          <w:sz w:val="20"/>
          <w:u w:val="single"/>
        </w:rPr>
        <w:t>provided</w:t>
      </w:r>
      <w:r>
        <w:rPr>
          <w:rFonts w:ascii="Times New Roman" w:hAnsi="Times New Roman"/>
          <w:b w:val="false"/>
          <w:color w:val="000000"/>
          <w:sz w:val="20"/>
        </w:rPr>
        <w:t xml:space="preserve"> that this Lock-Up Agreement shall terminate immediately upon the undersigned’s termination of employment with, or termination of service as a director of, Parent or its subsidiaries: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(i)          </w:t>
      </w:r>
      <w:bookmarkStart w:id="738" w:name="z_Ref237971199"/>
      <w:bookmarkEnd w:id="738"/>
      <w:r>
        <w:rPr>
          <w:rFonts w:ascii="Times New Roman" w:hAnsi="Times New Roman"/>
          <w:b w:val="false"/>
          <w:color w:val="000000"/>
          <w:sz w:val="20"/>
        </w:rPr>
        <w:t>offer, pledge, sell, contract to sell, sell any option or contract to purchase, purchase any option or contract to sell, grant any option, right or warrant to purchase, lend or otherwise transfer or dispose of, directly or indirectly, any shares of Parent Common Stock, Parent Series B Convertible Preferred Stock, Parent Series C Convertible Preferred Stock (the Parent Series B Convertible Preferred Stock and Parent Series C Convertible Preferred Stock, collectively, the “</w:t>
      </w:r>
      <w:r>
        <w:rPr>
          <w:rFonts w:ascii="Times New Roman" w:hAnsi="Times New Roman"/>
          <w:b/>
          <w:i/>
          <w:color w:val="000000"/>
          <w:sz w:val="20"/>
        </w:rPr>
        <w:t>Parent Convertible Preferred Stock</w:t>
      </w:r>
      <w:r>
        <w:rPr>
          <w:rFonts w:ascii="Times New Roman" w:hAnsi="Times New Roman"/>
          <w:b w:val="false"/>
          <w:color w:val="000000"/>
          <w:sz w:val="20"/>
        </w:rPr>
        <w:t>”), or any securities convertible into or exercisable or exchangeable for Parent Common Stock (including without limitation, Parent Common Stock or such other securities which may be deemed to be beneficially owned by the undersigned in accordance with the rules and regulations of the SEC and securities of Parent which may be issued upon exercise of Parent Options or settlement of Parent RSUs) that are currently or hereafter owned by the undersigned (collectively, the “</w:t>
      </w:r>
      <w:r>
        <w:rPr>
          <w:rFonts w:ascii="Times New Roman" w:hAnsi="Times New Roman"/>
          <w:b/>
          <w:i/>
          <w:color w:val="000000"/>
          <w:sz w:val="20"/>
        </w:rPr>
        <w:t>Undersigned’s Shares</w:t>
      </w:r>
      <w:r>
        <w:rPr>
          <w:rFonts w:ascii="Times New Roman" w:hAnsi="Times New Roman"/>
          <w:b w:val="false"/>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 xml:space="preserve">(ii)         </w:t>
      </w:r>
      <w:bookmarkStart w:id="739" w:name="z_Ref237971200"/>
      <w:bookmarkEnd w:id="739"/>
      <w:r>
        <w:rPr>
          <w:rFonts w:ascii="Times New Roman" w:hAnsi="Times New Roman"/>
          <w:b w:val="false"/>
          <w:color w:val="000000"/>
          <w:sz w:val="20"/>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Parent Convertible Preferred Stock or other securities, in cash or otherwise;</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(iii)        make any demand for, or exercise any right with respect to, the registration of any shares of Parent Common Stock, Parent Convertible Preferred Stock or any security convertible into or exercisable or exchangeable for Parent Common Stock (other than such rights set forth in the Merger Agreement);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b w:val="false"/>
          <w:color w:val="000000"/>
          <w:sz w:val="20"/>
        </w:rPr>
      </w:pPr>
      <w:r>
        <w:rPr>
          <w:rFonts w:ascii="Times New Roman" w:hAnsi="Times New Roman"/>
          <w:b w:val="false"/>
          <w:color w:val="000000"/>
          <w:sz w:val="20"/>
        </w:rPr>
        <w:t xml:space="preserve">(iv)        </w:t>
      </w:r>
      <w:bookmarkStart w:id="740" w:name="z_Ref237971202"/>
      <w:bookmarkEnd w:id="740"/>
      <w:r>
        <w:rPr>
          <w:rFonts w:ascii="Times New Roman" w:hAnsi="Times New Roman"/>
          <w:b w:val="false"/>
          <w:color w:val="000000"/>
          <w:sz w:val="20"/>
        </w:rPr>
        <w:t>publicly disclose the intention to do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b w:val="false"/>
          <w:color w:val="000000"/>
          <w:sz w:val="20"/>
        </w:rPr>
      </w:pPr>
      <w:r>
        <w:rPr>
          <w:rFonts w:ascii="Times New Roman" w:hAnsi="Times New Roman"/>
          <w:b w:val="false"/>
          <w:color w:val="000000"/>
          <w:sz w:val="20"/>
        </w:rPr>
        <w:t>2.          </w:t>
      </w:r>
      <w:bookmarkStart w:id="741" w:name="z_Ref237971203"/>
      <w:bookmarkEnd w:id="741"/>
      <w:r>
        <w:rPr>
          <w:rFonts w:ascii="Times New Roman" w:hAnsi="Times New Roman"/>
          <w:b w:val="false"/>
          <w:color w:val="000000"/>
          <w:sz w:val="20"/>
        </w:rPr>
        <w:t>The restrictions and obligations contemplated by this Lock-Up Agreement shall not apply to:</w:t>
      </w:r>
    </w:p>
    <w:p>
      <w:pPr>
        <w:pStyle w:val="TextBody"/>
        <w:bidi w:val="0"/>
        <w:spacing w:before="0" w:after="0"/>
        <w:ind w:left="0" w:right="0" w:firstLine="1440"/>
        <w:jc w:val="both"/>
        <w:rPr>
          <w:color w:val="000000"/>
        </w:rPr>
      </w:pPr>
      <w:r>
        <w:rPr>
          <w:color w:val="000000"/>
        </w:rPr>
        <w:t> </w:t>
      </w:r>
    </w:p>
    <w:p>
      <w:pPr>
        <w:pStyle w:val="TextBody"/>
        <w:bidi w:val="0"/>
        <w:spacing w:before="0" w:after="0"/>
        <w:ind w:left="0" w:right="0" w:firstLine="1440"/>
        <w:jc w:val="left"/>
        <w:rPr>
          <w:rFonts w:ascii="Times New Roman" w:hAnsi="Times New Roman"/>
          <w:b w:val="false"/>
          <w:color w:val="000000"/>
          <w:sz w:val="20"/>
        </w:rPr>
      </w:pPr>
      <w:r>
        <w:rPr>
          <w:rFonts w:ascii="Times New Roman" w:hAnsi="Times New Roman"/>
          <w:b w:val="false"/>
          <w:color w:val="000000"/>
          <w:sz w:val="20"/>
        </w:rPr>
        <w:t xml:space="preserve">(a)          </w:t>
      </w:r>
      <w:bookmarkStart w:id="742" w:name="z_Ref237971204"/>
      <w:bookmarkEnd w:id="742"/>
      <w:r>
        <w:rPr>
          <w:rFonts w:ascii="Times New Roman" w:hAnsi="Times New Roman"/>
          <w:b w:val="false"/>
          <w:color w:val="000000"/>
          <w:sz w:val="20"/>
        </w:rPr>
        <w:t>transfers of the Undersigned’s Shares:</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743" w:name="zfd521ccc027c44b391e841ff5d964eba"/>
      <w:bookmarkStart w:id="744" w:name="zfd521ccc027c44b391e841ff5d964eba"/>
      <w:bookmarkEnd w:id="744"/>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0"/>
              <w:jc w:val="left"/>
              <w:rPr/>
            </w:pPr>
            <w:r>
              <w:rPr/>
            </w:r>
          </w:p>
        </w:tc>
        <w:tc>
          <w:tcPr>
            <w:tcW w:w="146"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(i)</w:t>
            </w:r>
          </w:p>
        </w:tc>
        <w:tc>
          <w:tcPr>
            <w:tcW w:w="10021" w:type="dxa"/>
            <w:tcBorders/>
            <w:vAlign w:val="center"/>
          </w:tcPr>
          <w:p>
            <w:pPr>
              <w:pStyle w:val="TableContents"/>
              <w:bidi w:val="0"/>
              <w:spacing w:before="0" w:after="0"/>
              <w:ind w:left="0" w:right="0" w:firstLine="1440"/>
              <w:jc w:val="both"/>
              <w:rPr>
                <w:rFonts w:ascii="Times New Roman" w:hAnsi="Times New Roman"/>
                <w:sz w:val="20"/>
              </w:rPr>
            </w:pPr>
            <w:bookmarkStart w:id="745" w:name="z_Ref237971205"/>
            <w:bookmarkEnd w:id="745"/>
            <w:r>
              <w:rPr>
                <w:rFonts w:ascii="Times New Roman" w:hAnsi="Times New Roman"/>
                <w:sz w:val="20"/>
              </w:rPr>
              <w:t xml:space="preserve">if the undersigned is a natural person, </w:t>
            </w:r>
            <w:bookmarkStart w:id="746" w:name="DocXTextRef584"/>
            <w:bookmarkEnd w:id="746"/>
            <w:r>
              <w:rPr>
                <w:rFonts w:ascii="Times New Roman" w:hAnsi="Times New Roman"/>
                <w:sz w:val="20"/>
              </w:rPr>
              <w:t>(A) to any person related to the undersigned (or to an ultimate beneficial owner of the undersigned) by blood or adoption who is an immediate family member of the undersigned, or by marriage or domestic partnership (a “</w:t>
            </w:r>
            <w:r>
              <w:rPr>
                <w:rFonts w:ascii="Times New Roman" w:hAnsi="Times New Roman"/>
                <w:b/>
                <w:i/>
                <w:sz w:val="20"/>
              </w:rPr>
              <w:t>Family Member</w:t>
            </w:r>
            <w:r>
              <w:rPr>
                <w:rFonts w:ascii="Times New Roman" w:hAnsi="Times New Roman"/>
                <w:sz w:val="20"/>
              </w:rPr>
              <w:t xml:space="preserve">”), or to a trust formed for the benefit of the undersigned or any of the undersigned’s Family Members, </w:t>
            </w:r>
            <w:bookmarkStart w:id="747" w:name="DocXTextRef585"/>
            <w:bookmarkEnd w:id="747"/>
            <w:r>
              <w:rPr>
                <w:rFonts w:ascii="Times New Roman" w:hAnsi="Times New Roman"/>
                <w:sz w:val="20"/>
              </w:rPr>
              <w:t xml:space="preserve">(B) to the undersigned’s estate, following the death of the undersigned, by will, intestacy or other operation of Law, </w:t>
            </w:r>
            <w:bookmarkStart w:id="748" w:name="DocXTextRef586"/>
            <w:bookmarkEnd w:id="748"/>
            <w:r>
              <w:rPr>
                <w:rFonts w:ascii="Times New Roman" w:hAnsi="Times New Roman"/>
                <w:sz w:val="20"/>
              </w:rPr>
              <w:t xml:space="preserve">(C) as a bona fide gift or charitable contribution, </w:t>
            </w:r>
            <w:bookmarkStart w:id="749" w:name="DocXTextRef587"/>
            <w:bookmarkEnd w:id="749"/>
            <w:r>
              <w:rPr>
                <w:rFonts w:ascii="Times New Roman" w:hAnsi="Times New Roman"/>
                <w:sz w:val="20"/>
              </w:rPr>
              <w:t xml:space="preserve">(D) by operation of Law pursuant to a qualified domestic order or in connection with a divorce settlement or </w:t>
            </w:r>
            <w:bookmarkStart w:id="750" w:name="DocXTextRef588"/>
            <w:bookmarkEnd w:id="750"/>
            <w:r>
              <w:rPr>
                <w:rFonts w:ascii="Times New Roman" w:hAnsi="Times New Roman"/>
                <w:sz w:val="20"/>
              </w:rPr>
              <w:t>(E) to any partnership, corporation or limited liability company which is controlled by or under common control with the undersigned and/or by any such Family Member(s);</w:t>
            </w:r>
          </w:p>
          <w:p>
            <w:pPr>
              <w:pStyle w:val="TableContents"/>
              <w:bidi w:val="0"/>
              <w:spacing w:before="0" w:after="0"/>
              <w:ind w:left="0" w:right="0" w:firstLine="1440"/>
              <w:jc w:val="both"/>
              <w:rPr>
                <w:rFonts w:ascii="Times New Roman" w:hAnsi="Times New Roman"/>
                <w:sz w:val="20"/>
              </w:rPr>
            </w:pPr>
            <w:r>
              <w:rPr>
                <w:rFonts w:ascii="Times New Roman" w:hAnsi="Times New Roman"/>
                <w:sz w:val="20"/>
              </w:rPr>
            </w:r>
          </w:p>
        </w:tc>
      </w:tr>
    </w:tbl>
    <w:p>
      <w:pPr>
        <w:pStyle w:val="Normal"/>
        <w:bidi w:val="0"/>
        <w:spacing w:before="0" w:after="0"/>
        <w:jc w:val="left"/>
        <w:rPr>
          <w:sz w:val="4"/>
          <w:szCs w:val="4"/>
        </w:rPr>
      </w:pPr>
      <w:r>
        <w:rPr>
          <w:sz w:val="4"/>
          <w:szCs w:val="4"/>
        </w:rPr>
      </w:r>
      <w:bookmarkStart w:id="751" w:name="ze18e1cdd416c413db3bc0e155ad5d74a"/>
      <w:bookmarkStart w:id="752" w:name="ze18e1cdd416c413db3bc0e155ad5d74a"/>
      <w:bookmarkEnd w:id="752"/>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0"/>
              <w:jc w:val="left"/>
              <w:rPr/>
            </w:pPr>
            <w:r>
              <w:rPr/>
            </w:r>
          </w:p>
        </w:tc>
        <w:tc>
          <w:tcPr>
            <w:tcW w:w="20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(ii)</w:t>
            </w:r>
          </w:p>
        </w:tc>
        <w:tc>
          <w:tcPr>
            <w:tcW w:w="9962" w:type="dxa"/>
            <w:tcBorders/>
            <w:vAlign w:val="center"/>
          </w:tcPr>
          <w:p>
            <w:pPr>
              <w:pStyle w:val="TableContents"/>
              <w:bidi w:val="0"/>
              <w:spacing w:before="0" w:after="0"/>
              <w:ind w:left="0" w:right="0" w:firstLine="1440"/>
              <w:jc w:val="both"/>
              <w:rPr>
                <w:rFonts w:ascii="Times New Roman" w:hAnsi="Times New Roman"/>
                <w:sz w:val="20"/>
              </w:rPr>
            </w:pPr>
            <w:bookmarkStart w:id="753" w:name="z_Ref237971206"/>
            <w:bookmarkEnd w:id="753"/>
            <w:r>
              <w:rPr>
                <w:rFonts w:ascii="Times New Roman" w:hAnsi="Times New Roman"/>
                <w:sz w:val="20"/>
              </w:rPr>
              <w:t xml:space="preserve">if the undersigned is a corporation, partnership or other Entity, </w:t>
            </w:r>
            <w:bookmarkStart w:id="754" w:name="DocXTextRef589"/>
            <w:bookmarkEnd w:id="754"/>
            <w:r>
              <w:rPr>
                <w:rFonts w:ascii="Times New Roman" w:hAnsi="Times New Roman"/>
                <w:sz w:val="20"/>
              </w:rPr>
              <w:t xml:space="preserve">(A) to another corporation, partnership, or other Entity that is an affiliate (as defined under Rule 12b-2 of the Exchange Act) of the undersigned, including investment funds or other entities under common control or management with the undersigned, </w:t>
            </w:r>
            <w:bookmarkStart w:id="755" w:name="DocXTextRef590"/>
            <w:bookmarkEnd w:id="755"/>
            <w:r>
              <w:rPr>
                <w:rFonts w:ascii="Times New Roman" w:hAnsi="Times New Roman"/>
                <w:sz w:val="20"/>
              </w:rPr>
              <w:t xml:space="preserve">(B)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w:t>
            </w:r>
            <w:bookmarkStart w:id="756" w:name="DocXTextRef591"/>
            <w:bookmarkEnd w:id="756"/>
            <w:r>
              <w:rPr>
                <w:rFonts w:ascii="Times New Roman" w:hAnsi="Times New Roman"/>
                <w:sz w:val="20"/>
              </w:rPr>
              <w:t xml:space="preserve">(C) as a bona fide gift or charitable contribution or otherwise to a trust or other entity for the direct or indirect benefit of an immediate family member of a beneficial owner (as defined in Rule 13d-3 of the Exchange Act) of the Undersigned’s Shares or </w:t>
            </w:r>
            <w:bookmarkStart w:id="757" w:name="DocXTextRef592"/>
            <w:bookmarkEnd w:id="757"/>
            <w:r>
              <w:rPr>
                <w:rFonts w:ascii="Times New Roman" w:hAnsi="Times New Roman"/>
                <w:sz w:val="20"/>
              </w:rPr>
              <w:t>(D) transfers or dispositions not involving a change in beneficial ownership; or</w:t>
            </w:r>
          </w:p>
          <w:p>
            <w:pPr>
              <w:pStyle w:val="TableContents"/>
              <w:bidi w:val="0"/>
              <w:spacing w:before="0" w:after="0"/>
              <w:ind w:left="0" w:right="0" w:firstLine="1440"/>
              <w:jc w:val="both"/>
              <w:rPr>
                <w:rFonts w:ascii="Times New Roman" w:hAnsi="Times New Roman"/>
                <w:sz w:val="20"/>
              </w:rPr>
            </w:pPr>
            <w:r>
              <w:rPr>
                <w:rFonts w:ascii="Times New Roman" w:hAnsi="Times New Roman"/>
                <w:sz w:val="20"/>
              </w:rPr>
            </w:r>
          </w:p>
        </w:tc>
      </w:tr>
    </w:tbl>
    <w:p>
      <w:pPr>
        <w:pStyle w:val="Normal"/>
        <w:bidi w:val="0"/>
        <w:spacing w:before="0" w:after="0"/>
        <w:jc w:val="left"/>
        <w:rPr>
          <w:sz w:val="4"/>
          <w:szCs w:val="4"/>
        </w:rPr>
      </w:pPr>
      <w:r>
        <w:rPr>
          <w:sz w:val="4"/>
          <w:szCs w:val="4"/>
        </w:rPr>
      </w:r>
      <w:bookmarkStart w:id="758" w:name="z83b95a3471384a19a7744b74392ff81d"/>
      <w:bookmarkStart w:id="759" w:name="z83b95a3471384a19a7744b74392ff81d"/>
      <w:bookmarkEnd w:id="759"/>
    </w:p>
    <w:tbl>
      <w:tblPr>
        <w:tblW w:w="7593" w:type="dxa"/>
        <w:jc w:val="left"/>
        <w:tblInd w:w="0" w:type="dxa"/>
        <w:tblLayout w:type="fixed"/>
        <w:tblCellMar>
          <w:top w:w="0" w:type="dxa"/>
          <w:left w:w="0" w:type="dxa"/>
          <w:bottom w:w="0" w:type="dxa"/>
          <w:right w:w="0" w:type="dxa"/>
        </w:tblCellMar>
      </w:tblPr>
      <w:tblGrid>
        <w:gridCol w:w="38"/>
        <w:gridCol w:w="320"/>
        <w:gridCol w:w="7235"/>
      </w:tblGrid>
      <w:tr>
        <w:trPr/>
        <w:tc>
          <w:tcPr>
            <w:tcW w:w="38" w:type="dxa"/>
            <w:tcBorders/>
            <w:vAlign w:val="center"/>
          </w:tcPr>
          <w:p>
            <w:pPr>
              <w:pStyle w:val="TableContents"/>
              <w:bidi w:val="0"/>
              <w:spacing w:before="0" w:after="0"/>
              <w:jc w:val="left"/>
              <w:rPr/>
            </w:pPr>
            <w:r>
              <w:rPr/>
            </w:r>
          </w:p>
        </w:tc>
        <w:tc>
          <w:tcPr>
            <w:tcW w:w="32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(iii)</w:t>
            </w:r>
          </w:p>
        </w:tc>
        <w:tc>
          <w:tcPr>
            <w:tcW w:w="7235" w:type="dxa"/>
            <w:tcBorders/>
            <w:vAlign w:val="center"/>
          </w:tcPr>
          <w:p>
            <w:pPr>
              <w:pStyle w:val="TableContents"/>
              <w:bidi w:val="0"/>
              <w:spacing w:before="0" w:after="0"/>
              <w:ind w:left="0" w:right="0" w:firstLine="1440"/>
              <w:jc w:val="both"/>
              <w:rPr>
                <w:rFonts w:ascii="Times New Roman" w:hAnsi="Times New Roman"/>
                <w:sz w:val="20"/>
              </w:rPr>
            </w:pPr>
            <w:r>
              <w:rPr>
                <w:rFonts w:ascii="Times New Roman" w:hAnsi="Times New Roman"/>
                <w:sz w:val="20"/>
              </w:rPr>
              <w:t>if the undersigned is a trust, to any grantors or beneficiaries of the trust;</w:t>
            </w:r>
          </w:p>
        </w:tc>
      </w:tr>
    </w:tbl>
    <w:p>
      <w:pPr>
        <w:pStyle w:val="TextBody"/>
        <w:bidi w:val="0"/>
        <w:spacing w:before="0" w:after="0"/>
        <w:ind w:left="720" w:right="0" w:hanging="0"/>
        <w:jc w:val="both"/>
        <w:rPr>
          <w:rFonts w:ascii="Times New Roman" w:hAnsi="Times New Roman"/>
          <w:b w:val="false"/>
          <w:color w:val="000000"/>
          <w:sz w:val="20"/>
        </w:rPr>
      </w:pPr>
      <w:r>
        <w:rPr>
          <w:rFonts w:ascii="Times New Roman" w:hAnsi="Times New Roman"/>
          <w:b w:val="false"/>
          <w:color w:val="000000"/>
          <w:sz w:val="20"/>
          <w:u w:val="single"/>
        </w:rPr>
        <w:br/>
        <w:t>provided</w:t>
      </w:r>
      <w:r>
        <w:rPr>
          <w:rFonts w:ascii="Times New Roman" w:hAnsi="Times New Roman"/>
          <w:b w:val="false"/>
          <w:color w:val="000000"/>
          <w:sz w:val="20"/>
        </w:rPr>
        <w:t xml:space="preserve"> that,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Parent Convertible Preferred Stock or such other securities that have been so transferred or distributed;</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(b)</w:t>
            </w:r>
          </w:p>
        </w:tc>
        <w:tc>
          <w:tcPr>
            <w:tcW w:w="9994" w:type="dxa"/>
            <w:tcBorders/>
            <w:vAlign w:val="center"/>
          </w:tcPr>
          <w:p>
            <w:pPr>
              <w:pStyle w:val="TableContents"/>
              <w:bidi w:val="0"/>
              <w:spacing w:before="0" w:after="0"/>
              <w:ind w:left="0" w:right="0" w:firstLine="1440"/>
              <w:jc w:val="both"/>
              <w:rPr>
                <w:rFonts w:ascii="Times New Roman" w:hAnsi="Times New Roman"/>
                <w:sz w:val="20"/>
              </w:rPr>
            </w:pPr>
            <w:r>
              <w:rPr>
                <w:rFonts w:ascii="Times New Roman" w:hAnsi="Times New Roman"/>
                <w:sz w:val="20"/>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B-2</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(c)</w:t>
            </w:r>
          </w:p>
        </w:tc>
        <w:tc>
          <w:tcPr>
            <w:tcW w:w="9989" w:type="dxa"/>
            <w:tcBorders/>
            <w:vAlign w:val="center"/>
          </w:tcPr>
          <w:p>
            <w:pPr>
              <w:pStyle w:val="TableContents"/>
              <w:bidi w:val="0"/>
              <w:spacing w:before="0" w:after="0"/>
              <w:ind w:left="0" w:right="0" w:firstLine="1440"/>
              <w:jc w:val="both"/>
              <w:rPr>
                <w:rFonts w:ascii="Times New Roman" w:hAnsi="Times New Roman"/>
                <w:sz w:val="20"/>
              </w:rPr>
            </w:pPr>
            <w:bookmarkStart w:id="760" w:name="z_Ref237971209"/>
            <w:bookmarkEnd w:id="760"/>
            <w:r>
              <w:rPr>
                <w:rFonts w:ascii="Times New Roman" w:hAnsi="Times New Roman"/>
                <w:sz w:val="20"/>
              </w:rPr>
              <w:t>the disposition (including a forfeiture or repurchase) to Parent of any shares of restricted stock granted pursuant to the terms of any employee benefit plan or restricted stock purchase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(d)</w:t>
            </w:r>
          </w:p>
        </w:tc>
        <w:tc>
          <w:tcPr>
            <w:tcW w:w="9992" w:type="dxa"/>
            <w:tcBorders/>
            <w:vAlign w:val="center"/>
          </w:tcPr>
          <w:p>
            <w:pPr>
              <w:pStyle w:val="TableContents"/>
              <w:bidi w:val="0"/>
              <w:spacing w:before="0" w:after="0"/>
              <w:ind w:left="0" w:right="0" w:firstLine="1440"/>
              <w:jc w:val="both"/>
              <w:rPr>
                <w:rFonts w:ascii="Times New Roman" w:hAnsi="Times New Roman"/>
                <w:sz w:val="20"/>
              </w:rPr>
            </w:pPr>
            <w:bookmarkStart w:id="761" w:name="z_Ref237971210"/>
            <w:bookmarkEnd w:id="761"/>
            <w:r>
              <w:rPr>
                <w:rFonts w:ascii="Times New Roman" w:hAnsi="Times New Roman"/>
                <w:sz w:val="20"/>
              </w:rPr>
              <w:t xml:space="preserve">transfers to Parent in connection with the net settlement of any Parent RSU or other equity award that represents the right to receive in the future shares of Parent Common Stock settled in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(e)</w:t>
            </w:r>
          </w:p>
        </w:tc>
        <w:tc>
          <w:tcPr>
            <w:tcW w:w="9996" w:type="dxa"/>
            <w:tcBorders/>
            <w:vAlign w:val="center"/>
          </w:tcPr>
          <w:p>
            <w:pPr>
              <w:pStyle w:val="TableContents"/>
              <w:bidi w:val="0"/>
              <w:spacing w:before="0" w:after="0"/>
              <w:ind w:left="0" w:right="0" w:firstLine="1440"/>
              <w:jc w:val="both"/>
              <w:rPr>
                <w:rFonts w:ascii="Times New Roman" w:hAnsi="Times New Roman"/>
                <w:sz w:val="20"/>
              </w:rPr>
            </w:pPr>
            <w:bookmarkStart w:id="762" w:name="z_Ref237971211"/>
            <w:bookmarkEnd w:id="762"/>
            <w:r>
              <w:rPr>
                <w:rFonts w:ascii="Times New Roman" w:hAnsi="Times New Roman"/>
                <w:sz w:val="20"/>
              </w:rPr>
              <w:t xml:space="preserve">the establishment of a trading plan pursuant to Rule 10b5-1 under the Exchange Act for the transfer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Parent Common Stock during the Restricted Period;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(f)</w:t>
            </w:r>
          </w:p>
        </w:tc>
        <w:tc>
          <w:tcPr>
            <w:tcW w:w="10019" w:type="dxa"/>
            <w:tcBorders/>
            <w:vAlign w:val="center"/>
          </w:tcPr>
          <w:p>
            <w:pPr>
              <w:pStyle w:val="TableContents"/>
              <w:bidi w:val="0"/>
              <w:spacing w:before="0" w:after="0"/>
              <w:ind w:left="0" w:right="0" w:firstLine="1440"/>
              <w:jc w:val="both"/>
              <w:rPr>
                <w:rFonts w:ascii="Times New Roman" w:hAnsi="Times New Roman"/>
                <w:sz w:val="20"/>
              </w:rPr>
            </w:pPr>
            <w:bookmarkStart w:id="763" w:name="z_Ref237971212"/>
            <w:bookmarkEnd w:id="763"/>
            <w:r>
              <w:rPr>
                <w:rFonts w:ascii="Times New Roman" w:hAnsi="Times New Roman"/>
                <w:sz w:val="20"/>
              </w:rPr>
              <w:t>transfers by the undersigned of shares of Parent Common Stock purchased by the undersigned on the open market or in a public offering by Parent, in each case following the Closing Date;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(g)</w:t>
            </w:r>
          </w:p>
        </w:tc>
        <w:tc>
          <w:tcPr>
            <w:tcW w:w="9991" w:type="dxa"/>
            <w:tcBorders/>
            <w:vAlign w:val="center"/>
          </w:tcPr>
          <w:p>
            <w:pPr>
              <w:pStyle w:val="TableContents"/>
              <w:bidi w:val="0"/>
              <w:spacing w:before="0" w:after="0"/>
              <w:ind w:left="0" w:right="0" w:firstLine="1440"/>
              <w:jc w:val="both"/>
              <w:rPr>
                <w:rFonts w:ascii="Times New Roman" w:hAnsi="Times New Roman"/>
                <w:sz w:val="20"/>
              </w:rPr>
            </w:pPr>
            <w:bookmarkStart w:id="764" w:name="z_Ref237971213"/>
            <w:bookmarkEnd w:id="764"/>
            <w:r>
              <w:rPr>
                <w:rFonts w:ascii="Times New Roman" w:hAnsi="Times New Roman"/>
                <w:sz w:val="20"/>
              </w:rPr>
              <w:t xml:space="preserve">pursuant to a bona-fide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w:t>
            </w:r>
          </w:p>
        </w:tc>
      </w:tr>
    </w:tbl>
    <w:p>
      <w:pPr>
        <w:pStyle w:val="TextBody"/>
        <w:bidi w:val="0"/>
        <w:spacing w:before="0" w:after="0"/>
        <w:jc w:val="left"/>
        <w:rPr/>
      </w:pPr>
      <w:r>
        <w:rPr/>
      </w:r>
    </w:p>
    <w:tbl>
      <w:tblPr>
        <w:tblW w:w="5950" w:type="dxa"/>
        <w:jc w:val="left"/>
        <w:tblInd w:w="0" w:type="dxa"/>
        <w:tblLayout w:type="fixed"/>
        <w:tblCellMar>
          <w:top w:w="0" w:type="dxa"/>
          <w:left w:w="0" w:type="dxa"/>
          <w:bottom w:w="0" w:type="dxa"/>
          <w:right w:w="0" w:type="dxa"/>
        </w:tblCellMar>
      </w:tblPr>
      <w:tblGrid>
        <w:gridCol w:w="260"/>
        <w:gridCol w:w="5690"/>
      </w:tblGrid>
      <w:tr>
        <w:trPr/>
        <w:tc>
          <w:tcPr>
            <w:tcW w:w="260"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(h)</w:t>
            </w:r>
          </w:p>
        </w:tc>
        <w:tc>
          <w:tcPr>
            <w:tcW w:w="5690" w:type="dxa"/>
            <w:tcBorders/>
            <w:vAlign w:val="center"/>
          </w:tcPr>
          <w:p>
            <w:pPr>
              <w:pStyle w:val="TableContents"/>
              <w:bidi w:val="0"/>
              <w:spacing w:before="0" w:after="0"/>
              <w:ind w:left="0" w:right="0" w:firstLine="1440"/>
              <w:jc w:val="both"/>
              <w:rPr>
                <w:rFonts w:ascii="Times New Roman" w:hAnsi="Times New Roman"/>
                <w:sz w:val="20"/>
              </w:rPr>
            </w:pPr>
            <w:bookmarkStart w:id="765" w:name="z_Ref237971214"/>
            <w:bookmarkEnd w:id="765"/>
            <w:r>
              <w:rPr>
                <w:rFonts w:ascii="Times New Roman" w:hAnsi="Times New Roman"/>
                <w:sz w:val="20"/>
              </w:rPr>
              <w:t>pursuant to an order of a court or regulatory agency;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(i)</w:t>
            </w:r>
          </w:p>
        </w:tc>
        <w:tc>
          <w:tcPr>
            <w:tcW w:w="10026" w:type="dxa"/>
            <w:tcBorders/>
            <w:vAlign w:val="center"/>
          </w:tcPr>
          <w:p>
            <w:pPr>
              <w:pStyle w:val="TableContents"/>
              <w:bidi w:val="0"/>
              <w:spacing w:before="0" w:after="0"/>
              <w:ind w:left="0" w:right="0" w:firstLine="1440"/>
              <w:jc w:val="both"/>
              <w:rPr>
                <w:rFonts w:ascii="Times New Roman" w:hAnsi="Times New Roman"/>
                <w:sz w:val="20"/>
              </w:rPr>
            </w:pPr>
            <w:bookmarkStart w:id="766" w:name="z_Ref237971215"/>
            <w:bookmarkEnd w:id="766"/>
            <w:r>
              <w:rPr>
                <w:rFonts w:ascii="Times New Roman" w:hAnsi="Times New Roman"/>
                <w:sz w:val="20"/>
              </w:rPr>
              <w:t>transfers by the undersigned of shares of Parent Common Stock (or securities convertible into Parent Common Stock) issued pursuant to the Securities Purchase Agreement, if any, and purchased from Parent on or around the Closing Date; or</w:t>
            </w:r>
          </w:p>
        </w:tc>
      </w:tr>
    </w:tbl>
    <w:p>
      <w:pPr>
        <w:pStyle w:val="TextBody"/>
        <w:bidi w:val="0"/>
        <w:jc w:val="left"/>
        <w:rPr/>
      </w:pPr>
      <w:r>
        <w:rPr/>
      </w:r>
    </w:p>
    <w:p>
      <w:pPr>
        <w:pStyle w:val="Normal"/>
        <w:bidi w:val="0"/>
        <w:spacing w:before="0" w:after="0"/>
        <w:jc w:val="left"/>
        <w:rPr>
          <w:sz w:val="4"/>
          <w:szCs w:val="4"/>
        </w:rPr>
      </w:pPr>
      <w:r>
        <w:rPr>
          <w:sz w:val="4"/>
          <w:szCs w:val="4"/>
        </w:rPr>
      </w:r>
      <w:bookmarkStart w:id="767" w:name="zaa1d3711588947f2942c724542b0c338"/>
      <w:bookmarkStart w:id="768" w:name="zaa1d3711588947f2942c724542b0c338"/>
      <w:bookmarkEnd w:id="768"/>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(j)</w:t>
            </w:r>
          </w:p>
        </w:tc>
        <w:tc>
          <w:tcPr>
            <w:tcW w:w="10043" w:type="dxa"/>
            <w:tcBorders/>
            <w:vAlign w:val="center"/>
          </w:tcPr>
          <w:p>
            <w:pPr>
              <w:pStyle w:val="TableContents"/>
              <w:bidi w:val="0"/>
              <w:spacing w:before="0" w:after="0"/>
              <w:ind w:left="0" w:right="0" w:firstLine="1440"/>
              <w:jc w:val="both"/>
              <w:rPr>
                <w:rFonts w:ascii="Times New Roman" w:hAnsi="Times New Roman"/>
                <w:sz w:val="20"/>
              </w:rPr>
            </w:pPr>
            <w:bookmarkStart w:id="769" w:name="z_Ref237971216"/>
            <w:bookmarkEnd w:id="769"/>
            <w:r>
              <w:rPr>
                <w:rFonts w:ascii="Times New Roman" w:hAnsi="Times New Roman"/>
                <w:sz w:val="20"/>
              </w:rPr>
              <w:t xml:space="preserve">pursuant to “sell to cover” or similar open market transactions during the Restricted Period solely to satisfy tax obligations due as a result of </w:t>
            </w:r>
            <w:bookmarkStart w:id="770" w:name="DocXTextRef593"/>
            <w:bookmarkEnd w:id="770"/>
            <w:r>
              <w:rPr>
                <w:rFonts w:ascii="Times New Roman" w:hAnsi="Times New Roman"/>
                <w:sz w:val="20"/>
              </w:rPr>
              <w:t xml:space="preserve">(A) the exercise of stock options, if such options expire or the post-termination exercise period applicable to such options expire during the Restricted Period or </w:t>
            </w:r>
            <w:bookmarkStart w:id="771" w:name="DocXTextRef594"/>
            <w:bookmarkEnd w:id="771"/>
            <w:r>
              <w:rPr>
                <w:rFonts w:ascii="Times New Roman" w:hAnsi="Times New Roman"/>
                <w:sz w:val="20"/>
              </w:rPr>
              <w:t xml:space="preserve">(B) the settlement of restricted stock units during the Restricted Period pursuant to awards granted under a stock incentive plan or other equity award plan or arrangement prior to the date of this Lock-Up Agreement, </w:t>
            </w:r>
            <w:r>
              <w:rPr>
                <w:rFonts w:ascii="Times New Roman" w:hAnsi="Times New Roman"/>
                <w:sz w:val="20"/>
                <w:u w:val="single"/>
              </w:rPr>
              <w:t>provided</w:t>
            </w:r>
            <w:r>
              <w:rPr>
                <w:rFonts w:ascii="Times New Roman" w:hAnsi="Times New Roman"/>
                <w:sz w:val="20"/>
              </w:rPr>
              <w:t xml:space="preserve"> that, in each case, any securities received upon such exercise or settlement that are not transferred to cover any such tax obligations shall be subject to the terms of this Lock-Up Agreement;</w:t>
            </w:r>
          </w:p>
        </w:tc>
      </w:tr>
    </w:tbl>
    <w:p>
      <w:pPr>
        <w:pStyle w:val="TextBody"/>
        <w:bidi w:val="0"/>
        <w:spacing w:before="0" w:after="0"/>
        <w:jc w:val="both"/>
        <w:rPr>
          <w:rFonts w:ascii="Times New Roman" w:hAnsi="Times New Roman"/>
          <w:sz w:val="20"/>
          <w:u w:val="single"/>
        </w:rPr>
      </w:pPr>
      <w:r>
        <w:rPr>
          <w:rFonts w:ascii="Times New Roman" w:hAnsi="Times New Roman"/>
          <w:sz w:val="20"/>
          <w:u w:val="single"/>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u w:val="single"/>
        </w:rPr>
        <w:t>provided</w:t>
      </w:r>
      <w:r>
        <w:rPr>
          <w:rFonts w:ascii="Times New Roman" w:hAnsi="Times New Roman"/>
          <w:b w:val="false"/>
          <w:color w:val="000000"/>
          <w:sz w:val="20"/>
        </w:rPr>
        <w:t xml:space="preserve">, that, with respect to each of </w:t>
      </w:r>
      <w:bookmarkStart w:id="772" w:name="DocXTextRef596"/>
      <w:bookmarkEnd w:id="772"/>
      <w:r>
        <w:rPr>
          <w:rFonts w:ascii="Times New Roman" w:hAnsi="Times New Roman"/>
          <w:b w:val="false"/>
          <w:color w:val="000000"/>
          <w:sz w:val="20"/>
        </w:rPr>
        <w:t xml:space="preserve">(a), </w:t>
      </w:r>
      <w:bookmarkStart w:id="773" w:name="DocXTextRef597"/>
      <w:bookmarkEnd w:id="773"/>
      <w:r>
        <w:rPr>
          <w:rFonts w:ascii="Times New Roman" w:hAnsi="Times New Roman"/>
          <w:b w:val="false"/>
          <w:color w:val="000000"/>
          <w:sz w:val="20"/>
        </w:rPr>
        <w:t xml:space="preserve">(b), </w:t>
      </w:r>
      <w:bookmarkStart w:id="774" w:name="DocXTextRef598"/>
      <w:bookmarkEnd w:id="774"/>
      <w:r>
        <w:rPr>
          <w:rFonts w:ascii="Times New Roman" w:hAnsi="Times New Roman"/>
          <w:b w:val="false"/>
          <w:color w:val="000000"/>
          <w:sz w:val="20"/>
        </w:rPr>
        <w:t xml:space="preserve">(c), </w:t>
      </w:r>
      <w:bookmarkStart w:id="775" w:name="DocXTextRef599"/>
      <w:bookmarkEnd w:id="775"/>
      <w:r>
        <w:rPr>
          <w:rFonts w:ascii="Times New Roman" w:hAnsi="Times New Roman"/>
          <w:b w:val="false"/>
          <w:color w:val="000000"/>
          <w:sz w:val="20"/>
        </w:rPr>
        <w:t xml:space="preserve">(d) and </w:t>
      </w:r>
      <w:bookmarkStart w:id="776" w:name="DocXTextRef600"/>
      <w:bookmarkEnd w:id="776"/>
      <w:r>
        <w:rPr>
          <w:rFonts w:ascii="Times New Roman" w:hAnsi="Times New Roman"/>
          <w:b w:val="false"/>
          <w:color w:val="000000"/>
          <w:sz w:val="20"/>
        </w:rPr>
        <w:t xml:space="preserve">(e) above, no filing by any party (including any donor, donee, transferor, transferee, distributor or distributee) under Section </w:t>
      </w:r>
      <w:bookmarkStart w:id="777" w:name="DocXTextRef595"/>
      <w:bookmarkEnd w:id="777"/>
      <w:r>
        <w:rPr>
          <w:rFonts w:ascii="Times New Roman" w:hAnsi="Times New Roman"/>
          <w:b w:val="false"/>
          <w:color w:val="000000"/>
          <w:sz w:val="20"/>
        </w:rPr>
        <w:t xml:space="preserve">16 of the Exchange Act or other public announcement shall be required or shall be made voluntarily in connection with such transfer or disposition during the Restricted Period (other than </w:t>
      </w:r>
      <w:bookmarkStart w:id="778" w:name="DocXTextRef601"/>
      <w:bookmarkEnd w:id="778"/>
      <w:r>
        <w:rPr>
          <w:rFonts w:ascii="Times New Roman" w:hAnsi="Times New Roman"/>
          <w:b w:val="false"/>
          <w:color w:val="000000"/>
          <w:sz w:val="20"/>
        </w:rPr>
        <w:t xml:space="preserve">(i) any exit filings or public announcements that may be required under applicable federal and state securities Laws or (ii) in respect of a required filing under the Exchange Act in connection with the exercise of an option to purchase Parent Common Stock or in connection with the net settlement of any Parent RSU or other equity award that represents the right to receive in the future shares of Parent Common Stock settled in Parent Common Stock that would otherwise expire during the Restricted Period, </w:t>
      </w:r>
      <w:r>
        <w:rPr>
          <w:rFonts w:ascii="Times New Roman" w:hAnsi="Times New Roman"/>
          <w:b w:val="false"/>
          <w:color w:val="000000"/>
          <w:sz w:val="20"/>
          <w:u w:val="single"/>
        </w:rPr>
        <w:t>provided</w:t>
      </w:r>
      <w:r>
        <w:rPr>
          <w:rFonts w:ascii="Times New Roman" w:hAnsi="Times New Roman"/>
          <w:b w:val="false"/>
          <w:color w:val="000000"/>
          <w:sz w:val="20"/>
        </w:rPr>
        <w:t xml:space="preserve"> that </w:t>
      </w:r>
      <w:bookmarkStart w:id="779" w:name="DocXTextRef602"/>
      <w:bookmarkEnd w:id="779"/>
      <w:r>
        <w:rPr>
          <w:rFonts w:ascii="Times New Roman" w:hAnsi="Times New Roman"/>
          <w:b w:val="false"/>
          <w:color w:val="000000"/>
          <w:sz w:val="20"/>
        </w:rPr>
        <w:t>(i) reasonable notice shall be provided to Parent prior to any such filing and (ii) such filing, report or announcement shall clearly indicate in the footnotes therein, in reasonable detail, a description of the circumstances of the transfer and that the shares remain subject to the lock-up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other than the transactions contemplated by the Merger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3.          </w:t>
      </w:r>
      <w:bookmarkStart w:id="780" w:name="z_Ref237971217"/>
      <w:bookmarkEnd w:id="780"/>
      <w:r>
        <w:rPr>
          <w:rFonts w:ascii="Times New Roman" w:hAnsi="Times New Roman"/>
          <w:b w:val="false"/>
          <w:color w:val="000000"/>
          <w:sz w:val="20"/>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Parent Convertible Preferred Stock or any securities convertible into or exercisable or exchangeable for Parent Common Stock:</w:t>
      </w:r>
    </w:p>
    <w:p>
      <w:pPr>
        <w:pStyle w:val="TextBody"/>
        <w:bidi w:val="0"/>
        <w:spacing w:before="0" w:after="0"/>
        <w:jc w:val="both"/>
        <w:rPr>
          <w:color w:val="000000"/>
        </w:rPr>
      </w:pPr>
      <w:r>
        <w:rPr>
          <w:color w:val="000000"/>
        </w:rPr>
        <w:t> </w:t>
      </w:r>
    </w:p>
    <w:p>
      <w:pPr>
        <w:pStyle w:val="TextBody"/>
        <w:bidi w:val="0"/>
        <w:spacing w:before="0" w:after="0"/>
        <w:ind w:left="720" w:right="720" w:hanging="0"/>
        <w:jc w:val="both"/>
        <w:rPr>
          <w:rFonts w:ascii="Times New Roman" w:hAnsi="Times New Roman"/>
          <w:b w:val="false"/>
          <w:color w:val="000000"/>
          <w:sz w:val="20"/>
        </w:rPr>
      </w:pPr>
      <w:r>
        <w:rPr>
          <w:rFonts w:ascii="Times New Roman" w:hAnsi="Times New Roman"/>
          <w:b w:val="false"/>
          <w:color w:val="000000"/>
          <w:sz w:val="20"/>
        </w:rPr>
        <w:t>THE SHARES REPRESENTED BY THIS CERTIFICATE ARE SUBJECT TO AND MAY ONLY BE TRANSFERRED IN COMPLIANCE WITH A LOCK-UP AGREEMENT, A COPY OF WHICH IS ON FILE AT THE PRINCIPAL OFFICE OF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4.          </w:t>
      </w:r>
      <w:bookmarkStart w:id="781" w:name="z_Ref237971218"/>
      <w:bookmarkEnd w:id="781"/>
      <w:r>
        <w:rPr>
          <w:rFonts w:ascii="Times New Roman" w:hAnsi="Times New Roman"/>
          <w:b w:val="false"/>
          <w:color w:val="000000"/>
          <w:sz w:val="20"/>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5.          </w:t>
      </w:r>
      <w:bookmarkStart w:id="782" w:name="z_Ref237971219"/>
      <w:bookmarkEnd w:id="782"/>
      <w:r>
        <w:rPr>
          <w:rFonts w:ascii="Times New Roman" w:hAnsi="Times New Roman"/>
          <w:b w:val="false"/>
          <w:color w:val="000000"/>
          <w:sz w:val="20"/>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6.          </w:t>
      </w:r>
      <w:bookmarkStart w:id="783" w:name="z_Ref237971220"/>
      <w:bookmarkEnd w:id="783"/>
      <w:r>
        <w:rPr>
          <w:rFonts w:ascii="Times New Roman" w:hAnsi="Times New Roman"/>
          <w:b w:val="false"/>
          <w:color w:val="000000"/>
          <w:sz w:val="20"/>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7.          </w:t>
      </w:r>
      <w:bookmarkStart w:id="784" w:name="z_Ref237971221"/>
      <w:bookmarkEnd w:id="784"/>
      <w:r>
        <w:rPr>
          <w:rFonts w:ascii="Times New Roman" w:hAnsi="Times New Roman"/>
          <w:b w:val="false"/>
          <w:color w:val="000000"/>
          <w:sz w:val="20"/>
        </w:rPr>
        <w:t>In the event that any holder of securities of Parent that are subject to a substantially similar agreement entered into by such holder, other than the undersigned, is permitted by Parent to sell or otherwise transfer or dispose of shares of Parent Common Stock, Parent Convertible Preferred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Parent Convertible Preferred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b/>
          <w:i/>
          <w:color w:val="000000"/>
          <w:sz w:val="20"/>
        </w:rPr>
        <w:t>Pro Rata Release</w:t>
      </w:r>
      <w:r>
        <w:rPr>
          <w:rFonts w:ascii="Times New Roman" w:hAnsi="Times New Roman"/>
          <w:b w:val="false"/>
          <w:color w:val="000000"/>
          <w:sz w:val="20"/>
        </w:rPr>
        <w:t xml:space="preserv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such Pro 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originally subject to a substantially similar agreement. In the event of any Pro Rata Release, Parent shall promptly (and in any event within two (2) Business Days of such release) inform each relevant holder of Parent Common Stock, Parent Convertible Preferred Stock or any securities convertible into or exercisable or exchangeable for Parent Common Stock of the terms of such Pro Rata Release.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8.          </w:t>
      </w:r>
      <w:bookmarkStart w:id="785" w:name="z_Ref237971222"/>
      <w:bookmarkEnd w:id="785"/>
      <w:r>
        <w:rPr>
          <w:rFonts w:ascii="Times New Roman" w:hAnsi="Times New Roman"/>
          <w:b w:val="false"/>
          <w:color w:val="000000"/>
          <w:sz w:val="20"/>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9.          </w:t>
      </w:r>
      <w:bookmarkStart w:id="786" w:name="z_Ref237971223"/>
      <w:bookmarkEnd w:id="786"/>
      <w:r>
        <w:rPr>
          <w:rFonts w:ascii="Times New Roman" w:hAnsi="Times New Roman"/>
          <w:b w:val="false"/>
          <w:color w:val="000000"/>
          <w:sz w:val="20"/>
        </w:rPr>
        <w:t>The undersigned understands that this Lock-Up Agreement is irrevocable and is binding upon the undersigned’s heirs, legal representatives, successors and assigns.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10.        </w:t>
      </w:r>
      <w:bookmarkStart w:id="787" w:name="z_Ref237971224"/>
      <w:bookmarkEnd w:id="787"/>
      <w:r>
        <w:rPr>
          <w:rFonts w:ascii="Times New Roman" w:hAnsi="Times New Roman"/>
          <w:b w:val="false"/>
          <w:color w:val="000000"/>
          <w:sz w:val="20"/>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w:t>
      </w:r>
      <w:bookmarkStart w:id="788" w:name="DocXTextRef605"/>
      <w:bookmarkEnd w:id="788"/>
      <w:r>
        <w:rPr>
          <w:rFonts w:ascii="Times New Roman" w:hAnsi="Times New Roman"/>
          <w:b w:val="false"/>
          <w:color w:val="000000"/>
          <w:sz w:val="20"/>
        </w:rPr>
        <w:t xml:space="preserve">(i)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clause (i) of this </w:t>
      </w:r>
      <w:r>
        <w:rPr>
          <w:rFonts w:ascii="Times New Roman" w:hAnsi="Times New Roman"/>
          <w:b w:val="false"/>
          <w:color w:val="000000"/>
          <w:sz w:val="20"/>
          <w:u w:val="single"/>
        </w:rPr>
        <w:t>Section 10</w:t>
      </w:r>
      <w:r>
        <w:rPr>
          <w:rFonts w:ascii="Times New Roman" w:hAnsi="Times New Roman"/>
          <w:b w:val="false"/>
          <w:color w:val="000000"/>
          <w:sz w:val="20"/>
        </w:rPr>
        <w:t xml:space="preserve">, (iii) waives any objection to laying venue in any such action or Legal Proceeding in such courts, (iv) waives any objection that such courts are an inconvenient forum or do not have jurisdiction over any party, and </w:t>
      </w:r>
      <w:bookmarkStart w:id="789" w:name="DocXTextRef606"/>
      <w:bookmarkEnd w:id="789"/>
      <w:r>
        <w:rPr>
          <w:rFonts w:ascii="Times New Roman" w:hAnsi="Times New Roman"/>
          <w:b w:val="false"/>
          <w:color w:val="000000"/>
          <w:sz w:val="20"/>
        </w:rPr>
        <w:t xml:space="preserve">(v) agrees that service of process upon such party in any such action or Legal Proceeding shall be effective if notice is given in accordance with </w:t>
      </w:r>
      <w:r>
        <w:rPr>
          <w:rFonts w:ascii="Times New Roman" w:hAnsi="Times New Roman"/>
          <w:b w:val="false"/>
          <w:color w:val="000000"/>
          <w:sz w:val="20"/>
          <w:u w:val="single"/>
        </w:rPr>
        <w:t>Section 11</w:t>
      </w:r>
      <w:r>
        <w:rPr>
          <w:rFonts w:ascii="Times New Roman" w:hAnsi="Times New Roman"/>
          <w:b w:val="false"/>
          <w:color w:val="000000"/>
          <w:sz w:val="20"/>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THE PARTIES HERETO HEREBY WAIVE ANY RIGHT TO TRIAL BY JURY WITH RESPECT TO ANY ACTION OR LEGAL PROCEEDING RELATED TO OR ARISING OUT OF THIS LOCK-UP AGREEMENT, ANY DOCUMENT EXECUTED IN CONNECTION HEREWITH AND THE MATTERS CONTEMPLATED HEREBY AND THEREBY.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11.          </w:t>
      </w:r>
      <w:bookmarkStart w:id="790" w:name="z_Ref237971225"/>
      <w:bookmarkEnd w:id="790"/>
      <w:r>
        <w:rPr>
          <w:rFonts w:ascii="Times New Roman" w:hAnsi="Times New Roman"/>
          <w:b w:val="false"/>
          <w:color w:val="000000"/>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w:t>
      </w:r>
      <w:bookmarkStart w:id="791" w:name="DocXTextRef607"/>
      <w:bookmarkEnd w:id="791"/>
      <w:r>
        <w:rPr>
          <w:rFonts w:ascii="Times New Roman" w:hAnsi="Times New Roman"/>
          <w:b w:val="false"/>
          <w:color w:val="000000"/>
          <w:sz w:val="20"/>
        </w:rPr>
        <w:t>8.8 of the Merger Agreement and to the undersigned at his, her or its address or email address (providing confirmation of transmission) set forth on the signature page hereto (or at such other address for a party as shall be specified by like notice).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12.          </w:t>
      </w:r>
      <w:bookmarkStart w:id="792" w:name="z_Ref237971226"/>
      <w:bookmarkEnd w:id="792"/>
      <w:r>
        <w:rPr>
          <w:rFonts w:ascii="Times New Roman" w:hAnsi="Times New Roman"/>
          <w:b w:val="false"/>
          <w:color w:val="000000"/>
          <w:sz w:val="20"/>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i/>
          <w:color w:val="000000"/>
          <w:sz w:val="20"/>
        </w:rPr>
      </w:pPr>
      <w:r>
        <w:rPr>
          <w:rFonts w:ascii="Times New Roman" w:hAnsi="Times New Roman"/>
          <w:b w:val="false"/>
          <w:i/>
          <w:color w:val="000000"/>
          <w:sz w:val="20"/>
        </w:rPr>
        <w:t>(Signature Pages Follow)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Very truly yours,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793" w:name="z34b073eb754646f8a8f4879540e0f74a"/>
      <w:bookmarkStart w:id="794" w:name="z34b073eb754646f8a8f4879540e0f74a"/>
      <w:bookmarkEnd w:id="794"/>
    </w:p>
    <w:tbl>
      <w:tblPr>
        <w:tblW w:w="2614" w:type="dxa"/>
        <w:jc w:val="center"/>
        <w:tblInd w:w="0" w:type="dxa"/>
        <w:tblLayout w:type="fixed"/>
        <w:tblCellMar>
          <w:top w:w="0" w:type="dxa"/>
          <w:left w:w="0" w:type="dxa"/>
          <w:bottom w:w="0" w:type="dxa"/>
          <w:right w:w="0" w:type="dxa"/>
        </w:tblCellMar>
      </w:tblPr>
      <w:tblGrid>
        <w:gridCol w:w="60"/>
        <w:gridCol w:w="2469"/>
        <w:gridCol w:w="85"/>
      </w:tblGrid>
      <w:tr>
        <w:trPr/>
        <w:tc>
          <w:tcPr>
            <w:tcW w:w="60" w:type="dxa"/>
            <w:tcBorders/>
            <w:vAlign w:val="center"/>
          </w:tcPr>
          <w:p>
            <w:pPr>
              <w:pStyle w:val="TableContents"/>
              <w:bidi w:val="0"/>
              <w:spacing w:before="0" w:after="0"/>
              <w:jc w:val="left"/>
              <w:rPr/>
            </w:pPr>
            <w:r>
              <w:rPr/>
              <w:t> </w:t>
            </w:r>
          </w:p>
        </w:tc>
        <w:tc>
          <w:tcPr>
            <w:tcW w:w="2554" w:type="dxa"/>
            <w:gridSpan w:val="2"/>
            <w:tcBorders/>
            <w:vAlign w:val="center"/>
          </w:tcPr>
          <w:p>
            <w:pPr>
              <w:pStyle w:val="TableContents"/>
              <w:bidi w:val="0"/>
              <w:spacing w:before="0" w:after="0"/>
              <w:jc w:val="left"/>
              <w:rPr>
                <w:b/>
              </w:rPr>
            </w:pPr>
            <w:r>
              <w:rPr>
                <w:b/>
              </w:rPr>
              <w:t>[Stockholder]</w:t>
            </w:r>
          </w:p>
        </w:tc>
      </w:tr>
      <w:tr>
        <w:trPr/>
        <w:tc>
          <w:tcPr>
            <w:tcW w:w="60" w:type="dxa"/>
            <w:tcBorders/>
            <w:vAlign w:val="center"/>
          </w:tcPr>
          <w:p>
            <w:pPr>
              <w:pStyle w:val="TableContents"/>
              <w:bidi w:val="0"/>
              <w:spacing w:before="0" w:after="0"/>
              <w:jc w:val="left"/>
              <w:rPr/>
            </w:pPr>
            <w:r>
              <w:rPr/>
              <w:t> </w:t>
            </w:r>
          </w:p>
        </w:tc>
        <w:tc>
          <w:tcPr>
            <w:tcW w:w="2554"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554" w:type="dxa"/>
            <w:gridSpan w:val="2"/>
            <w:tcBorders/>
            <w:vAlign w:val="center"/>
          </w:tcPr>
          <w:p>
            <w:pPr>
              <w:pStyle w:val="TableContents"/>
              <w:bidi w:val="0"/>
              <w:spacing w:before="0" w:after="283"/>
              <w:jc w:val="left"/>
              <w:rPr/>
            </w:pPr>
            <w:r>
              <w:rPr/>
              <w:t>Signature (for individuals):</w:t>
            </w:r>
          </w:p>
        </w:tc>
      </w:tr>
      <w:tr>
        <w:trPr/>
        <w:tc>
          <w:tcPr>
            <w:tcW w:w="60" w:type="dxa"/>
            <w:tcBorders/>
            <w:vAlign w:val="center"/>
          </w:tcPr>
          <w:p>
            <w:pPr>
              <w:pStyle w:val="TableContents"/>
              <w:bidi w:val="0"/>
              <w:spacing w:before="0" w:after="0"/>
              <w:jc w:val="left"/>
              <w:rPr/>
            </w:pPr>
            <w:r>
              <w:rPr/>
              <w:t> </w:t>
            </w:r>
          </w:p>
        </w:tc>
        <w:tc>
          <w:tcPr>
            <w:tcW w:w="2554" w:type="dxa"/>
            <w:gridSpan w:val="2"/>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554"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554"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554" w:type="dxa"/>
            <w:gridSpan w:val="2"/>
            <w:tcBorders/>
            <w:vAlign w:val="center"/>
          </w:tcPr>
          <w:p>
            <w:pPr>
              <w:pStyle w:val="TableContents"/>
              <w:bidi w:val="0"/>
              <w:spacing w:before="0" w:after="283"/>
              <w:jc w:val="left"/>
              <w:rPr/>
            </w:pPr>
            <w:r>
              <w:rPr/>
              <w:t>Signature (for entities):</w:t>
            </w:r>
          </w:p>
        </w:tc>
      </w:tr>
      <w:tr>
        <w:trPr/>
        <w:tc>
          <w:tcPr>
            <w:tcW w:w="60" w:type="dxa"/>
            <w:tcBorders/>
            <w:vAlign w:val="center"/>
          </w:tcPr>
          <w:p>
            <w:pPr>
              <w:pStyle w:val="TableContents"/>
              <w:bidi w:val="0"/>
              <w:spacing w:before="0" w:after="0"/>
              <w:jc w:val="left"/>
              <w:rPr/>
            </w:pPr>
            <w:r>
              <w:rPr/>
              <w:t> </w:t>
            </w:r>
          </w:p>
        </w:tc>
        <w:tc>
          <w:tcPr>
            <w:tcW w:w="2554" w:type="dxa"/>
            <w:gridSpan w:val="2"/>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pPr>
            <w:r>
              <w:rPr>
                <w:rFonts w:ascii="Times New Roman" w:hAnsi="Times New Roman"/>
                <w:color w:val="000000"/>
                <w:sz w:val="20"/>
              </w:rPr>
              <w:t>By:</w:t>
            </w:r>
            <w:r>
              <w:rPr/>
              <w:t xml:space="preserve"> </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24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c>
          <w:tcPr>
            <w:tcW w:w="85"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center"/>
        <w:rPr>
          <w:rFonts w:ascii="Times New Roman" w:hAnsi="Times New Roman"/>
          <w:b w:val="false"/>
          <w:i/>
          <w:color w:val="000000"/>
          <w:sz w:val="20"/>
        </w:rPr>
      </w:pPr>
      <w:r>
        <w:rPr>
          <w:rFonts w:ascii="Times New Roman" w:hAnsi="Times New Roman"/>
          <w:b w:val="false"/>
          <w:i/>
          <w:color w:val="000000"/>
          <w:sz w:val="20"/>
        </w:rPr>
        <w:t>[Signature Page to Lock-Up Agreement]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B-7</w:t>
      </w:r>
    </w:p>
    <w:p>
      <w:pPr>
        <w:pStyle w:val="HorizontalLine"/>
        <w:pBdr>
          <w:bottom w:val="single" w:sz="12" w:space="0" w:color="808080"/>
        </w:pBdr>
        <w:bidi w:val="0"/>
        <w:spacing w:before="200" w:after="200"/>
        <w:jc w:val="left"/>
        <w:rPr/>
      </w:pPr>
      <w:r>
        <w:rPr/>
      </w:r>
    </w:p>
    <w:tbl>
      <w:tblPr>
        <w:tblW w:w="3634" w:type="dxa"/>
        <w:jc w:val="center"/>
        <w:tblInd w:w="0" w:type="dxa"/>
        <w:tblLayout w:type="fixed"/>
        <w:tblCellMar>
          <w:top w:w="0" w:type="dxa"/>
          <w:left w:w="0" w:type="dxa"/>
          <w:bottom w:w="0" w:type="dxa"/>
          <w:right w:w="0" w:type="dxa"/>
        </w:tblCellMar>
      </w:tblPr>
      <w:tblGrid>
        <w:gridCol w:w="60"/>
        <w:gridCol w:w="3179"/>
        <w:gridCol w:w="395"/>
      </w:tblGrid>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0"/>
              <w:jc w:val="left"/>
              <w:rPr>
                <w:b/>
              </w:rPr>
            </w:pPr>
            <w:r>
              <w:rPr>
                <w:b/>
              </w:rPr>
              <w:t>Accepted and Agreed</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b/>
              </w:rPr>
            </w:pPr>
            <w:r>
              <w:rPr>
                <w:b/>
              </w:rPr>
              <w:t>by Lisata Therapeutics, Inc.</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179" w:type="dxa"/>
            <w:tcBorders/>
            <w:vAlign w:val="center"/>
          </w:tcPr>
          <w:p>
            <w:pPr>
              <w:pStyle w:val="TableContents"/>
              <w:bidi w:val="0"/>
              <w:spacing w:before="0" w:after="283"/>
              <w:jc w:val="left"/>
              <w:rPr/>
            </w:pPr>
            <w:r>
              <w:rPr>
                <w:rFonts w:ascii="Times New Roman" w:hAnsi="Times New Roman"/>
                <w:sz w:val="20"/>
              </w:rPr>
              <w:t>By:</w:t>
            </w:r>
            <w:r>
              <w:rPr/>
              <w:t xml:space="preserve"> </w:t>
            </w:r>
          </w:p>
        </w:tc>
        <w:tc>
          <w:tcPr>
            <w:tcW w:w="3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 David J. Mazzo, Ph.D.</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 President and Chief Executive Officer</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b/>
              </w:rPr>
            </w:pPr>
            <w:r>
              <w:rPr>
                <w:b/>
              </w:rPr>
              <w:t>Accepted and Agreed</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b/>
              </w:rPr>
            </w:pPr>
            <w:r>
              <w:rPr>
                <w:b/>
              </w:rPr>
              <w:t>by Marea Therapeutics, Inc.:</w:t>
            </w:r>
          </w:p>
        </w:tc>
      </w:tr>
      <w:tr>
        <w:trPr/>
        <w:tc>
          <w:tcPr>
            <w:tcW w:w="60" w:type="dxa"/>
            <w:tcBorders/>
            <w:vAlign w:val="center"/>
          </w:tcPr>
          <w:p>
            <w:pPr>
              <w:pStyle w:val="TableContents"/>
              <w:bidi w:val="0"/>
              <w:spacing w:before="0" w:after="0"/>
              <w:jc w:val="left"/>
              <w:rPr/>
            </w:pPr>
            <w:r>
              <w:rPr/>
              <w:t> </w:t>
            </w:r>
          </w:p>
        </w:tc>
        <w:tc>
          <w:tcPr>
            <w:tcW w:w="3574"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179" w:type="dxa"/>
            <w:tcBorders/>
            <w:vAlign w:val="center"/>
          </w:tcPr>
          <w:p>
            <w:pPr>
              <w:pStyle w:val="TableContents"/>
              <w:bidi w:val="0"/>
              <w:spacing w:before="0" w:after="283"/>
              <w:jc w:val="left"/>
              <w:rPr/>
            </w:pPr>
            <w:r>
              <w:rPr>
                <w:rFonts w:ascii="Times New Roman" w:hAnsi="Times New Roman"/>
                <w:color w:val="000000"/>
                <w:sz w:val="20"/>
              </w:rPr>
              <w:t>By:</w:t>
            </w:r>
            <w:r>
              <w:rPr/>
              <w:t xml:space="preserve"> </w:t>
            </w:r>
          </w:p>
        </w:tc>
        <w:tc>
          <w:tcPr>
            <w:tcW w:w="39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1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5"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1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5"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i/>
          <w:color w:val="000000"/>
          <w:sz w:val="20"/>
        </w:rPr>
      </w:pPr>
      <w:r>
        <w:rPr>
          <w:rFonts w:ascii="Times New Roman" w:hAnsi="Times New Roman"/>
          <w:b w:val="false"/>
          <w:i/>
          <w:color w:val="000000"/>
          <w:sz w:val="20"/>
        </w:rPr>
        <w:t>[Signature Page to Lock-Up Agreement]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SERIES C CERTIFICATE OF DESIGNATIONS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PARENT SUPPORT AGREEMENT</w:t>
      </w:r>
    </w:p>
    <w:p>
      <w:pPr>
        <w:pStyle w:val="TextBody"/>
        <w:bidi w:val="0"/>
        <w:spacing w:before="0" w:after="0"/>
        <w:jc w:val="left"/>
        <w:rPr>
          <w:color w:val="000000"/>
        </w:rPr>
      </w:pPr>
      <w:bookmarkStart w:id="795" w:name="z_Hlk179281129"/>
      <w:bookmarkEnd w:id="795"/>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This Support Agreement (this “</w:t>
      </w:r>
      <w:r>
        <w:rPr>
          <w:rFonts w:ascii="Times New Roman" w:hAnsi="Times New Roman"/>
          <w:b w:val="false"/>
          <w:color w:val="000000"/>
          <w:sz w:val="20"/>
          <w:u w:val="single"/>
        </w:rPr>
        <w:t>Agreement</w:t>
      </w:r>
      <w:r>
        <w:rPr>
          <w:rFonts w:ascii="Times New Roman" w:hAnsi="Times New Roman"/>
          <w:b w:val="false"/>
          <w:color w:val="000000"/>
          <w:sz w:val="20"/>
        </w:rPr>
        <w:t>”) is made and entered into as of September 17, 2026, by and among Lisata Therapeutics, Inc., a Delaware corporation (“</w:t>
      </w:r>
      <w:r>
        <w:rPr>
          <w:rFonts w:ascii="Times New Roman" w:hAnsi="Times New Roman"/>
          <w:b w:val="false"/>
          <w:color w:val="000000"/>
          <w:sz w:val="20"/>
          <w:u w:val="single"/>
        </w:rPr>
        <w:t>Parent</w:t>
      </w:r>
      <w:r>
        <w:rPr>
          <w:rFonts w:ascii="Times New Roman" w:hAnsi="Times New Roman"/>
          <w:b w:val="false"/>
          <w:color w:val="000000"/>
          <w:sz w:val="20"/>
        </w:rPr>
        <w:t>”), Marea Therapeutics, Inc., a Delaware corporation (the “</w:t>
      </w:r>
      <w:r>
        <w:rPr>
          <w:rFonts w:ascii="Times New Roman" w:hAnsi="Times New Roman"/>
          <w:b w:val="false"/>
          <w:color w:val="000000"/>
          <w:sz w:val="20"/>
          <w:u w:val="single"/>
        </w:rPr>
        <w:t>Company</w:t>
      </w:r>
      <w:r>
        <w:rPr>
          <w:rFonts w:ascii="Times New Roman" w:hAnsi="Times New Roman"/>
          <w:b w:val="false"/>
          <w:color w:val="000000"/>
          <w:sz w:val="20"/>
        </w:rPr>
        <w:t>”), and the undersigned stockholder (the “</w:t>
      </w:r>
      <w:r>
        <w:rPr>
          <w:rFonts w:ascii="Times New Roman" w:hAnsi="Times New Roman"/>
          <w:b w:val="false"/>
          <w:color w:val="000000"/>
          <w:sz w:val="20"/>
          <w:u w:val="single"/>
        </w:rPr>
        <w:t>Stockholder</w:t>
      </w:r>
      <w:r>
        <w:rPr>
          <w:rFonts w:ascii="Times New Roman" w:hAnsi="Times New Roman"/>
          <w:b w:val="false"/>
          <w:color w:val="000000"/>
          <w:sz w:val="20"/>
        </w:rPr>
        <w:t>” and each of the Stockholder, Parent and Company, a “</w:t>
      </w:r>
      <w:r>
        <w:rPr>
          <w:rFonts w:ascii="Times New Roman" w:hAnsi="Times New Roman"/>
          <w:b w:val="false"/>
          <w:color w:val="000000"/>
          <w:sz w:val="20"/>
          <w:u w:val="single"/>
        </w:rPr>
        <w:t>Party</w:t>
      </w:r>
      <w:r>
        <w:rPr>
          <w:rFonts w:ascii="Times New Roman" w:hAnsi="Times New Roman"/>
          <w:b w:val="false"/>
          <w:color w:val="000000"/>
          <w:sz w:val="20"/>
        </w:rPr>
        <w:t>” and, collectively, the “</w:t>
      </w:r>
      <w:r>
        <w:rPr>
          <w:rFonts w:ascii="Times New Roman" w:hAnsi="Times New Roman"/>
          <w:b w:val="false"/>
          <w:color w:val="000000"/>
          <w:sz w:val="20"/>
          <w:u w:val="single"/>
        </w:rPr>
        <w:t>Parties</w:t>
      </w:r>
      <w:r>
        <w:rPr>
          <w:rFonts w:ascii="Times New Roman" w:hAnsi="Times New Roman"/>
          <w:b w:val="false"/>
          <w:color w:val="000000"/>
          <w:sz w:val="20"/>
        </w:rPr>
        <w:t>”) of Parent. Capitalized terms used herein but not otherwise defined shall have the respective meanings ascribed to such terms in the Merger Agreement (as defined below).</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concurrently with the execution and delivery hereof, Parent, the Company, Mariner Merger Sub I, Inc., a Delaware corporation and a wholly owned subsidiary of Parent (“</w:t>
      </w:r>
      <w:r>
        <w:rPr>
          <w:rFonts w:ascii="Times New Roman" w:hAnsi="Times New Roman"/>
          <w:b w:val="false"/>
          <w:color w:val="000000"/>
          <w:sz w:val="20"/>
          <w:u w:val="single"/>
        </w:rPr>
        <w:t>First Merger Sub</w:t>
      </w:r>
      <w:r>
        <w:rPr>
          <w:rFonts w:ascii="Times New Roman" w:hAnsi="Times New Roman"/>
          <w:b w:val="false"/>
          <w:color w:val="000000"/>
          <w:sz w:val="20"/>
        </w:rPr>
        <w:t>”), and Mariner Merger Sub II, LLC, a Delaware limited liability company and a wholly owned subsidiary of Parent (“</w:t>
      </w:r>
      <w:r>
        <w:rPr>
          <w:rFonts w:ascii="Times New Roman" w:hAnsi="Times New Roman"/>
          <w:b w:val="false"/>
          <w:color w:val="000000"/>
          <w:sz w:val="20"/>
          <w:u w:val="single"/>
        </w:rPr>
        <w:t>Second Merger Sub</w:t>
      </w:r>
      <w:r>
        <w:rPr>
          <w:rFonts w:ascii="Times New Roman" w:hAnsi="Times New Roman"/>
          <w:b w:val="false"/>
          <w:color w:val="000000"/>
          <w:sz w:val="20"/>
        </w:rPr>
        <w:t>”), have entered into an Agreement and Plan of Merger (as such agreement may be amended or supplemented from time to time pursuant to the terms thereof, the “</w:t>
      </w:r>
      <w:r>
        <w:rPr>
          <w:rFonts w:ascii="Times New Roman" w:hAnsi="Times New Roman"/>
          <w:b w:val="false"/>
          <w:color w:val="000000"/>
          <w:sz w:val="20"/>
          <w:u w:val="single"/>
        </w:rPr>
        <w:t>Merger Agreement</w:t>
      </w:r>
      <w:r>
        <w:rPr>
          <w:rFonts w:ascii="Times New Roman" w:hAnsi="Times New Roman"/>
          <w:b w:val="false"/>
          <w:color w:val="000000"/>
          <w:sz w:val="20"/>
        </w:rPr>
        <w:t>”), pursuant to which (i) First Merger Sub will merge with and into the Company, with the Company surviving the First Merger as the surviving corporation and a wholly owned subsidiary of Parent, and (ii) the Company will merge with and into Second Merger Sub, with Second Merger Sub being the surviving entity of the Second Merger, in each case, upon the terms and subject to the conditions set forth in the Merger Agreement (together, the “</w:t>
      </w:r>
      <w:r>
        <w:rPr>
          <w:rFonts w:ascii="Times New Roman" w:hAnsi="Times New Roman"/>
          <w:b w:val="false"/>
          <w:color w:val="000000"/>
          <w:sz w:val="20"/>
          <w:u w:val="single"/>
        </w:rPr>
        <w:t>Merger</w:t>
      </w:r>
      <w:r>
        <w:rPr>
          <w:rFonts w:ascii="Times New Roman" w:hAnsi="Times New Roman"/>
          <w:b w:val="false"/>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WHEREAS, as of the date hereof, the Stockholder is the beneficial owner (as defined in Rule 13d-3 under the Exchange Act) of such number of shares of Parent Common Stock, and holds Parent Options and/or Parent RSUs, in each case, in, or exercisable into, the number of shares of Parent Common Stock, as indicated in </w:t>
      </w:r>
      <w:r>
        <w:rPr>
          <w:rFonts w:ascii="Times New Roman" w:hAnsi="Times New Roman"/>
          <w:b w:val="false"/>
          <w:color w:val="000000"/>
          <w:sz w:val="20"/>
          <w:u w:val="single"/>
        </w:rPr>
        <w:t>Appendix A</w:t>
      </w:r>
      <w:r>
        <w:rPr>
          <w:rFonts w:ascii="Times New Roman" w:hAnsi="Times New Roman"/>
          <w:b w:val="false"/>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as a condition and inducement to the willingness of the Company and Parent to enter into the Merger Agreement, Parent has required that Stockholder enter into this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NOW, THEREFORE, intending to be legally bound, the Parties hereby agree as follows: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1.          </w:t>
      </w:r>
      <w:r>
        <w:rPr>
          <w:rFonts w:ascii="Times New Roman" w:hAnsi="Times New Roman"/>
          <w:b w:val="false"/>
          <w:color w:val="000000"/>
          <w:sz w:val="20"/>
          <w:u w:val="single"/>
        </w:rPr>
        <w:t>Certain Definitions</w:t>
      </w:r>
      <w:r>
        <w:rPr>
          <w:rFonts w:ascii="Times New Roman" w:hAnsi="Times New Roman"/>
          <w:b w:val="false"/>
          <w:color w:val="000000"/>
          <w:sz w:val="20"/>
        </w:rPr>
        <w:t>. Capitalized terms used but not otherwise defined herein shall have the meanings ascribed thereto in the Merger Agreement. For all purposes of this Agreement, the following terms shall have the following respective meanings: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(a)          “</w:t>
      </w:r>
      <w:r>
        <w:rPr>
          <w:rFonts w:ascii="Times New Roman" w:hAnsi="Times New Roman"/>
          <w:b w:val="false"/>
          <w:color w:val="000000"/>
          <w:sz w:val="20"/>
          <w:u w:val="single"/>
        </w:rPr>
        <w:t>Constructive Sale</w:t>
      </w:r>
      <w:r>
        <w:rPr>
          <w:rFonts w:ascii="Times New Roman" w:hAnsi="Times New Roman"/>
          <w:b w:val="false"/>
          <w:color w:val="000000"/>
          <w:sz w:val="20"/>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(b)          “</w:t>
      </w:r>
      <w:r>
        <w:rPr>
          <w:rFonts w:ascii="Times New Roman" w:hAnsi="Times New Roman"/>
          <w:b w:val="false"/>
          <w:color w:val="000000"/>
          <w:sz w:val="20"/>
          <w:u w:val="single"/>
        </w:rPr>
        <w:t>Shares</w:t>
      </w:r>
      <w:r>
        <w:rPr>
          <w:rFonts w:ascii="Times New Roman" w:hAnsi="Times New Roman"/>
          <w:b w:val="false"/>
          <w:color w:val="000000"/>
          <w:sz w:val="20"/>
        </w:rPr>
        <w:t>” means (i) all shares of Parent Common Stock owned, beneficially or of record, by the Stockholder as of the date hereof, (ii) all additional shares of Parent Common Stock acquired by the Stockholder, beneficially owned or of record, during the period commencing with the execution and delivery of this Agreement and expiring on the Closing Date, and (iii) all convertible notes, promissory notes, warrants, options, rights or other securities or instruments directly or indirectly held by the Stockholder as of the date hereof that are convertible into or exercisable or exchangeable for shares of Parent Common Stock, whether or not currently convertible, exercisable or exchangeable.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(c)          “</w:t>
      </w:r>
      <w:r>
        <w:rPr>
          <w:rFonts w:ascii="Times New Roman" w:hAnsi="Times New Roman"/>
          <w:b w:val="false"/>
          <w:color w:val="000000"/>
          <w:sz w:val="20"/>
          <w:u w:val="single"/>
        </w:rPr>
        <w:t>Transfer</w:t>
      </w:r>
      <w:r>
        <w:rPr>
          <w:rFonts w:ascii="Times New Roman" w:hAnsi="Times New Roman"/>
          <w:b w:val="false"/>
          <w:color w:val="000000"/>
          <w:sz w:val="20"/>
        </w:rPr>
        <w:t>” or “</w:t>
      </w:r>
      <w:r>
        <w:rPr>
          <w:rFonts w:ascii="Times New Roman" w:hAnsi="Times New Roman"/>
          <w:b w:val="false"/>
          <w:color w:val="000000"/>
          <w:sz w:val="20"/>
          <w:u w:val="single"/>
        </w:rPr>
        <w:t>Transferred</w:t>
      </w:r>
      <w:r>
        <w:rPr>
          <w:rFonts w:ascii="Times New Roman" w:hAnsi="Times New Roman"/>
          <w:b w:val="false"/>
          <w:color w:val="000000"/>
          <w:sz w:val="20"/>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2.          </w:t>
      </w:r>
      <w:bookmarkStart w:id="796" w:name="z_Ref179279526"/>
      <w:bookmarkEnd w:id="796"/>
      <w:r>
        <w:rPr>
          <w:rFonts w:ascii="Times New Roman" w:hAnsi="Times New Roman"/>
          <w:b w:val="false"/>
          <w:color w:val="000000"/>
          <w:sz w:val="20"/>
          <w:u w:val="single"/>
        </w:rPr>
        <w:t>Transfer and Voting Restrictions</w:t>
      </w:r>
      <w:r>
        <w:rPr>
          <w:rFonts w:ascii="Times New Roman" w:hAnsi="Times New Roman"/>
          <w:b w:val="false"/>
          <w:color w:val="000000"/>
          <w:sz w:val="20"/>
        </w:rPr>
        <w:t>. The Stockholder covenants to Parent and the Company as follows: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 xml:space="preserve">(a)          Except as otherwise permitted by </w:t>
      </w:r>
      <w:r>
        <w:rPr>
          <w:rFonts w:ascii="Times New Roman" w:hAnsi="Times New Roman"/>
          <w:b w:val="false"/>
          <w:color w:val="000000"/>
          <w:sz w:val="20"/>
          <w:u w:val="single"/>
        </w:rPr>
        <w:t>Section 2(c)</w:t>
      </w:r>
      <w:r>
        <w:rPr>
          <w:rFonts w:ascii="Times New Roman" w:hAnsi="Times New Roman"/>
          <w:b w:val="false"/>
          <w:color w:val="000000"/>
          <w:sz w:val="20"/>
        </w:rPr>
        <w:t>, during the period commencing with the execution and delivery of this Agreement and expiring on the Expiration Date (as defined below), the Stockholder shall not Transfer any of the Stockholder’s Shares, enter into any Contract, option, commitment or other arrangement or understanding regarding the Transfer of its Shares or publicly announce its intention to Transfer any of its Shares.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(b)          Except as otherwise permitted by this Agreement or otherwise permitted or required by order of a court of competent jurisdiction or a Governmental Body, the Stockholder will not commit or take any act that would restrict the Stockholder’s legal power, authority and right to vote all of the Shares held by the Stockholder or otherwise prevent or disable the Stockholder from performing any of his, her or its obligations under this Agreement, or take any action, commit to, or omit to take any action that would make any representation or warranty of the Stockholder contained in this Agreement untrue or incorrect or which would have the effect of preventing or disabling the Stockholder from performing any of his, her or its obligations under this Agreement. Without limiting the generality of the foregoing, except for this Agreement, and as otherwise permitted by this Agreement, the Stockholder shall not enter into any voting agreement or similar arrangement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vote the Stockholder’s Shares in favor of the Parent Stockholder Matters and against any competing proposals.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(c)          </w:t>
      </w:r>
      <w:bookmarkStart w:id="797" w:name="z_Ref179279520"/>
      <w:bookmarkEnd w:id="797"/>
      <w:r>
        <w:rPr>
          <w:rFonts w:ascii="Times New Roman" w:hAnsi="Times New Roman"/>
          <w:b w:val="false"/>
          <w:color w:val="000000"/>
          <w:sz w:val="20"/>
        </w:rPr>
        <w:t xml:space="preserve">Notwithstanding anything else herein to the contrary, the Stockholder may, at any time, Transfer Shares (i) by will or other testamentary document or by intestacy, (ii) to such Stockholder’s Affiliates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(vi) purchased from Parent on or about the Closing Date (including any Shares issued upon conversion of any convertible securities of Parent), (vii) to the extent required by applicable Law and (viii) pursuant to the exercise of any Parent Option to purchase any Parent Common Stock or settlement of any Parent RSU, in each case, including in order to pay the exercise price of such Parent Option or satisfy taxes applicable thereto; </w:t>
      </w:r>
      <w:r>
        <w:rPr>
          <w:rFonts w:ascii="Times New Roman" w:hAnsi="Times New Roman"/>
          <w:b w:val="false"/>
          <w:color w:val="000000"/>
          <w:sz w:val="20"/>
          <w:u w:val="single"/>
        </w:rPr>
        <w:t>provided</w:t>
      </w:r>
      <w:r>
        <w:rPr>
          <w:rFonts w:ascii="Times New Roman" w:hAnsi="Times New Roman"/>
          <w:b w:val="false"/>
          <w:color w:val="000000"/>
          <w:sz w:val="20"/>
        </w:rPr>
        <w:t>, that in the cases of clauses (i)-(v), (x) such Transferred Shares shall continue to be bound by this Agreement and (y) the applicable direct transferee (if any) of such Transferred Shares shall have executed and delivered to Parent a support agreement substantially identical to this Agreement upon consummation of the Transfer if not already a party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(d)          Notwithstanding anything to the contrary herein, nothing in this Agreement shall obligate the Stockholder to exercise any Parent Option or any other right to acquire any shares of Parent Common Stock.</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3.          </w:t>
      </w:r>
      <w:bookmarkStart w:id="798" w:name="z_Ref179281042"/>
      <w:bookmarkEnd w:id="798"/>
      <w:r>
        <w:rPr>
          <w:rFonts w:ascii="Times New Roman" w:hAnsi="Times New Roman"/>
          <w:b w:val="false"/>
          <w:color w:val="000000"/>
          <w:sz w:val="20"/>
          <w:u w:val="single"/>
        </w:rPr>
        <w:t>Agreement to Vote Shares</w:t>
      </w:r>
      <w:r>
        <w:rPr>
          <w:rFonts w:ascii="Times New Roman" w:hAnsi="Times New Roman"/>
          <w:b w:val="false"/>
          <w:color w:val="000000"/>
          <w:sz w:val="20"/>
        </w:rPr>
        <w:t>. The Stockholder covenants to Parent as follows: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(a)          Until the Expiration Date (as defined below), at any meeting of the stockholders of Parent called to vote upon the Parent Stockholder Matters, however called, and at every adjournment or postponement thereof, and on every action or approval by written consent of the stockholders of Parent, the Stockholder shall be present (in person or by proxy) and vote, or exercise its right to consent with respect to, all Shares held by the Stockholder (1) in favor of the Parent Stockholder Matters and any matters that could reasonably be expected to facilitate the Parent Stockholder Matters; (2) against any agreement, transaction or other matter that is intended to, or could reasonably be expected to, impede, interfere with, delay, postpone, discourage or materially and adversely affect the consummation of the Parent Stockholder Matters; (3) against any other proposal that would materially and adversely affect the rights of holders of Parent Series C Convertible Preferred Stock as set forth in the Series C Certificate of Designation; and (4) in favor of any proposal to adjourn or postpone the applicable meeting to a later date if there are not sufficient votes for the approval of the Parent Stockholder Matters on the date on which such meeting is held. The Stockholder hereby agrees that it shall not, and it shall cause its subsidiaries and Affiliates not to, take or commit or agree to take or commit any action inconsistent with the foregoing. </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b w:val="false"/>
          <w:color w:val="000000"/>
          <w:sz w:val="20"/>
          <w:u w:val="single"/>
        </w:rPr>
        <w:t>Section 3.</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 xml:space="preserve">(c)          In the event of (i) a stock split, stock dividend or distribution, or any change in the capital stock of Parent by reason of any split-up, reverse stock split, recapitalization, combination, reclassification, reincorporation, exchange of shares or the like or (ii) the acquisition of sole or shared voting power by the Stockholder of additional shares of capital stock or other equity securities of Parent, whether by the exercise of Parent Options, settlement of Parent RSUs or otherwise, including, without limitation, by gift or succession, then the term “Shares” shall be deemed to refer to and include such shares as well as all such stock dividends and distributions and any securities into which or for which any or all of such shares may be changed or exchanged or which are received in such transaction, and such Shares shall be subject to the terms and conditions of this Agreement to the same extent as if they constituted Shares as of the date of the execution of this Agreement, without the need for any further action by the Parties (including, for the avoidance of doubt, with respect to </w:t>
      </w:r>
      <w:r>
        <w:rPr>
          <w:rFonts w:ascii="Times New Roman" w:hAnsi="Times New Roman"/>
          <w:b w:val="false"/>
          <w:color w:val="000000"/>
          <w:sz w:val="20"/>
          <w:u w:val="single"/>
        </w:rPr>
        <w:t>Appendix A</w:t>
      </w:r>
      <w:r>
        <w:rPr>
          <w:rFonts w:ascii="Times New Roman" w:hAnsi="Times New Roman"/>
          <w:b w:val="false"/>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4.          </w:t>
      </w:r>
      <w:bookmarkStart w:id="799" w:name="z_Ref161332213"/>
      <w:bookmarkEnd w:id="799"/>
      <w:r>
        <w:rPr>
          <w:rFonts w:ascii="Times New Roman" w:hAnsi="Times New Roman"/>
          <w:b w:val="false"/>
          <w:color w:val="000000"/>
          <w:sz w:val="20"/>
          <w:u w:val="single"/>
        </w:rPr>
        <w:t>Action in Stockholder Capacity Only</w:t>
      </w:r>
      <w:r>
        <w:rPr>
          <w:rFonts w:ascii="Times New Roman" w:hAnsi="Times New Roman"/>
          <w:b w:val="false"/>
          <w:color w:val="000000"/>
          <w:sz w:val="20"/>
        </w:rPr>
        <w:t>. The Stockholder is entering into this Agreement solely in the Stockholder’s capacity as a record holder and beneficial owner, as applicable, of its Shares and not in the Stockholder’s capacity as a director or officer of Parent. Nothing herein shall limit or affect the Stockholder’s ability to act as an officer or director of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5.          </w:t>
      </w:r>
      <w:r>
        <w:rPr>
          <w:rFonts w:ascii="Times New Roman" w:hAnsi="Times New Roman"/>
          <w:b w:val="false"/>
          <w:color w:val="000000"/>
          <w:sz w:val="20"/>
          <w:u w:val="single"/>
        </w:rPr>
        <w:t>Irrevocable Proxy</w:t>
      </w:r>
      <w:r>
        <w:rPr>
          <w:rFonts w:ascii="Times New Roman" w:hAnsi="Times New Roman"/>
          <w:b w:val="false"/>
          <w:color w:val="000000"/>
          <w:sz w:val="20"/>
        </w:rPr>
        <w:t xml:space="preserve">. The Stockholder hereby revokes (or agrees to cause to be revoked) any proxies that the Stockholder has heretofore granted with respect to its Shares and represents that none of such previously-granted proxies is irrevocable. In the event and to the extent that the Stockholder fails to vote the Shares in accordance with </w:t>
      </w:r>
      <w:r>
        <w:rPr>
          <w:rFonts w:ascii="Times New Roman" w:hAnsi="Times New Roman"/>
          <w:b w:val="false"/>
          <w:color w:val="000000"/>
          <w:sz w:val="20"/>
          <w:u w:val="single"/>
        </w:rPr>
        <w:t>Section 3</w:t>
      </w:r>
      <w:r>
        <w:rPr>
          <w:rFonts w:ascii="Times New Roman" w:hAnsi="Times New Roman"/>
          <w:b w:val="false"/>
          <w:color w:val="000000"/>
          <w:sz w:val="20"/>
        </w:rPr>
        <w:t xml:space="preserve"> at any applicable meeting of the stockholders of Parent or pursuant to any applicable written consent of the stockholders of Parent, the Stockholder shall be deemed to have irrevocably granted to, and appointed, Parent, and any individual designated in writing by it, and each of them individually, as his, her or its proxy and attorney-in-fact (with full power of substitution), for and in its name, place and stead, to vote his, her or its Shares in any action by written consent of Parent stockholders or at any meeting of Parent stockholders called with respect to any of the matters specified in, and in accordance and consistent with, </w:t>
      </w:r>
      <w:r>
        <w:rPr>
          <w:rFonts w:ascii="Times New Roman" w:hAnsi="Times New Roman"/>
          <w:b w:val="false"/>
          <w:color w:val="000000"/>
          <w:sz w:val="20"/>
          <w:u w:val="single"/>
        </w:rPr>
        <w:t>Section 3</w:t>
      </w:r>
      <w:r>
        <w:rPr>
          <w:rFonts w:ascii="Times New Roman" w:hAnsi="Times New Roman"/>
          <w:b w:val="false"/>
          <w:color w:val="000000"/>
          <w:sz w:val="20"/>
        </w:rPr>
        <w:t xml:space="preserve"> of this Agreement. Parent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With respect to any Shares that are owned beneficially by the Stockholder but are not held of record by the Stockholder, the Stockholder shall take all actions necessary to cause the record holder of such Shares to grant the irrevocable proxy and take all other actions provided for in this Section 5 with respect to such Shares. Notwithstanding any other provisions of this Agreement, the irrevocable proxy granted hereunder shall automatically terminate on the Expiration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6.          </w:t>
      </w:r>
      <w:bookmarkStart w:id="800" w:name="z_Ref179281073"/>
      <w:bookmarkStart w:id="801" w:name="z_Ref161302852"/>
      <w:bookmarkEnd w:id="800"/>
      <w:bookmarkEnd w:id="801"/>
      <w:r>
        <w:rPr>
          <w:rFonts w:ascii="Times New Roman" w:hAnsi="Times New Roman"/>
          <w:b w:val="false"/>
          <w:color w:val="000000"/>
          <w:sz w:val="20"/>
          <w:u w:val="single"/>
        </w:rPr>
        <w:t>Documentation and Information</w:t>
      </w:r>
      <w:r>
        <w:rPr>
          <w:rFonts w:ascii="Times New Roman" w:hAnsi="Times New Roman"/>
          <w:b w:val="false"/>
          <w:color w:val="000000"/>
          <w:sz w:val="20"/>
        </w:rPr>
        <w:t xml:space="preserve">. The Stockholder shall permit and hereby authorizes Parent to publish and disclose in all documents and schedules filed with the SEC or other regulatory authority and as otherwise required by applicable Law, and any press release or other disclosure document that Parent or the Company may reasonably determine to be necessary in connection with the Merger and any of the Contemplated Transactions, a copy of this Agreement, the Stockholder’s identity and ownership of the Shares and the nature of the Stockholder’s commitments and obligations under this Agreement. Prior to the Expiration Date, the Stockholder shall not, and shall use its reasonable best efforts to cause its representatives, Subsidiaries and Affiliates not to, directly or indirectly, make any press release, public announcement or other public communication that criticizes or disparages this Agreement or the Merger Agreement or any of the Parent Stockholder Matters or the Contemplated Transactions, without the prior written consent of Parent and the Company (which may be withheld in the sole discretion of Parent or the Company, as applicable); </w:t>
      </w:r>
      <w:r>
        <w:rPr>
          <w:rFonts w:ascii="Times New Roman" w:hAnsi="Times New Roman"/>
          <w:b w:val="false"/>
          <w:color w:val="000000"/>
          <w:sz w:val="20"/>
          <w:u w:val="single"/>
        </w:rPr>
        <w:t>provided</w:t>
      </w:r>
      <w:r>
        <w:rPr>
          <w:rFonts w:ascii="Times New Roman" w:hAnsi="Times New Roman"/>
          <w:b w:val="false"/>
          <w:color w:val="000000"/>
          <w:sz w:val="20"/>
        </w:rPr>
        <w:t xml:space="preserve"> that the foregoing shall not limit or affect any actions taken by the Stockholder (or any affiliated officer or director of the Stockholder) that would be permitted to be taken by the Stockholder, Parent or the Company pursuant to the Merger Agreement; </w:t>
      </w:r>
      <w:r>
        <w:rPr>
          <w:rFonts w:ascii="Times New Roman" w:hAnsi="Times New Roman"/>
          <w:b w:val="false"/>
          <w:color w:val="000000"/>
          <w:sz w:val="20"/>
          <w:u w:val="single"/>
        </w:rPr>
        <w:t>provided</w:t>
      </w:r>
      <w:r>
        <w:rPr>
          <w:rFonts w:ascii="Times New Roman" w:hAnsi="Times New Roman"/>
          <w:b w:val="false"/>
          <w:color w:val="000000"/>
          <w:sz w:val="20"/>
        </w:rPr>
        <w:t>, further, that the foregoing shall not affect any actions of the Stockholder the prohibition of which would be prohibited under applicable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7.          </w:t>
      </w:r>
      <w:r>
        <w:rPr>
          <w:rFonts w:ascii="Times New Roman" w:hAnsi="Times New Roman"/>
          <w:b w:val="false"/>
          <w:color w:val="000000"/>
          <w:sz w:val="20"/>
          <w:u w:val="single"/>
        </w:rPr>
        <w:t>Representations and Warranties of the Stockholder</w:t>
      </w:r>
      <w:r>
        <w:rPr>
          <w:rFonts w:ascii="Times New Roman" w:hAnsi="Times New Roman"/>
          <w:b w:val="false"/>
          <w:color w:val="000000"/>
          <w:sz w:val="20"/>
        </w:rPr>
        <w:t>. The Stockholder hereby represents and warrants to Parent and the Company as follows:</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 xml:space="preserve">(a)          (i) The Stockholder is the beneficial or record owner of the shares of Parent Common Stock and/or the holder of the Parent Options or Parent RSUs indicated in </w:t>
      </w:r>
      <w:r>
        <w:rPr>
          <w:rFonts w:ascii="Times New Roman" w:hAnsi="Times New Roman"/>
          <w:b w:val="false"/>
          <w:color w:val="000000"/>
          <w:sz w:val="20"/>
          <w:u w:val="single"/>
        </w:rPr>
        <w:t>Appendix A</w:t>
      </w:r>
      <w:r>
        <w:rPr>
          <w:rFonts w:ascii="Times New Roman" w:hAnsi="Times New Roman"/>
          <w:b w:val="false"/>
          <w:color w:val="000000"/>
          <w:sz w:val="20"/>
        </w:rPr>
        <w:t xml:space="preserve"> (each of which shall be deemed to be “held” by the Stockholder for purposes of </w:t>
      </w:r>
      <w:r>
        <w:rPr>
          <w:rFonts w:ascii="Times New Roman" w:hAnsi="Times New Roman"/>
          <w:b w:val="false"/>
          <w:color w:val="000000"/>
          <w:sz w:val="20"/>
          <w:u w:val="single"/>
        </w:rPr>
        <w:t>Section 3</w:t>
      </w:r>
      <w:r>
        <w:rPr>
          <w:rFonts w:ascii="Times New Roman" w:hAnsi="Times New Roman"/>
          <w:b w:val="false"/>
          <w:color w:val="000000"/>
          <w:sz w:val="20"/>
        </w:rPr>
        <w:t xml:space="preserve"> unless otherwise expressly stated with respect to any shares in </w:t>
      </w:r>
      <w:r>
        <w:rPr>
          <w:rFonts w:ascii="Times New Roman" w:hAnsi="Times New Roman"/>
          <w:b w:val="false"/>
          <w:color w:val="000000"/>
          <w:sz w:val="20"/>
          <w:u w:val="single"/>
        </w:rPr>
        <w:t>Appendix A</w:t>
      </w:r>
      <w:r>
        <w:rPr>
          <w:rFonts w:ascii="Times New Roman" w:hAnsi="Times New Roman"/>
          <w:b w:val="false"/>
          <w:color w:val="000000"/>
          <w:sz w:val="20"/>
        </w:rPr>
        <w:t xml:space="preserve">), free and clear of any and all Encumbrances (except for any Encumbrance that may be imposed pursuant to this Agreement and Encumbrances arising under applicable securities or community property laws); and (ii) the Stockholder does not beneficially own any securities of Parent other than the shares of Parent Common Stock and rights to purchase or otherwise acquire shares of Parent Common Stock set forth in </w:t>
      </w:r>
      <w:r>
        <w:rPr>
          <w:rFonts w:ascii="Times New Roman" w:hAnsi="Times New Roman"/>
          <w:b w:val="false"/>
          <w:color w:val="000000"/>
          <w:sz w:val="20"/>
          <w:u w:val="single"/>
        </w:rPr>
        <w:t>Appendix A</w:t>
      </w:r>
      <w:r>
        <w:rPr>
          <w:rFonts w:ascii="Times New Roman" w:hAnsi="Times New Roman"/>
          <w:b w:val="false"/>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Body). If the Stockholder is an entity, the Stockholder is duly organized, validly existing and in good standing under the laws of the jurisdiction in which it is incorporated, organized or constituted.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(d)          The execution, delivery and performance of this Agreement by the Stockholder do not and will not require any consent, approval, authorization or permit of, action by, filing with or notification to, any Governmental Body,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Merger Subs are entering into the Merger Agreement in reliance upon the Stockholder’s execution, delivery and performance of this Agreement.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8.          </w:t>
      </w:r>
      <w:r>
        <w:rPr>
          <w:rFonts w:ascii="Times New Roman" w:hAnsi="Times New Roman"/>
          <w:b w:val="false"/>
          <w:color w:val="000000"/>
          <w:sz w:val="20"/>
          <w:u w:val="single"/>
        </w:rPr>
        <w:t>Termination</w:t>
      </w:r>
      <w:r>
        <w:rPr>
          <w:rFonts w:ascii="Times New Roman" w:hAnsi="Times New Roman"/>
          <w:b w:val="false"/>
          <w:color w:val="000000"/>
          <w:sz w:val="20"/>
        </w:rPr>
        <w:t>. This Agreement shall terminate and shall cease to be of any further force or effect as of the earliest of (a) twelve (12) months following the date of this Agreement, (b) the effective time of the approval of the Parent Stockholder Matters, and (c) the time this Agreement is terminated upon the mutual written agreement of each of the Stockholder, the Parent and the Company(the “</w:t>
      </w:r>
      <w:r>
        <w:rPr>
          <w:rFonts w:ascii="Times New Roman" w:hAnsi="Times New Roman"/>
          <w:b w:val="false"/>
          <w:color w:val="000000"/>
          <w:sz w:val="20"/>
          <w:u w:val="single"/>
        </w:rPr>
        <w:t>Expiration Date</w:t>
      </w:r>
      <w:r>
        <w:rPr>
          <w:rFonts w:ascii="Times New Roman" w:hAnsi="Times New Roman"/>
          <w:b w:val="false"/>
          <w:color w:val="000000"/>
          <w:sz w:val="20"/>
        </w:rPr>
        <w:t xml:space="preserve">”); </w:t>
      </w:r>
      <w:r>
        <w:rPr>
          <w:rFonts w:ascii="Times New Roman" w:hAnsi="Times New Roman"/>
          <w:b w:val="false"/>
          <w:color w:val="000000"/>
          <w:sz w:val="20"/>
          <w:u w:val="single"/>
        </w:rPr>
        <w:t>provided</w:t>
      </w:r>
      <w:r>
        <w:rPr>
          <w:rFonts w:ascii="Times New Roman" w:hAnsi="Times New Roman"/>
          <w:b w:val="false"/>
          <w:i/>
          <w:color w:val="000000"/>
          <w:sz w:val="20"/>
        </w:rPr>
        <w:t xml:space="preserve">, </w:t>
      </w:r>
      <w:r>
        <w:rPr>
          <w:rFonts w:ascii="Times New Roman" w:hAnsi="Times New Roman"/>
          <w:b w:val="false"/>
          <w:color w:val="000000"/>
          <w:sz w:val="20"/>
          <w:u w:val="single"/>
        </w:rPr>
        <w:t>however</w:t>
      </w:r>
      <w:r>
        <w:rPr>
          <w:rFonts w:ascii="Times New Roman" w:hAnsi="Times New Roman"/>
          <w:b w:val="false"/>
          <w:i/>
          <w:color w:val="000000"/>
          <w:sz w:val="20"/>
        </w:rPr>
        <w:t>,</w:t>
      </w:r>
      <w:r>
        <w:rPr>
          <w:rFonts w:ascii="Times New Roman" w:hAnsi="Times New Roman"/>
          <w:b w:val="false"/>
          <w:color w:val="000000"/>
          <w:sz w:val="20"/>
        </w:rPr>
        <w:t xml:space="preserve"> that (i) </w:t>
      </w:r>
      <w:r>
        <w:rPr>
          <w:rFonts w:ascii="Times New Roman" w:hAnsi="Times New Roman"/>
          <w:b w:val="false"/>
          <w:color w:val="000000"/>
          <w:sz w:val="20"/>
          <w:u w:val="single"/>
        </w:rPr>
        <w:t>Section 9</w:t>
      </w:r>
      <w:r>
        <w:rPr>
          <w:rFonts w:ascii="Times New Roman" w:hAnsi="Times New Roman"/>
          <w:b w:val="false"/>
          <w:color w:val="000000"/>
          <w:sz w:val="20"/>
        </w:rPr>
        <w:t xml:space="preserve">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9.          </w:t>
      </w:r>
      <w:bookmarkStart w:id="802" w:name="z_Ref161305368"/>
      <w:bookmarkStart w:id="803" w:name="z_Ref179281086"/>
      <w:bookmarkEnd w:id="802"/>
      <w:bookmarkEnd w:id="803"/>
      <w:r>
        <w:rPr>
          <w:rFonts w:ascii="Times New Roman" w:hAnsi="Times New Roman"/>
          <w:b w:val="false"/>
          <w:color w:val="000000"/>
          <w:sz w:val="20"/>
          <w:u w:val="single"/>
        </w:rPr>
        <w:t>Miscellaneous Provisions</w:t>
      </w:r>
      <w:r>
        <w:rPr>
          <w:rFonts w:ascii="Times New Roman" w:hAnsi="Times New Roman"/>
          <w:b w:val="false"/>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(a)          </w:t>
      </w:r>
      <w:r>
        <w:rPr>
          <w:rFonts w:ascii="Times New Roman" w:hAnsi="Times New Roman"/>
          <w:b w:val="false"/>
          <w:color w:val="000000"/>
          <w:sz w:val="20"/>
          <w:u w:val="single"/>
        </w:rPr>
        <w:t>Amendments; Waivers</w:t>
      </w:r>
      <w:r>
        <w:rPr>
          <w:rFonts w:ascii="Times New Roman" w:hAnsi="Times New Roman"/>
          <w:b w:val="false"/>
          <w:color w:val="000000"/>
          <w:sz w:val="20"/>
        </w:rPr>
        <w:t>. No amendment, modification or supplement of any provision of this Agreement shall be effective against any Party unless it shall be in writing and signed by each of the Parties. No waivers of any breach of this Agreement extended by the Company or Parent to the Stockholder shall be construed as a waiver of any rights or remedies of the Company or Parent, as applicable, with respect to any other stockholder of Parent who has executed an agreement substantially in the form of this Agreement with respect to Shares held or subsequently held by such stockholder or with respect to any subsequent breach of the Stockholder or any other stockholder of Parent. No waiver of any provisions hereof by any Party shall be deemed a waiver of any other provisions hereof by any such Party, nor shall any such waiver be deemed a continuing waiver of any provision hereof by such Party.</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(b)          </w:t>
      </w:r>
      <w:r>
        <w:rPr>
          <w:rFonts w:ascii="Times New Roman" w:hAnsi="Times New Roman"/>
          <w:b w:val="false"/>
          <w:color w:val="000000"/>
          <w:sz w:val="20"/>
          <w:u w:val="single"/>
        </w:rPr>
        <w:t>Entire Agreement; Counterparts; Exchanges by Electronic Transmission or Facsimile</w:t>
      </w:r>
      <w:r>
        <w:rPr>
          <w:rFonts w:ascii="Times New Roman" w:hAnsi="Times New Roman"/>
          <w:b w:val="false"/>
          <w:color w:val="000000"/>
          <w:sz w:val="20"/>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(c)          </w:t>
      </w:r>
      <w:bookmarkStart w:id="804" w:name="z_Ref161303623"/>
      <w:bookmarkEnd w:id="804"/>
      <w:r>
        <w:rPr>
          <w:rFonts w:ascii="Times New Roman" w:hAnsi="Times New Roman"/>
          <w:b w:val="false"/>
          <w:color w:val="000000"/>
          <w:sz w:val="20"/>
          <w:u w:val="single"/>
        </w:rPr>
        <w:t>Applicable Law; Jurisdiction.</w:t>
      </w:r>
      <w:r>
        <w:rPr>
          <w:rFonts w:ascii="Times New Roman" w:hAnsi="Times New Roman"/>
          <w:b w:val="false"/>
          <w:color w:val="000000"/>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b w:val="false"/>
          <w:color w:val="000000"/>
          <w:sz w:val="20"/>
          <w:u w:val="single"/>
        </w:rPr>
        <w:t>Section 9(c)</w:t>
      </w:r>
      <w:r>
        <w:rPr>
          <w:rFonts w:ascii="Times New Roman" w:hAnsi="Times New Roman"/>
          <w:b w:val="false"/>
          <w:color w:val="000000"/>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b w:val="false"/>
          <w:color w:val="000000"/>
          <w:sz w:val="20"/>
          <w:u w:val="single"/>
        </w:rPr>
        <w:t>Section 9(h)</w:t>
      </w:r>
      <w:r>
        <w:rPr>
          <w:rFonts w:ascii="Times New Roman" w:hAnsi="Times New Roman"/>
          <w:b w:val="false"/>
          <w:color w:val="000000"/>
          <w:sz w:val="20"/>
        </w:rPr>
        <w:t xml:space="preserve"> of this Agreement and (vi) irrevocably and unconditionally waives the right to trial by jury.</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(d)          </w:t>
      </w:r>
      <w:r>
        <w:rPr>
          <w:rFonts w:ascii="Times New Roman" w:hAnsi="Times New Roman"/>
          <w:b w:val="false"/>
          <w:color w:val="000000"/>
          <w:sz w:val="20"/>
          <w:u w:val="single"/>
        </w:rPr>
        <w:t>Assignment</w:t>
      </w:r>
      <w:r>
        <w:rPr>
          <w:rFonts w:ascii="Times New Roman" w:hAnsi="Times New Roman"/>
          <w:b w:val="false"/>
          <w:color w:val="000000"/>
          <w:sz w:val="20"/>
        </w:rPr>
        <w:t xml:space="preserve">. This Agreement shall be binding upon, and shall be enforceable by and inure solely to the benefit of, the Parties and their respective successors and permitted assigns;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(e)          </w:t>
      </w:r>
      <w:r>
        <w:rPr>
          <w:rFonts w:ascii="Times New Roman" w:hAnsi="Times New Roman"/>
          <w:b w:val="false"/>
          <w:color w:val="000000"/>
          <w:sz w:val="20"/>
          <w:u w:val="single"/>
        </w:rPr>
        <w:t>No Third-Party Rights</w:t>
      </w:r>
      <w:r>
        <w:rPr>
          <w:rFonts w:ascii="Times New Roman" w:hAnsi="Times New Roman"/>
          <w:b w:val="false"/>
          <w:color w:val="000000"/>
          <w:sz w:val="20"/>
        </w:rPr>
        <w:t>. Nothing in this Agreement, express or implied, is intended to or shall confer upon any Person any right, benefit or remedy of any nature whatsoever under or by reason of this Agreement.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(f)          </w:t>
      </w:r>
      <w:r>
        <w:rPr>
          <w:rFonts w:ascii="Times New Roman" w:hAnsi="Times New Roman"/>
          <w:b w:val="false"/>
          <w:color w:val="000000"/>
          <w:sz w:val="20"/>
          <w:u w:val="single"/>
        </w:rPr>
        <w:t>Severability</w:t>
      </w:r>
      <w:r>
        <w:rPr>
          <w:rFonts w:ascii="Times New Roman" w:hAnsi="Times New Roman"/>
          <w:b w:val="false"/>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jc w:val="both"/>
        <w:rPr>
          <w:color w:val="000000"/>
        </w:rPr>
      </w:pPr>
      <w:r>
        <w:rPr>
          <w:color w:val="000000"/>
        </w:rPr>
        <w:t> </w:t>
      </w:r>
    </w:p>
    <w:p>
      <w:pPr>
        <w:pStyle w:val="TextBody"/>
        <w:bidi w:val="0"/>
        <w:spacing w:lineRule="auto" w:line="240"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(g)          </w:t>
      </w:r>
      <w:r>
        <w:rPr>
          <w:rFonts w:ascii="Times New Roman" w:hAnsi="Times New Roman"/>
          <w:b w:val="false"/>
          <w:color w:val="000000"/>
          <w:sz w:val="20"/>
          <w:u w:val="single"/>
        </w:rPr>
        <w:t>Specific Performance</w:t>
      </w:r>
      <w:r>
        <w:rPr>
          <w:rFonts w:ascii="Times New Roman" w:hAnsi="Times New Roman"/>
          <w:b w:val="false"/>
          <w:color w:val="000000"/>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(h)          </w:t>
      </w:r>
      <w:bookmarkStart w:id="805" w:name="z_Ref161303635"/>
      <w:bookmarkEnd w:id="805"/>
      <w:r>
        <w:rPr>
          <w:rFonts w:ascii="Times New Roman" w:hAnsi="Times New Roman"/>
          <w:b w:val="false"/>
          <w:color w:val="000000"/>
          <w:sz w:val="20"/>
          <w:u w:val="single"/>
        </w:rPr>
        <w:t>Notices</w:t>
      </w:r>
      <w:r>
        <w:rPr>
          <w:rFonts w:ascii="Times New Roman" w:hAnsi="Times New Roman"/>
          <w:b w:val="false"/>
          <w:color w:val="000000"/>
          <w:sz w:val="20"/>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5:00 p.m. Eastern Time, otherwise on the next succeeding Business Day, (A) if to Parent or the Company, to the address, electronic mail address or facsimile provided in Section 8.8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(i)          </w:t>
      </w:r>
      <w:bookmarkStart w:id="806" w:name="z_Ref161332485"/>
      <w:bookmarkEnd w:id="806"/>
      <w:r>
        <w:rPr>
          <w:rFonts w:ascii="Times New Roman" w:hAnsi="Times New Roman"/>
          <w:b w:val="false"/>
          <w:color w:val="000000"/>
          <w:sz w:val="20"/>
          <w:u w:val="single"/>
        </w:rPr>
        <w:t>Confidentiality</w:t>
      </w:r>
      <w:r>
        <w:rPr>
          <w:rFonts w:ascii="Times New Roman" w:hAnsi="Times New Roman"/>
          <w:b w:val="false"/>
          <w:color w:val="000000"/>
          <w:sz w:val="20"/>
        </w:rPr>
        <w:t xml:space="preserve">. Except to the extent required by applicable Law or regulation, the Stockholder shall hold any non-public information regarding the Company, Parent, this Agreement, the Merger Agreement and the Merger in strict confidence and shall not divulge any such information to any third person until the Company and Parent have publicly disclosed their entry into the Merger Agreement and this Agreement;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the Stockholder may disclose such information to its Affiliates, attorneys, accountants, consultants, and other advisors (</w:t>
      </w:r>
      <w:r>
        <w:rPr>
          <w:rFonts w:ascii="Times New Roman" w:hAnsi="Times New Roman"/>
          <w:b w:val="false"/>
          <w:color w:val="000000"/>
          <w:sz w:val="20"/>
          <w:u w:val="single"/>
        </w:rPr>
        <w:t>provided</w:t>
      </w:r>
      <w:r>
        <w:rPr>
          <w:rFonts w:ascii="Times New Roman" w:hAnsi="Times New Roman"/>
          <w:b w:val="false"/>
          <w:color w:val="000000"/>
          <w:sz w:val="20"/>
        </w:rPr>
        <w:t xml:space="preserve"> that such Persons are subject to confidentiality obligations at least as restrictive as those contained herein). Neither the Stockholder nor any of its Affiliates (other than Parent, whose actions shall be governed by the Merger Agreement), shall issue or cause the publication of any press release or other public announcement with respect to Parent, this Agreement, the Merger, the Merger Agreement or the other transactions contemplated hereby or thereby without the prior written consent of Parent, except as may be required by applicable Law in which circumstance such announcing Party shall make reasonable efforts to consult with Parent to the extent practicable.</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b w:val="false"/>
          <w:color w:val="000000"/>
          <w:sz w:val="20"/>
        </w:rPr>
      </w:pPr>
      <w:r>
        <w:rPr>
          <w:rFonts w:ascii="Times New Roman" w:hAnsi="Times New Roman"/>
          <w:b w:val="false"/>
          <w:color w:val="000000"/>
          <w:sz w:val="20"/>
        </w:rPr>
        <w:t>(j)          </w:t>
      </w:r>
      <w:r>
        <w:rPr>
          <w:rFonts w:ascii="Times New Roman" w:hAnsi="Times New Roman"/>
          <w:b w:val="false"/>
          <w:color w:val="000000"/>
          <w:sz w:val="20"/>
          <w:u w:val="single"/>
        </w:rPr>
        <w:t>Interpretation</w:t>
      </w:r>
      <w:r>
        <w:rPr>
          <w:rFonts w:ascii="Times New Roman" w:hAnsi="Times New Roman"/>
          <w:b w:val="false"/>
          <w:color w:val="000000"/>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b w:val="false"/>
          <w:color w:val="000000"/>
          <w:sz w:val="20"/>
        </w:rPr>
      </w:pPr>
      <w:r>
        <w:rPr>
          <w:rFonts w:ascii="Times New Roman" w:hAnsi="Times New Roman"/>
          <w:b w:val="false"/>
          <w:color w:val="000000"/>
          <w:sz w:val="20"/>
        </w:rPr>
        <w:t>(k)          </w:t>
      </w:r>
      <w:r>
        <w:rPr>
          <w:rFonts w:ascii="Times New Roman" w:hAnsi="Times New Roman"/>
          <w:b w:val="false"/>
          <w:color w:val="000000"/>
          <w:sz w:val="20"/>
          <w:u w:val="single"/>
        </w:rPr>
        <w:t>Fees and Expenses</w:t>
      </w:r>
      <w:r>
        <w:rPr>
          <w:rFonts w:ascii="Times New Roman" w:hAnsi="Times New Roman"/>
          <w:b w:val="false"/>
          <w:color w:val="000000"/>
          <w:sz w:val="20"/>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w:t>
      </w:r>
      <w:r>
        <w:rPr>
          <w:rFonts w:ascii="Times New Roman" w:hAnsi="Times New Roman"/>
          <w:b w:val="false"/>
          <w:i/>
          <w:color w:val="000000"/>
          <w:sz w:val="20"/>
        </w:rPr>
        <w:t>Remainder of Page Left Intentionally Blank</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IN WITNESS WHEREOF, the undersigned have caused this Agreement to be duly executed as of the date first above written.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PARENT:</w:t>
        <w:br/>
        <w:br/>
      </w:r>
      <w:r>
        <w:rPr>
          <w:rFonts w:ascii="Times New Roman" w:hAnsi="Times New Roman"/>
          <w:b/>
          <w:color w:val="000000"/>
          <w:sz w:val="20"/>
        </w:rPr>
        <w:t>LISATA THERAPEUTICS, INC.</w:t>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_______________________________</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By:</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Title: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w:t>
      </w:r>
      <w:r>
        <w:rPr>
          <w:rFonts w:ascii="Times New Roman" w:hAnsi="Times New Roman"/>
          <w:b w:val="false"/>
          <w:i/>
          <w:color w:val="000000"/>
          <w:sz w:val="20"/>
        </w:rPr>
        <w:t>Signature Page to Parent Stockholder Support Agreement</w:t>
      </w:r>
      <w:r>
        <w:rPr>
          <w:rFonts w:ascii="Times New Roman" w:hAnsi="Times New Roman"/>
          <w:b w:val="false"/>
          <w:color w:val="000000"/>
          <w:sz w:val="20"/>
        </w:rPr>
        <w: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D-8</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IN WITNESS WHEREOF, the undersigned have caused this Agreement to be duly executed as of the date first above written.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COMPANY:</w:t>
        <w:br/>
        <w:br/>
      </w:r>
      <w:r>
        <w:rPr>
          <w:rFonts w:ascii="Times New Roman" w:hAnsi="Times New Roman"/>
          <w:b/>
          <w:color w:val="000000"/>
          <w:sz w:val="20"/>
        </w:rPr>
        <w:t>MAREA THERAPEUTICS,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_______________________________</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By:</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Title: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w:t>
      </w:r>
      <w:r>
        <w:rPr>
          <w:rFonts w:ascii="Times New Roman" w:hAnsi="Times New Roman"/>
          <w:b w:val="false"/>
          <w:i/>
          <w:color w:val="000000"/>
          <w:sz w:val="20"/>
        </w:rPr>
        <w:t>Signature Page to Parent Stockholder Support Agreement</w:t>
      </w:r>
      <w:r>
        <w:rPr>
          <w:rFonts w:ascii="Times New Roman" w:hAnsi="Times New Roman"/>
          <w:b w:val="false"/>
          <w:color w:val="000000"/>
          <w:sz w:val="2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IN WITNESS WHEREOF, the undersigned have caused this Agreement to be duly executed as of the date first above written.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STOCKHOLDER:</w:t>
        <w:br/>
        <w:br/>
      </w:r>
      <w:r>
        <w:rPr>
          <w:rFonts w:ascii="Times New Roman" w:hAnsi="Times New Roman"/>
          <w:b/>
          <w:color w:val="000000"/>
          <w:sz w:val="20"/>
        </w:rPr>
        <w:t>[STOCKHOLDER],</w:t>
      </w:r>
      <w:r>
        <w:rPr>
          <w:rFonts w:ascii="Times New Roman" w:hAnsi="Times New Roman"/>
          <w:b w:val="false"/>
          <w:color w:val="000000"/>
          <w:sz w:val="20"/>
        </w:rPr>
        <w:br/>
        <w:t>solely in his/her capacity as the Stockholder:</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Signature: _______________________________</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Address: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_______________________</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_______________________</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_______________________</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w:t>
      </w:r>
      <w:r>
        <w:rPr>
          <w:rFonts w:ascii="Times New Roman" w:hAnsi="Times New Roman"/>
          <w:b w:val="false"/>
          <w:i/>
          <w:color w:val="000000"/>
          <w:sz w:val="20"/>
        </w:rPr>
        <w:t>Signature Page to Parent Stockholder Support Agreement</w:t>
      </w:r>
      <w:r>
        <w:rPr>
          <w:rFonts w:ascii="Times New Roman" w:hAnsi="Times New Roman"/>
          <w:b w:val="false"/>
          <w:color w:val="000000"/>
          <w:sz w:val="2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val="false"/>
          <w:color w:val="000000"/>
          <w:sz w:val="20"/>
          <w:u w:val="single"/>
        </w:rPr>
      </w:pPr>
      <w:r>
        <w:rPr>
          <w:rFonts w:ascii="Times New Roman" w:hAnsi="Times New Roman"/>
          <w:b w:val="false"/>
          <w:color w:val="000000"/>
          <w:sz w:val="20"/>
          <w:u w:val="single"/>
        </w:rPr>
        <w:t>Appendix 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7" w:name="z770bfc8a85624bc5b6ef32447317f546"/>
      <w:bookmarkStart w:id="808" w:name="z770bfc8a85624bc5b6ef32447317f546"/>
      <w:bookmarkEnd w:id="808"/>
    </w:p>
    <w:tbl>
      <w:tblPr>
        <w:tblW w:w="6640" w:type="dxa"/>
        <w:jc w:val="left"/>
        <w:tblInd w:w="-15" w:type="dxa"/>
        <w:tblLayout w:type="fixed"/>
        <w:tblCellMar>
          <w:top w:w="28" w:type="dxa"/>
          <w:left w:w="28" w:type="dxa"/>
          <w:bottom w:w="28" w:type="dxa"/>
          <w:right w:w="28" w:type="dxa"/>
        </w:tblCellMar>
      </w:tblPr>
      <w:tblGrid>
        <w:gridCol w:w="1055"/>
        <w:gridCol w:w="1925"/>
        <w:gridCol w:w="680"/>
        <w:gridCol w:w="590"/>
        <w:gridCol w:w="2390"/>
      </w:tblGrid>
      <w:tr>
        <w:trPr/>
        <w:tc>
          <w:tcPr>
            <w:tcW w:w="10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Stockholder</w:t>
            </w:r>
          </w:p>
        </w:tc>
        <w:tc>
          <w:tcPr>
            <w:tcW w:w="192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 xml:space="preserve">Number of Shares of </w:t>
            </w:r>
          </w:p>
          <w:p>
            <w:pPr>
              <w:pStyle w:val="TableContents"/>
              <w:bidi w:val="0"/>
              <w:spacing w:before="0" w:after="0"/>
              <w:jc w:val="center"/>
              <w:rPr>
                <w:rFonts w:ascii="Times New Roman" w:hAnsi="Times New Roman"/>
                <w:b/>
                <w:sz w:val="20"/>
                <w:u w:val="single"/>
              </w:rPr>
            </w:pPr>
            <w:r>
              <w:rPr>
                <w:rFonts w:ascii="Times New Roman" w:hAnsi="Times New Roman"/>
                <w:b/>
                <w:sz w:val="20"/>
                <w:u w:val="single"/>
              </w:rPr>
              <w:t>Parent Common Stock</w:t>
            </w:r>
          </w:p>
        </w:tc>
        <w:tc>
          <w:tcPr>
            <w:tcW w:w="6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Parent</w:t>
            </w:r>
          </w:p>
          <w:p>
            <w:pPr>
              <w:pStyle w:val="TableContents"/>
              <w:bidi w:val="0"/>
              <w:spacing w:before="0" w:after="0"/>
              <w:jc w:val="center"/>
              <w:rPr>
                <w:rFonts w:ascii="Times New Roman" w:hAnsi="Times New Roman"/>
                <w:b/>
                <w:sz w:val="20"/>
                <w:u w:val="single"/>
              </w:rPr>
            </w:pPr>
            <w:r>
              <w:rPr>
                <w:rFonts w:ascii="Times New Roman" w:hAnsi="Times New Roman"/>
                <w:b/>
                <w:sz w:val="20"/>
                <w:u w:val="single"/>
              </w:rPr>
              <w:t>Options</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r>
          </w:p>
        </w:tc>
        <w:tc>
          <w:tcPr>
            <w:tcW w:w="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Parent</w:t>
            </w:r>
          </w:p>
          <w:p>
            <w:pPr>
              <w:pStyle w:val="TableContents"/>
              <w:bidi w:val="0"/>
              <w:spacing w:before="0" w:after="0"/>
              <w:jc w:val="center"/>
              <w:rPr>
                <w:rFonts w:ascii="Times New Roman" w:hAnsi="Times New Roman"/>
                <w:b/>
                <w:sz w:val="20"/>
                <w:u w:val="single"/>
              </w:rPr>
            </w:pPr>
            <w:r>
              <w:rPr>
                <w:rFonts w:ascii="Times New Roman" w:hAnsi="Times New Roman"/>
                <w:b/>
                <w:sz w:val="20"/>
                <w:u w:val="single"/>
              </w:rPr>
              <w:t>RSUs</w:t>
            </w:r>
          </w:p>
        </w:tc>
        <w:tc>
          <w:tcPr>
            <w:tcW w:w="23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Parent Series B Convertible</w:t>
            </w:r>
          </w:p>
          <w:p>
            <w:pPr>
              <w:pStyle w:val="TableContents"/>
              <w:bidi w:val="0"/>
              <w:spacing w:before="0" w:after="0"/>
              <w:jc w:val="center"/>
              <w:rPr>
                <w:rFonts w:ascii="Times New Roman" w:hAnsi="Times New Roman"/>
                <w:b/>
                <w:sz w:val="20"/>
                <w:u w:val="single"/>
              </w:rPr>
            </w:pPr>
            <w:r>
              <w:rPr>
                <w:rFonts w:ascii="Times New Roman" w:hAnsi="Times New Roman"/>
                <w:b/>
                <w:sz w:val="20"/>
                <w:u w:val="single"/>
              </w:rPr>
              <w:t>Preferred Stock</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[_]</w:t>
            </w:r>
          </w:p>
          <w:p>
            <w:pPr>
              <w:pStyle w:val="TableContents"/>
              <w:bidi w:val="0"/>
              <w:spacing w:before="0" w:after="0"/>
              <w:jc w:val="center"/>
              <w:rPr>
                <w:rFonts w:ascii="Times New Roman" w:hAnsi="Times New Roman"/>
                <w:sz w:val="20"/>
                <w:u w:val="single"/>
              </w:rPr>
            </w:pPr>
            <w:r>
              <w:rPr>
                <w:rFonts w:ascii="Times New Roman" w:hAnsi="Times New Roman"/>
                <w:sz w:val="20"/>
                <w:u w:val="single"/>
              </w:rPr>
            </w:r>
          </w:p>
        </w:tc>
        <w:tc>
          <w:tcPr>
            <w:tcW w:w="19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[_]</w:t>
            </w:r>
          </w:p>
        </w:tc>
        <w:tc>
          <w:tcPr>
            <w:tcW w:w="6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[_]</w:t>
            </w:r>
          </w:p>
        </w:tc>
        <w:tc>
          <w:tcPr>
            <w:tcW w:w="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[_]</w:t>
            </w:r>
          </w:p>
        </w:tc>
        <w:tc>
          <w:tcPr>
            <w:tcW w:w="23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PIPE INVESTOR REGISTRATION RIGHTS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COMPANY STOCKHOLDERS REGISTRATION RIGHTS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PARENT NET CASH CERTIFICATE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that Agreement and Plan of Merger, dated as of September 17, 2026 (together with any amendments or supplements thereto, the “</w:t>
      </w:r>
      <w:r>
        <w:rPr>
          <w:rFonts w:ascii="Times New Roman" w:hAnsi="Times New Roman"/>
          <w:b/>
          <w:i/>
          <w:color w:val="000000"/>
          <w:sz w:val="20"/>
        </w:rPr>
        <w:t>Merger Agreement</w:t>
      </w:r>
      <w:r>
        <w:rPr>
          <w:rFonts w:ascii="Times New Roman" w:hAnsi="Times New Roman"/>
          <w:color w:val="000000"/>
          <w:sz w:val="20"/>
        </w:rPr>
        <w:t>”), by and among Lisata Therapeutics, Inc., a Delaware corporation (“</w:t>
      </w:r>
      <w:r>
        <w:rPr>
          <w:rFonts w:ascii="Times New Roman" w:hAnsi="Times New Roman"/>
          <w:b/>
          <w:i/>
          <w:color w:val="000000"/>
          <w:sz w:val="20"/>
        </w:rPr>
        <w:t>Parent</w:t>
      </w:r>
      <w:r>
        <w:rPr>
          <w:rFonts w:ascii="Times New Roman" w:hAnsi="Times New Roman"/>
          <w:color w:val="000000"/>
          <w:sz w:val="20"/>
        </w:rPr>
        <w:t>”), Mariner Merger Sub I, Inc., a Delaware corporation, Mariner Merger Sub II, LLC, a Delaware limited liability company, and Marea Therapeutics, Inc., a Delaware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James Nisco, certify solely in my capacity as Senior Vice President and Chief Accounting Officer of Parent, and not in any individual capacity, that the below schedule setting forth Parent’s good faith calculation of Parent Net Cash as of the Determination Time is accurate and complete.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Capitalized terms used but not otherwise defined herein have the meanings ascribed thereto in the Merger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9" w:name="z74c6bb62cd6b49efba95b925d004d0c7"/>
      <w:bookmarkStart w:id="810" w:name="z74c6bb62cd6b49efba95b925d004d0c7"/>
      <w:bookmarkEnd w:id="810"/>
    </w:p>
    <w:tbl>
      <w:tblPr>
        <w:tblW w:w="8384" w:type="dxa"/>
        <w:jc w:val="left"/>
        <w:tblInd w:w="0" w:type="dxa"/>
        <w:tblLayout w:type="fixed"/>
        <w:tblCellMar>
          <w:top w:w="0" w:type="dxa"/>
          <w:left w:w="0" w:type="dxa"/>
          <w:bottom w:w="0" w:type="dxa"/>
          <w:right w:w="0" w:type="dxa"/>
        </w:tblCellMar>
      </w:tblPr>
      <w:tblGrid>
        <w:gridCol w:w="2495"/>
        <w:gridCol w:w="365"/>
        <w:gridCol w:w="2762"/>
        <w:gridCol w:w="2762"/>
      </w:tblGrid>
      <w:tr>
        <w:trPr/>
        <w:tc>
          <w:tcPr>
            <w:tcW w:w="2495" w:type="dxa"/>
            <w:tcBorders/>
            <w:vAlign w:val="center"/>
          </w:tcPr>
          <w:p>
            <w:pPr>
              <w:pStyle w:val="TableContents"/>
              <w:bidi w:val="0"/>
              <w:spacing w:before="0" w:after="0"/>
              <w:jc w:val="left"/>
              <w:rPr/>
            </w:pPr>
            <w:r>
              <w:rPr/>
              <w:t>Date: September 17, 2026</w:t>
            </w:r>
          </w:p>
        </w:tc>
        <w:tc>
          <w:tcPr>
            <w:tcW w:w="365" w:type="dxa"/>
            <w:tcBorders/>
            <w:vAlign w:val="center"/>
          </w:tcPr>
          <w:p>
            <w:pPr>
              <w:pStyle w:val="TableContents"/>
              <w:bidi w:val="0"/>
              <w:spacing w:before="0" w:after="0"/>
              <w:jc w:val="left"/>
              <w:rPr/>
            </w:pPr>
            <w:r>
              <w:rPr/>
              <w:t>By:</w:t>
            </w:r>
          </w:p>
        </w:tc>
        <w:tc>
          <w:tcPr>
            <w:tcW w:w="2762" w:type="dxa"/>
            <w:tcBorders>
              <w:bottom w:val="single" w:sz="12" w:space="0" w:color="000000"/>
            </w:tcBorders>
            <w:tcMar>
              <w:bottom w:w="28" w:type="dxa"/>
            </w:tcMar>
            <w:vAlign w:val="center"/>
          </w:tcPr>
          <w:p>
            <w:pPr>
              <w:pStyle w:val="TableContents"/>
              <w:bidi w:val="0"/>
              <w:spacing w:before="0" w:after="283"/>
              <w:jc w:val="left"/>
              <w:rPr/>
            </w:pPr>
            <w:r>
              <w:rPr/>
            </w:r>
          </w:p>
        </w:tc>
        <w:tc>
          <w:tcPr>
            <w:tcW w:w="2762" w:type="dxa"/>
            <w:tcBorders/>
            <w:vAlign w:val="center"/>
          </w:tcPr>
          <w:p>
            <w:pPr>
              <w:pStyle w:val="TableContents"/>
              <w:bidi w:val="0"/>
              <w:spacing w:before="0" w:after="283"/>
              <w:jc w:val="left"/>
              <w:rPr/>
            </w:pPr>
            <w:r>
              <w:rPr/>
            </w:r>
          </w:p>
        </w:tc>
      </w:tr>
      <w:tr>
        <w:trPr/>
        <w:tc>
          <w:tcPr>
            <w:tcW w:w="24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24" w:type="dxa"/>
            <w:gridSpan w:val="2"/>
            <w:tcBorders/>
            <w:vAlign w:val="center"/>
          </w:tcPr>
          <w:p>
            <w:pPr>
              <w:pStyle w:val="TableContents"/>
              <w:bidi w:val="0"/>
              <w:spacing w:before="0" w:after="0"/>
              <w:jc w:val="left"/>
              <w:rPr/>
            </w:pPr>
            <w:r>
              <w:rPr/>
              <w:t>Name: James Nisco</w:t>
            </w:r>
          </w:p>
        </w:tc>
      </w:tr>
      <w:tr>
        <w:trPr/>
        <w:tc>
          <w:tcPr>
            <w:tcW w:w="24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24" w:type="dxa"/>
            <w:gridSpan w:val="2"/>
            <w:tcBorders/>
            <w:vAlign w:val="center"/>
          </w:tcPr>
          <w:p>
            <w:pPr>
              <w:pStyle w:val="TableContents"/>
              <w:bidi w:val="0"/>
              <w:spacing w:before="0" w:after="0"/>
              <w:jc w:val="left"/>
              <w:rPr/>
            </w:pPr>
            <w:r>
              <w:rPr/>
              <w:t>Title: Senior Vice President and Chief Accounting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G-1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Parent Net Cash Schedule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1" w:name="z5281adc213e942b8a127a48315ffcc38"/>
      <w:bookmarkStart w:id="812" w:name="z5281adc213e942b8a127a48315ffcc38"/>
      <w:bookmarkEnd w:id="812"/>
    </w:p>
    <w:tbl>
      <w:tblPr>
        <w:tblW w:w="10205" w:type="dxa"/>
        <w:jc w:val="left"/>
        <w:tblInd w:w="0" w:type="dxa"/>
        <w:tblLayout w:type="fixed"/>
        <w:tblCellMar>
          <w:top w:w="0" w:type="dxa"/>
          <w:left w:w="0" w:type="dxa"/>
          <w:bottom w:w="0" w:type="dxa"/>
          <w:right w:w="0" w:type="dxa"/>
        </w:tblCellMar>
      </w:tblPr>
      <w:tblGrid>
        <w:gridCol w:w="8615"/>
        <w:gridCol w:w="60"/>
        <w:gridCol w:w="140"/>
        <w:gridCol w:w="1280"/>
        <w:gridCol w:w="110"/>
      </w:tblGrid>
      <w:tr>
        <w:trPr/>
        <w:tc>
          <w:tcPr>
            <w:tcW w:w="8615" w:type="dxa"/>
            <w:tcBorders/>
            <w:shd w:fill="CCEEFF" w:val="clear"/>
            <w:vAlign w:val="bottom"/>
          </w:tcPr>
          <w:p>
            <w:pPr>
              <w:pStyle w:val="TableContents"/>
              <w:bidi w:val="0"/>
              <w:spacing w:before="0" w:after="0"/>
              <w:ind w:left="180" w:right="0" w:hanging="180"/>
              <w:jc w:val="left"/>
              <w:rPr/>
            </w:pPr>
            <w:r>
              <w:rPr/>
              <w:t>Unrestricted free 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0"/>
              <w:jc w:val="right"/>
              <w:rPr/>
            </w:pPr>
            <w:r>
              <w:rPr/>
              <w:t>7,693,931.00</w:t>
            </w:r>
          </w:p>
        </w:tc>
        <w:tc>
          <w:tcPr>
            <w:tcW w:w="110" w:type="dxa"/>
            <w:tcBorders/>
            <w:shd w:fill="CCEEFF" w:val="clear"/>
            <w:vAlign w:val="bottom"/>
          </w:tcPr>
          <w:p>
            <w:pPr>
              <w:pStyle w:val="TableContents"/>
              <w:bidi w:val="0"/>
              <w:spacing w:before="0" w:after="283"/>
              <w:jc w:val="left"/>
              <w:rPr/>
            </w:pPr>
            <w:r>
              <w:rPr/>
              <w:t> </w:t>
            </w:r>
          </w:p>
        </w:tc>
      </w:tr>
      <w:tr>
        <w:trPr/>
        <w:tc>
          <w:tcPr>
            <w:tcW w:w="8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615" w:type="dxa"/>
            <w:tcBorders/>
            <w:shd w:fill="CCEEFF" w:val="clear"/>
            <w:vAlign w:val="bottom"/>
          </w:tcPr>
          <w:p>
            <w:pPr>
              <w:pStyle w:val="TableContents"/>
              <w:bidi w:val="0"/>
              <w:spacing w:before="0" w:after="0"/>
              <w:ind w:left="180" w:right="0" w:hanging="180"/>
              <w:jc w:val="left"/>
              <w:rPr>
                <w:sz w:val="24"/>
              </w:rPr>
            </w:pPr>
            <w:r>
              <w:rPr>
                <w:i/>
                <w:sz w:val="20"/>
                <w:u w:val="single"/>
              </w:rPr>
              <w:t>plus</w:t>
            </w:r>
            <w:r>
              <w:rPr>
                <w:i/>
                <w:sz w:val="20"/>
              </w:rPr>
              <w:t xml:space="preserve">: </w:t>
            </w:r>
            <w:r>
              <w:rPr>
                <w:sz w:val="20"/>
              </w:rPr>
              <w:t>Marketable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0"/>
              <w:jc w:val="right"/>
              <w:rPr/>
            </w:pPr>
            <w:r>
              <w:rPr/>
              <w:t>0.00</w:t>
            </w:r>
          </w:p>
        </w:tc>
        <w:tc>
          <w:tcPr>
            <w:tcW w:w="110" w:type="dxa"/>
            <w:tcBorders/>
            <w:shd w:fill="CCEEFF" w:val="clear"/>
            <w:vAlign w:val="bottom"/>
          </w:tcPr>
          <w:p>
            <w:pPr>
              <w:pStyle w:val="TableContents"/>
              <w:bidi w:val="0"/>
              <w:spacing w:before="0" w:after="283"/>
              <w:jc w:val="left"/>
              <w:rPr/>
            </w:pPr>
            <w:r>
              <w:rPr/>
              <w:t> </w:t>
            </w:r>
          </w:p>
        </w:tc>
      </w:tr>
      <w:tr>
        <w:trPr/>
        <w:tc>
          <w:tcPr>
            <w:tcW w:w="8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615" w:type="dxa"/>
            <w:tcBorders/>
            <w:shd w:fill="CCEEFF" w:val="clear"/>
            <w:vAlign w:val="bottom"/>
          </w:tcPr>
          <w:p>
            <w:pPr>
              <w:pStyle w:val="TableContents"/>
              <w:bidi w:val="0"/>
              <w:spacing w:before="0" w:after="0"/>
              <w:ind w:left="180" w:right="0" w:hanging="180"/>
              <w:jc w:val="left"/>
              <w:rPr>
                <w:sz w:val="24"/>
              </w:rPr>
            </w:pPr>
            <w:r>
              <w:rPr>
                <w:i/>
                <w:sz w:val="20"/>
                <w:u w:val="single"/>
              </w:rPr>
              <w:t>plus</w:t>
            </w:r>
            <w:r>
              <w:rPr>
                <w:i/>
                <w:sz w:val="20"/>
              </w:rPr>
              <w:t xml:space="preserve">: </w:t>
            </w:r>
            <w:r>
              <w:rPr>
                <w:sz w:val="20"/>
              </w:rPr>
              <w:t>Accounts, interest and other receivables (to the extent determined to be collectible)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0"/>
              <w:jc w:val="right"/>
              <w:rPr/>
            </w:pPr>
            <w:r>
              <w:rPr/>
              <w:t>172,816.00</w:t>
            </w:r>
          </w:p>
        </w:tc>
        <w:tc>
          <w:tcPr>
            <w:tcW w:w="110" w:type="dxa"/>
            <w:tcBorders/>
            <w:shd w:fill="CCEEFF" w:val="clear"/>
            <w:vAlign w:val="bottom"/>
          </w:tcPr>
          <w:p>
            <w:pPr>
              <w:pStyle w:val="TableContents"/>
              <w:bidi w:val="0"/>
              <w:spacing w:before="0" w:after="283"/>
              <w:jc w:val="left"/>
              <w:rPr/>
            </w:pPr>
            <w:r>
              <w:rPr/>
              <w:t> </w:t>
            </w:r>
          </w:p>
        </w:tc>
      </w:tr>
      <w:tr>
        <w:trPr/>
        <w:tc>
          <w:tcPr>
            <w:tcW w:w="8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615" w:type="dxa"/>
            <w:tcBorders/>
            <w:shd w:fill="CCEEFF" w:val="clear"/>
            <w:vAlign w:val="bottom"/>
          </w:tcPr>
          <w:p>
            <w:pPr>
              <w:pStyle w:val="TableContents"/>
              <w:bidi w:val="0"/>
              <w:spacing w:before="0" w:after="0"/>
              <w:ind w:left="180" w:right="0" w:hanging="180"/>
              <w:jc w:val="left"/>
              <w:rPr>
                <w:sz w:val="24"/>
              </w:rPr>
            </w:pPr>
            <w:r>
              <w:rPr>
                <w:i/>
                <w:sz w:val="20"/>
                <w:u w:val="single"/>
              </w:rPr>
              <w:t>plus</w:t>
            </w:r>
            <w:r>
              <w:rPr>
                <w:i/>
                <w:sz w:val="20"/>
              </w:rPr>
              <w:t xml:space="preserve">: </w:t>
            </w:r>
            <w:r>
              <w:rPr>
                <w:sz w:val="20"/>
              </w:rPr>
              <w:t>Deposits (to the extent refundable to Parent)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0"/>
              <w:jc w:val="right"/>
              <w:rPr/>
            </w:pPr>
            <w:r>
              <w:rPr/>
              <w:t>0.00</w:t>
            </w:r>
          </w:p>
        </w:tc>
        <w:tc>
          <w:tcPr>
            <w:tcW w:w="110" w:type="dxa"/>
            <w:tcBorders/>
            <w:shd w:fill="CCEEFF" w:val="clear"/>
            <w:vAlign w:val="bottom"/>
          </w:tcPr>
          <w:p>
            <w:pPr>
              <w:pStyle w:val="TableContents"/>
              <w:bidi w:val="0"/>
              <w:spacing w:before="0" w:after="283"/>
              <w:jc w:val="left"/>
              <w:rPr/>
            </w:pPr>
            <w:r>
              <w:rPr/>
              <w:t> </w:t>
            </w:r>
          </w:p>
        </w:tc>
      </w:tr>
      <w:tr>
        <w:trPr/>
        <w:tc>
          <w:tcPr>
            <w:tcW w:w="8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615" w:type="dxa"/>
            <w:tcBorders/>
            <w:shd w:fill="CCEEFF" w:val="clear"/>
            <w:vAlign w:val="bottom"/>
          </w:tcPr>
          <w:p>
            <w:pPr>
              <w:pStyle w:val="TableContents"/>
              <w:bidi w:val="0"/>
              <w:spacing w:before="0" w:after="0"/>
              <w:ind w:left="180" w:right="0" w:hanging="180"/>
              <w:jc w:val="left"/>
              <w:rPr>
                <w:sz w:val="24"/>
              </w:rPr>
            </w:pPr>
            <w:r>
              <w:rPr>
                <w:i/>
                <w:sz w:val="20"/>
                <w:u w:val="single"/>
              </w:rPr>
              <w:t>minus</w:t>
            </w:r>
            <w:r>
              <w:rPr>
                <w:sz w:val="20"/>
              </w:rPr>
              <w:t>: Total short- and long-term liabilities (whether absolute, contingent, accrued, matured or unmatured), including fees an expenses incurred with respect to the transactions contemplated by this Agreement, accounts payable and accrued expenses, costs associated with obtaining the D&amp;O Tail Policy pursuant Section 4.5(d) of the Agreement, lease termination costs (if any), notice payments, fines or other payments to be made by Parent in order to terminate any existing agreement to which Parent is a party, fees and expenses incurred with respect to the matter set forth on Section A-3 of the Parent Disclosure Schedule)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0"/>
              <w:jc w:val="right"/>
              <w:rPr/>
            </w:pPr>
            <w:r>
              <w:rPr/>
              <w:t>7,894,223.00</w:t>
            </w:r>
          </w:p>
        </w:tc>
        <w:tc>
          <w:tcPr>
            <w:tcW w:w="110" w:type="dxa"/>
            <w:tcBorders/>
            <w:shd w:fill="CCEEFF" w:val="clear"/>
            <w:vAlign w:val="bottom"/>
          </w:tcPr>
          <w:p>
            <w:pPr>
              <w:pStyle w:val="TableContents"/>
              <w:bidi w:val="0"/>
              <w:spacing w:before="0" w:after="283"/>
              <w:jc w:val="left"/>
              <w:rPr/>
            </w:pPr>
            <w:r>
              <w:rPr/>
              <w:t> </w:t>
            </w:r>
          </w:p>
        </w:tc>
      </w:tr>
      <w:tr>
        <w:trPr/>
        <w:tc>
          <w:tcPr>
            <w:tcW w:w="8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615" w:type="dxa"/>
            <w:tcBorders/>
            <w:shd w:fill="CCEEFF" w:val="clear"/>
            <w:vAlign w:val="bottom"/>
          </w:tcPr>
          <w:p>
            <w:pPr>
              <w:pStyle w:val="TableContents"/>
              <w:bidi w:val="0"/>
              <w:spacing w:before="0" w:after="0"/>
              <w:ind w:left="180" w:right="0" w:hanging="180"/>
              <w:jc w:val="left"/>
              <w:rPr>
                <w:sz w:val="24"/>
              </w:rPr>
            </w:pPr>
            <w:r>
              <w:rPr>
                <w:i/>
                <w:sz w:val="20"/>
                <w:u w:val="single"/>
              </w:rPr>
              <w:t>minus</w:t>
            </w:r>
            <w:r>
              <w:rPr>
                <w:sz w:val="20"/>
              </w:rPr>
              <w:t>: Cost of change in control payments and severance to employees (including associated payroll taxes) that are to be paid by Parent in connection with, or at the time of, the Closing, including in connection with the termination of its then employees (if any)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0"/>
              <w:jc w:val="left"/>
              <w:rPr/>
            </w:pPr>
            <w:r>
              <w:rPr/>
              <w:t>$</w:t>
            </w:r>
          </w:p>
        </w:tc>
        <w:tc>
          <w:tcPr>
            <w:tcW w:w="1280" w:type="dxa"/>
            <w:tcBorders>
              <w:bottom w:val="single" w:sz="12" w:space="0" w:color="000000"/>
            </w:tcBorders>
            <w:shd w:fill="CCEEFF" w:val="clear"/>
            <w:tcMar>
              <w:bottom w:w="28" w:type="dxa"/>
            </w:tcMar>
            <w:vAlign w:val="center"/>
          </w:tcPr>
          <w:p>
            <w:pPr>
              <w:pStyle w:val="TableContents"/>
              <w:bidi w:val="0"/>
              <w:spacing w:before="0" w:after="0"/>
              <w:jc w:val="right"/>
              <w:rPr/>
            </w:pPr>
            <w:r>
              <w:rPr/>
              <w:t>3,822,713.00</w:t>
            </w:r>
          </w:p>
        </w:tc>
        <w:tc>
          <w:tcPr>
            <w:tcW w:w="110" w:type="dxa"/>
            <w:tcBorders/>
            <w:shd w:fill="CCEEFF" w:val="clear"/>
            <w:vAlign w:val="bottom"/>
          </w:tcPr>
          <w:p>
            <w:pPr>
              <w:pStyle w:val="TableContents"/>
              <w:bidi w:val="0"/>
              <w:spacing w:before="0" w:after="283"/>
              <w:jc w:val="left"/>
              <w:rPr/>
            </w:pPr>
            <w:r>
              <w:rPr/>
              <w:t> </w:t>
            </w:r>
          </w:p>
        </w:tc>
      </w:tr>
      <w:tr>
        <w:trPr/>
        <w:tc>
          <w:tcPr>
            <w:tcW w:w="8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615" w:type="dxa"/>
            <w:tcBorders/>
            <w:shd w:fill="CCEEFF" w:val="clear"/>
            <w:vAlign w:val="bottom"/>
          </w:tcPr>
          <w:p>
            <w:pPr>
              <w:pStyle w:val="TableContents"/>
              <w:bidi w:val="0"/>
              <w:spacing w:before="0" w:after="0"/>
              <w:jc w:val="left"/>
              <w:rPr>
                <w:b/>
              </w:rPr>
            </w:pPr>
            <w:r>
              <w:rPr>
                <w:b/>
              </w:rPr>
              <w:t>Parent Net Cash</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0"/>
              <w:jc w:val="left"/>
              <w:rPr>
                <w:b/>
              </w:rPr>
            </w:pPr>
            <w:r>
              <w:rPr>
                <w:b/>
              </w:rPr>
              <w:t>$</w:t>
            </w:r>
          </w:p>
        </w:tc>
        <w:tc>
          <w:tcPr>
            <w:tcW w:w="1280" w:type="dxa"/>
            <w:tcBorders>
              <w:bottom w:val="double" w:sz="8" w:space="0" w:color="000000"/>
            </w:tcBorders>
            <w:shd w:fill="CCEEFF" w:val="clear"/>
            <w:tcMar>
              <w:bottom w:w="28" w:type="dxa"/>
            </w:tcMar>
            <w:vAlign w:val="center"/>
          </w:tcPr>
          <w:p>
            <w:pPr>
              <w:pStyle w:val="TableContents"/>
              <w:bidi w:val="0"/>
              <w:spacing w:before="0" w:after="0"/>
              <w:jc w:val="right"/>
              <w:rPr>
                <w:b/>
              </w:rPr>
            </w:pPr>
            <w:r>
              <w:rPr>
                <w:b/>
              </w:rPr>
              <w:t>(3,850,189</w:t>
            </w:r>
          </w:p>
        </w:tc>
        <w:tc>
          <w:tcPr>
            <w:tcW w:w="110" w:type="dxa"/>
            <w:tcBorders/>
            <w:shd w:fill="CCEEFF" w:val="clear"/>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G-2</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13" w:name="ef20082158_ex3-1.htm"/>
      <w:bookmarkStart w:id="814" w:name="ksef20082158_ex31"/>
      <w:bookmarkStart w:id="815" w:name="ef20082158_ex3-1.htm"/>
      <w:bookmarkStart w:id="816" w:name="ksef20082158_ex31"/>
      <w:bookmarkEnd w:id="815"/>
      <w:bookmarkEnd w:id="81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CERTIFICATE OF DESIGNATION OF PREFERENCES,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RIGHTS AND LIMITATIONS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SERIES C NON-VOTING CONVERTIBLE PREFERRED STOCK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151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spacing w:before="0" w:after="0"/>
        <w:jc w:val="center"/>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DOES HEREBY CERTIFY, on behalf of Lisata Therapeutics, Inc., a Delaware corporation (the “</w:t>
      </w:r>
      <w:r>
        <w:rPr>
          <w:rFonts w:ascii="Times New Roman" w:hAnsi="Times New Roman"/>
          <w:b/>
          <w:i/>
          <w:color w:val="000000"/>
          <w:sz w:val="20"/>
        </w:rPr>
        <w:t>Corporation</w:t>
      </w:r>
      <w:r>
        <w:rPr>
          <w:rFonts w:ascii="Times New Roman" w:hAnsi="Times New Roman"/>
          <w:color w:val="000000"/>
          <w:sz w:val="20"/>
        </w:rPr>
        <w:t>”), that the following resolution was duly adopted by the Board of Directors of the Corporation (the “</w:t>
      </w:r>
      <w:r>
        <w:rPr>
          <w:rFonts w:ascii="Times New Roman" w:hAnsi="Times New Roman"/>
          <w:b/>
          <w:i/>
          <w:color w:val="000000"/>
          <w:sz w:val="20"/>
        </w:rPr>
        <w:t>Board of Directors</w:t>
      </w:r>
      <w:r>
        <w:rPr>
          <w:rFonts w:ascii="Times New Roman" w:hAnsi="Times New Roman"/>
          <w:color w:val="000000"/>
          <w:sz w:val="20"/>
        </w:rPr>
        <w:t>”), in accordance with the provisions of Section 151 of the General Corporation Law of the State of Delaware (the “</w:t>
      </w:r>
      <w:r>
        <w:rPr>
          <w:rFonts w:ascii="Times New Roman" w:hAnsi="Times New Roman"/>
          <w:b/>
          <w:i/>
          <w:color w:val="000000"/>
          <w:sz w:val="20"/>
        </w:rPr>
        <w:t>DGCL</w:t>
      </w:r>
      <w:r>
        <w:rPr>
          <w:rFonts w:ascii="Times New Roman" w:hAnsi="Times New Roman"/>
          <w:color w:val="000000"/>
          <w:sz w:val="20"/>
        </w:rPr>
        <w:t>”), at a meeting duly called and held on September 16, 2026, which resolution provides for the creation of a series of the Corporation’s preferred stock, par value $0.01 per share, which is designated as “Series C Non-Voting Convertible Preferred Stock,” with the preferences, rights and limitations set forth therein relating to dividends, conversion, redemption, dissolution and distribution of assets of the Corporation.</w:t>
      </w:r>
    </w:p>
    <w:p>
      <w:pPr>
        <w:pStyle w:val="TextBody"/>
        <w:bidi w:val="0"/>
        <w:spacing w:before="0" w:after="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the Amended and Restated Certificate of Incorporation of the Corporation (as it may be amended, restated or otherwise modified from time to time, the “</w:t>
      </w:r>
      <w:r>
        <w:rPr>
          <w:rFonts w:ascii="Times New Roman" w:hAnsi="Times New Roman"/>
          <w:b/>
          <w:i/>
          <w:color w:val="000000"/>
          <w:sz w:val="20"/>
        </w:rPr>
        <w:t>Certificate of Incorporation</w:t>
      </w:r>
      <w:r>
        <w:rPr>
          <w:rFonts w:ascii="Times New Roman" w:hAnsi="Times New Roman"/>
          <w:color w:val="000000"/>
          <w:sz w:val="20"/>
        </w:rPr>
        <w:t>”), provides for a class of its authorized stock known as Preferred Stock, consisting of 20,000,000 shares, $0.01 par value per share (the “</w:t>
      </w:r>
      <w:r>
        <w:rPr>
          <w:rFonts w:ascii="Times New Roman" w:hAnsi="Times New Roman"/>
          <w:b/>
          <w:i/>
          <w:color w:val="000000"/>
          <w:sz w:val="20"/>
        </w:rPr>
        <w:t>Preferred Stock</w:t>
      </w:r>
      <w:r>
        <w:rPr>
          <w:rFonts w:ascii="Times New Roman" w:hAnsi="Times New Roman"/>
          <w:color w:val="000000"/>
          <w:sz w:val="20"/>
        </w:rPr>
        <w:t>”), issuable from time to time in one or more series.</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b/>
          <w:color w:val="000000"/>
          <w:sz w:val="20"/>
        </w:rPr>
        <w:t>RESOLVED</w:t>
      </w:r>
      <w:r>
        <w:rPr>
          <w:rFonts w:ascii="Times New Roman" w:hAnsi="Times New Roman"/>
          <w:color w:val="000000"/>
          <w:sz w:val="20"/>
        </w:rPr>
        <w:t>: that, pursuant to authority conferred upon the Board of Directors by the Certificate of Incorporation, (i) a new series of Preferred Stock of the Corporation be, and hereby is authorized by the Board of Directors, (ii) the Board of Directors hereby authorizes the issuance of 390,000 shares of “Series C Non-Voting Convertible Preferred Stock” pursuant to the terms of (A) the Agreement and Plan of Merger, dated on or around the date hereof, by and among the Corporation, Mariner Merger Sub I, Inc., a Delaware corporation and wholly owned subsidiary of the Corporation, Mariner Merger Sub II, LLC, a Delaware limited liability company and wholly owned subsidiary of the Corporation, and Marea Therapeutics, Inc., a Delaware corporation (the “</w:t>
      </w:r>
      <w:r>
        <w:rPr>
          <w:rFonts w:ascii="Times New Roman" w:hAnsi="Times New Roman"/>
          <w:b/>
          <w:i/>
          <w:color w:val="000000"/>
          <w:sz w:val="20"/>
        </w:rPr>
        <w:t>Merger Agreement</w:t>
      </w:r>
      <w:r>
        <w:rPr>
          <w:rFonts w:ascii="Times New Roman" w:hAnsi="Times New Roman"/>
          <w:color w:val="000000"/>
          <w:sz w:val="20"/>
        </w:rPr>
        <w:t>”), and (B) the Securities Purchase Agreement, dated on or around the date hereof, by and among the Corporation and the initial Holders (as defined below) (the “</w:t>
      </w:r>
      <w:r>
        <w:rPr>
          <w:rFonts w:ascii="Times New Roman" w:hAnsi="Times New Roman"/>
          <w:b/>
          <w:i/>
          <w:color w:val="000000"/>
          <w:sz w:val="20"/>
        </w:rPr>
        <w:t>Purchase Agreement</w:t>
      </w:r>
      <w:r>
        <w:rPr>
          <w:rFonts w:ascii="Times New Roman" w:hAnsi="Times New Roman"/>
          <w:color w:val="000000"/>
          <w:sz w:val="20"/>
        </w:rPr>
        <w:t>”),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pStyle w:val="TextBody"/>
        <w:bidi w:val="0"/>
        <w:spacing w:before="0" w:after="0"/>
        <w:ind w:left="0" w:right="0" w:firstLine="360"/>
        <w:jc w:val="both"/>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TERMS OF SERIES C NON-VOTING CONVERTIBLE PREFERRED STOCK</w:t>
      </w:r>
    </w:p>
    <w:p>
      <w:pPr>
        <w:pStyle w:val="TextBody"/>
        <w:bidi w:val="0"/>
        <w:spacing w:before="0" w:after="0"/>
        <w:jc w:val="center"/>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 For purposes hereof, the following terms shall have the following meanings:</w:t>
      </w:r>
    </w:p>
    <w:p>
      <w:pPr>
        <w:pStyle w:val="TextBody"/>
        <w:bidi w:val="0"/>
        <w:spacing w:before="0" w:after="0"/>
        <w:ind w:left="0" w:right="0" w:firstLine="36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means any Person that, directly or indirectly through one or more intermediaries, controls or is controlled by or is under common control with a Person, as such terms are used in and construed under Rule 405 of the Securities Act of 1933, as amended.</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Attribution Parties</w:t>
      </w:r>
      <w:r>
        <w:rPr>
          <w:rFonts w:ascii="Times New Roman" w:hAnsi="Times New Roman"/>
          <w:color w:val="000000"/>
          <w:sz w:val="20"/>
        </w:rPr>
        <w:t xml:space="preserve">” means, with respect to each Holder, its Affiliates and any other Person whose beneficial ownership of Common Stock would be aggregated with such Holder’s for purposes of Section 13(d) of the Exchange Act, including shares held by any “group” of which such Holder is a member; provided, for the avoidance of doubt, that for purposes of </w:t>
      </w:r>
      <w:r>
        <w:rPr>
          <w:rFonts w:ascii="Times New Roman" w:hAnsi="Times New Roman"/>
          <w:color w:val="000000"/>
          <w:sz w:val="20"/>
          <w:u w:val="single"/>
        </w:rPr>
        <w:t>Section 6.1</w:t>
      </w:r>
      <w:r>
        <w:rPr>
          <w:rFonts w:ascii="Times New Roman" w:hAnsi="Times New Roman"/>
          <w:color w:val="000000"/>
          <w:sz w:val="20"/>
        </w:rPr>
        <w:t xml:space="preserve"> (including any Beneficial Ownership Statement delivered in accordance therewith) any group that may be formed solely by reason of a Support Agreement (as defined in the Merger Agreement) or other agreement or arrangement that will terminate upon the Corporation’s receipt of the Stockholder Approval (as defined below) shall be disregarded.</w:t>
      </w:r>
    </w:p>
    <w:p>
      <w:pPr>
        <w:pStyle w:val="TextBody"/>
        <w:bidi w:val="0"/>
        <w:spacing w:before="0" w:after="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Bloomberg</w:t>
      </w:r>
      <w:r>
        <w:rPr>
          <w:rFonts w:ascii="Times New Roman" w:hAnsi="Times New Roman"/>
          <w:color w:val="000000"/>
          <w:sz w:val="20"/>
        </w:rPr>
        <w:t>” means the reporting service provided by Bloomberg L.P. or its subsidiaries or an equivalent, reliable reporting service mutually acceptable to and hereafter designated by the Required Holders (as defined below) and the Corporation.</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means any day except any Saturday, any Sunday, any day which is a federal legal holiday in the United States or any day on which banking institutions in the State of New York or California are authorized or required by law or other governmental action to close.</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Buy-In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6.5.4</w:t>
      </w:r>
      <w:r>
        <w:rPr>
          <w:rFonts w:ascii="Times New Roman" w:hAnsi="Times New Roman"/>
          <w:color w:val="000000"/>
          <w:sz w:val="20"/>
        </w:rPr>
        <w:t>.</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Closing Sale Price</w:t>
      </w:r>
      <w:r>
        <w:rPr>
          <w:rFonts w:ascii="Times New Roman" w:hAnsi="Times New Roman"/>
          <w:color w:val="000000"/>
          <w:sz w:val="20"/>
        </w:rPr>
        <w:t>” means, for any security as of any date, the last closing trade price for such security immediately prior to 4:00 p.m., New York City time, on the principal Trading Market where such security is listed or traded, as reported by Bloomberg, or if the foregoing do not apply, the last trade price reported for such security on the OTCQX Market, the OTCQB Market or Pink Open Market of OTC Markets Group (or, in each case, any successor to such market) (collectively, the “</w:t>
      </w:r>
      <w:r>
        <w:rPr>
          <w:rFonts w:ascii="Times New Roman" w:hAnsi="Times New Roman"/>
          <w:b/>
          <w:i/>
          <w:color w:val="000000"/>
          <w:sz w:val="20"/>
        </w:rPr>
        <w:t>OTC Markets</w:t>
      </w:r>
      <w:r>
        <w:rPr>
          <w:rFonts w:ascii="Times New Roman" w:hAnsi="Times New Roman"/>
          <w:color w:val="000000"/>
          <w:sz w:val="20"/>
        </w:rPr>
        <w:t>”), or, if no last trade price is reported for such security by Bloomberg and no last trade price is reported on an OTC Market, the average of the bid prices of any market makers for such security as reported on the OTC Markets.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Commission</w:t>
      </w:r>
      <w:r>
        <w:rPr>
          <w:rFonts w:ascii="Times New Roman" w:hAnsi="Times New Roman"/>
          <w:color w:val="000000"/>
          <w:sz w:val="20"/>
        </w:rPr>
        <w:t>” means the United States Securities and Exchange Commission.</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Common Stock</w:t>
      </w:r>
      <w:r>
        <w:rPr>
          <w:rFonts w:ascii="Times New Roman" w:hAnsi="Times New Roman"/>
          <w:color w:val="000000"/>
          <w:sz w:val="20"/>
        </w:rPr>
        <w:t>” means the Corporation’s common stock, par value $0.001 per share, and stock of any other class of securities into which such securities may hereafter be reclassified or changed.</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Conversion Shares</w:t>
      </w:r>
      <w:r>
        <w:rPr>
          <w:rFonts w:ascii="Times New Roman" w:hAnsi="Times New Roman"/>
          <w:color w:val="000000"/>
          <w:sz w:val="20"/>
        </w:rPr>
        <w:t>” means, collectively, the shares of Common Stock issuable upon conversion of the shares of Series C Non-Voting Preferred Stock in accordance with the terms hereof.</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Exchange Act</w:t>
      </w:r>
      <w:r>
        <w:rPr>
          <w:rFonts w:ascii="Times New Roman" w:hAnsi="Times New Roman"/>
          <w:color w:val="000000"/>
          <w:sz w:val="20"/>
        </w:rPr>
        <w:t>” means the Securities Exchange Act of 1934, as amended, and the rules and regulations promulgated thereunder.</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Governmental Body</w:t>
      </w:r>
      <w:r>
        <w:rPr>
          <w:rFonts w:ascii="Times New Roman" w:hAnsi="Times New Roman"/>
          <w:color w:val="000000"/>
          <w:sz w:val="20"/>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Holder</w:t>
      </w:r>
      <w:r>
        <w:rPr>
          <w:rFonts w:ascii="Times New Roman" w:hAnsi="Times New Roman"/>
          <w:color w:val="000000"/>
          <w:sz w:val="20"/>
        </w:rPr>
        <w:t>” means a holder of shares of Series C Non-Voting Preferred Stock.</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Nasdaq</w:t>
      </w:r>
      <w:r>
        <w:rPr>
          <w:rFonts w:ascii="Times New Roman" w:hAnsi="Times New Roman"/>
          <w:color w:val="000000"/>
          <w:sz w:val="20"/>
        </w:rPr>
        <w:t>” means The Nasdaq Stock Market LLC.</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means any individual,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or Governmental Body.</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Series C Non-Voting Liquidation Amount</w:t>
      </w:r>
      <w:r>
        <w:rPr>
          <w:rFonts w:ascii="Times New Roman" w:hAnsi="Times New Roman"/>
          <w:color w:val="000000"/>
          <w:sz w:val="20"/>
        </w:rPr>
        <w:t>” means, with respect to each share of Series C Non-Voting Convertible Preferred Stock, an amount equal to $0.01.</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Trading Day</w:t>
      </w:r>
      <w:r>
        <w:rPr>
          <w:rFonts w:ascii="Times New Roman" w:hAnsi="Times New Roman"/>
          <w:color w:val="000000"/>
          <w:sz w:val="20"/>
        </w:rPr>
        <w:t>” means a day on which shares of Common Stock are traded for any period on the principal Trading Market for the Common Stock. If the Common Stock is not listed or traded on any Trading Market, the term “Trading Day” shall mean a Business Day.</w:t>
      </w:r>
    </w:p>
    <w:p>
      <w:pPr>
        <w:pStyle w:val="TextBody"/>
        <w:bidi w:val="0"/>
        <w:spacing w:before="0" w:after="0"/>
        <w:jc w:val="both"/>
        <w:rPr>
          <w:sz w:val="20"/>
        </w:rPr>
      </w:pPr>
      <w:r>
        <w:rPr>
          <w:sz w:val="20"/>
        </w:rPr>
      </w:r>
    </w:p>
    <w:p>
      <w:pPr>
        <w:pStyle w:val="TextBody"/>
        <w:bidi w:val="0"/>
        <w:spacing w:before="0" w:after="0"/>
        <w:ind w:left="0" w:right="0" w:firstLine="1080"/>
        <w:jc w:val="both"/>
        <w:rPr>
          <w:color w:val="000000"/>
        </w:rPr>
      </w:pPr>
      <w:r>
        <w:rPr>
          <w:color w:val="000000"/>
        </w:rPr>
        <w:t>“</w:t>
      </w:r>
      <w:r>
        <w:rPr>
          <w:rFonts w:ascii="Times New Roman" w:hAnsi="Times New Roman"/>
          <w:b/>
          <w:i/>
          <w:color w:val="000000"/>
          <w:sz w:val="20"/>
        </w:rPr>
        <w:t>Trading Market</w:t>
      </w:r>
      <w:r>
        <w:rPr>
          <w:rFonts w:ascii="Times New Roman" w:hAnsi="Times New Roman"/>
          <w:color w:val="000000"/>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firstLine="108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Designation, Amount and Par Value</w:t>
      </w:r>
      <w:r>
        <w:rPr>
          <w:rFonts w:ascii="Times New Roman" w:hAnsi="Times New Roman"/>
          <w:color w:val="000000"/>
          <w:sz w:val="20"/>
        </w:rPr>
        <w:t>. The series of Preferred Stock shall be designated as the Corporation’s Series C Non-Voting Convertible Preferred Stock (the “</w:t>
      </w:r>
      <w:r>
        <w:rPr>
          <w:rFonts w:ascii="Times New Roman" w:hAnsi="Times New Roman"/>
          <w:b/>
          <w:i/>
          <w:color w:val="000000"/>
          <w:sz w:val="20"/>
        </w:rPr>
        <w:t>Series C Non-Voting Preferred Stock</w:t>
      </w:r>
      <w:r>
        <w:rPr>
          <w:rFonts w:ascii="Times New Roman" w:hAnsi="Times New Roman"/>
          <w:color w:val="000000"/>
          <w:sz w:val="20"/>
        </w:rPr>
        <w:t>”) and the number of shares so designated shall be 390,000. Each share of Series C Non-Voting Preferred Stock shall have a par value of $0.01 per share.</w:t>
      </w:r>
    </w:p>
    <w:p>
      <w:pPr>
        <w:pStyle w:val="TextBody"/>
        <w:bidi w:val="0"/>
        <w:spacing w:before="0" w:after="0"/>
        <w:ind w:left="0" w:right="0" w:firstLine="36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Dividends</w:t>
      </w:r>
      <w:r>
        <w:rPr>
          <w:rFonts w:ascii="Times New Roman" w:hAnsi="Times New Roman"/>
          <w:color w:val="000000"/>
          <w:sz w:val="20"/>
        </w:rPr>
        <w:t>. Holders shall be entitled to receive, and the Corporation shall pay, dividends on shares of the Series C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C Non-Voting Preferred Stock, and the Corporation shall pay no dividends (other than dividends payable in the form of Common Stock) on shares of the Common Stock unless it simultaneously complies with the previous sentence.</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Voting Rights.</w:t>
      </w:r>
    </w:p>
    <w:p>
      <w:pPr>
        <w:pStyle w:val="TextBody"/>
        <w:bidi w:val="0"/>
        <w:spacing w:before="0" w:after="0"/>
        <w:ind w:left="0" w:right="0" w:firstLine="36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4.1 Except as otherwise provided herein or as otherwise required by the DGCL, the Series C Non-Voting Preferred Stock shall have no voting rights. However, as long as any shares of Series C Non-Voting Preferred Stock are outstanding, the Corporation shall not, without the affirmative vote of the holders of a majority of the then outstanding shares of the Series C Non-Voting Preferred Stock: (i) alter or change adversely the powers, preferences or rights given to the Series C Non-Voting Preferred Stock or alter or amend this Certificate of Designation, amend or repeal any provision of, or add any provision to, the Certificate of Incorporation or the bylaws of the Corporation, or file any certificate of amendment, certificate of designations, preferences, limitations and relative rights of any series of Preferred Stock, in each case, if such action would adversely alter or change the preferences, rights, privileges or powers of, or restrictions provided for the benefit of the Series C Non-Voting Preferred Stock relative to the Common Stock, regardless of whether any of the foregoing actions shall be by means of amendment to the Certificate of Incorporation or by merger, consolidation, recapitalization, reclassification, conversion or otherwise, (ii) issue additional shares of Series C Non-Voting Preferred Stock or increase or decrease (other than by conversion) the number of authorized shares of Series C Non-Voting Preferred Stock, (iii) prior to the Automatic Conversion (as defined below), consummate either: (A) any Fundamental Transaction (as defined below) or (B) any merger or consolidation of the Corporation with or into another Person or any stock sale to, or other business combination (including, without limitation, a reorganization, recapitalization, spin-off, share exchange or scheme of arrangement) with or into, another Person in which the stockholders of the Corporation immediately before such transaction do not hold at least a majority of the voting power of the capital stock of the Corporation or surviving corporation or the parent entity of the Corporation or surviving corporation immediately after such transaction or in which the Corporation or the surviving corporation issues securities in such transaction that represent, or are convertible into securities representing, more than a majority of the voting power of the Corporation immediately before such transaction (a “</w:t>
      </w:r>
      <w:r>
        <w:rPr>
          <w:rFonts w:ascii="Times New Roman" w:hAnsi="Times New Roman"/>
          <w:b/>
          <w:i/>
          <w:color w:val="000000"/>
          <w:sz w:val="20"/>
        </w:rPr>
        <w:t>Change of Control Transaction</w:t>
      </w:r>
      <w:r>
        <w:rPr>
          <w:rFonts w:ascii="Times New Roman" w:hAnsi="Times New Roman"/>
          <w:color w:val="000000"/>
          <w:sz w:val="20"/>
        </w:rPr>
        <w:t xml:space="preserve">”), (iv) prior to the Automatic Conversion, authorize or issue any class or series of stock that has powers, preferences or rights that are senior to those of the Series C Non-Voting Preferred Stock, (v) amend, waive or modify the Merger Agreement in any manner that would be reasonably likely to prevent, impede or materially delay the Stockholder Approval or the Automatic Conversion (as defined below) or (vi) enter into any agreement with respect to any of the foregoing. For the avoidance of doubt, no approval under this </w:t>
      </w:r>
      <w:r>
        <w:rPr>
          <w:rFonts w:ascii="Times New Roman" w:hAnsi="Times New Roman"/>
          <w:color w:val="000000"/>
          <w:sz w:val="20"/>
          <w:u w:val="single"/>
        </w:rPr>
        <w:t>Section 4.1</w:t>
      </w:r>
      <w:r>
        <w:rPr>
          <w:rFonts w:ascii="Times New Roman" w:hAnsi="Times New Roman"/>
          <w:color w:val="000000"/>
          <w:sz w:val="20"/>
        </w:rPr>
        <w:t xml:space="preserve"> shall be required in connection with the consummation of the transactions contemplated by the Purchase Agreement or the Merger Agreement, including the issuance of shares of Series C Non-Voting Preferred Stock thereunder. Holders of shares of Common Stock acquired upon the conversion of shares of Series C Non-Voting Preferred Stock shall be entitled to the same voting rights as each other holder of Common Stock, except that such holders may not vote such shares upon the proposal for Stockholder Approval in accordance with Rule 5635 of the listing rules of Nasdaq.</w:t>
      </w:r>
    </w:p>
    <w:p>
      <w:pPr>
        <w:pStyle w:val="TextBody"/>
        <w:bidi w:val="0"/>
        <w:spacing w:before="0" w:after="0"/>
        <w:jc w:val="left"/>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4.2 Any vote required or permitted under </w:t>
      </w:r>
      <w:r>
        <w:rPr>
          <w:rFonts w:ascii="Times New Roman" w:hAnsi="Times New Roman"/>
          <w:color w:val="000000"/>
          <w:sz w:val="20"/>
          <w:u w:val="single"/>
        </w:rPr>
        <w:t>Section 4.1</w:t>
      </w:r>
      <w:r>
        <w:rPr>
          <w:rFonts w:ascii="Times New Roman" w:hAnsi="Times New Roman"/>
          <w:color w:val="000000"/>
          <w:sz w:val="20"/>
        </w:rPr>
        <w:t xml:space="preserve"> may be taken at a meeting of the Holders or through the execution of an action by written consent in lieu of such meeting, provided that the consent is executed by Holders representing a majority of the then-outstanding shares of Series C Non-Voting Preferred Stock.</w:t>
      </w:r>
    </w:p>
    <w:p>
      <w:pPr>
        <w:pStyle w:val="TextBody"/>
        <w:bidi w:val="0"/>
        <w:spacing w:before="0" w:after="0"/>
        <w:ind w:left="0" w:right="0" w:firstLine="108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Rank; Liquidation</w:t>
      </w:r>
      <w:r>
        <w:rPr>
          <w:rFonts w:ascii="Times New Roman" w:hAnsi="Times New Roman"/>
          <w:color w:val="000000"/>
          <w:sz w:val="20"/>
        </w:rPr>
        <w:t>.</w:t>
      </w:r>
    </w:p>
    <w:p>
      <w:pPr>
        <w:pStyle w:val="TextBody"/>
        <w:bidi w:val="0"/>
        <w:spacing w:before="0" w:after="0"/>
        <w:ind w:left="0" w:right="0" w:firstLine="36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5.1 The Series C Non-Voting Preferred Stock shall rank (i) senior to the Common Stock solely to the extent of the Series C Non-Voting Liquidation Amount per share, and (ii) on parity with the Common Stock in all other respects, in each case, as to dividends or distributions of assets upon liquidation, dissolution or winding up of the Corporation, whether voluntarily or involuntarily.</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5.2 Upon any liquidation, dissolution or winding-up of the Corporation, whether voluntary or involuntary (a “</w:t>
      </w:r>
      <w:r>
        <w:rPr>
          <w:rFonts w:ascii="Times New Roman" w:hAnsi="Times New Roman"/>
          <w:b/>
          <w:i/>
          <w:color w:val="000000"/>
          <w:sz w:val="20"/>
        </w:rPr>
        <w:t>Liquidation</w:t>
      </w:r>
      <w:r>
        <w:rPr>
          <w:rFonts w:ascii="Times New Roman" w:hAnsi="Times New Roman"/>
          <w:color w:val="000000"/>
          <w:sz w:val="20"/>
        </w:rPr>
        <w:t>”), each Holder shall be entitled to receive, prior and in preference to any distribution to the holders of Common Stock, out of the assets of the Corporation, whether capital or surplus, an amount equal to the Series C Non-Voting Liquidation Amount for each share of Series C Non-Voting Preferred Stock held by such Holder, plus an amount equal to any dividends declared on but unpaid to such shares (the “</w:t>
      </w:r>
      <w:r>
        <w:rPr>
          <w:rFonts w:ascii="Times New Roman" w:hAnsi="Times New Roman"/>
          <w:b/>
          <w:i/>
          <w:color w:val="000000"/>
          <w:sz w:val="20"/>
        </w:rPr>
        <w:t>Preference Amount</w:t>
      </w:r>
      <w:r>
        <w:rPr>
          <w:rFonts w:ascii="Times New Roman" w:hAnsi="Times New Roman"/>
          <w:color w:val="000000"/>
          <w:sz w:val="20"/>
        </w:rPr>
        <w:t>”). After payment in full of the Preference Amount to all Holders, the remaining assets of the Corporation available for distribution shall be distributed among the Holders and the holders of Common Stock, with each Holder receiving the same amount per share that a holder of Common Stock would receive if the Series C Non-Voting Preferred Stock were fully converted (disregarding for such purpose any Beneficial Ownership Limitations) to Common Stock, which amounts shall be paid pari passu with all holders of Common Stock. If, upon any such Liquidation, the assets of the Corporation shall be insufficient to pay the Preference Amount in full to all Holders, then all assets of the Corporation available for distribution shall be distributed ratably among the Holders in proportion to the full Preference Amount each such Holder would otherwise be entitled to receive. If, upon any such Liquidation, the assets of the Corporation remaining after payment in full of the Preference Amount shall be insufficient to pay the Holders and the holders of Common Stock the full amounts they would otherwise be entitled to receive, then all such remaining assets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Conversion</w:t>
      </w:r>
      <w:r>
        <w:rPr>
          <w:rFonts w:ascii="Times New Roman" w:hAnsi="Times New Roman"/>
          <w:color w:val="000000"/>
          <w:sz w:val="20"/>
        </w:rPr>
        <w:t>.</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6.1 </w:t>
      </w:r>
      <w:r>
        <w:rPr>
          <w:rFonts w:ascii="Times New Roman" w:hAnsi="Times New Roman"/>
          <w:color w:val="000000"/>
          <w:sz w:val="20"/>
          <w:u w:val="single"/>
        </w:rPr>
        <w:t>Automatic Conversion on Stockholder Approval</w:t>
      </w:r>
      <w:r>
        <w:rPr>
          <w:rFonts w:ascii="Times New Roman" w:hAnsi="Times New Roman"/>
          <w:color w:val="000000"/>
          <w:sz w:val="20"/>
        </w:rPr>
        <w:t>. Effective as of 5:00 p.m. Eastern time on the third (3rd) Business Day after the date that the Corporation obtains the Requisite Stockholder Approval (as defined in the Purchase Agreement) (the “</w:t>
      </w:r>
      <w:r>
        <w:rPr>
          <w:rFonts w:ascii="Times New Roman" w:hAnsi="Times New Roman"/>
          <w:b/>
          <w:i/>
          <w:color w:val="000000"/>
          <w:sz w:val="20"/>
        </w:rPr>
        <w:t>Stockholder Approval</w:t>
      </w:r>
      <w:r>
        <w:rPr>
          <w:rFonts w:ascii="Times New Roman" w:hAnsi="Times New Roman"/>
          <w:color w:val="000000"/>
          <w:sz w:val="20"/>
        </w:rPr>
        <w:t>”), each share of Series C Non-Voting Preferred Stock then outstanding shall automatically convert into a number of shares of Common Stock equal to the Conversion Ratio (as defined below), subject to the Beneficial Ownership Limitation applicable to the Holder thereof (the “</w:t>
      </w:r>
      <w:r>
        <w:rPr>
          <w:rFonts w:ascii="Times New Roman" w:hAnsi="Times New Roman"/>
          <w:b/>
          <w:i/>
          <w:color w:val="000000"/>
          <w:sz w:val="20"/>
        </w:rPr>
        <w:t>Automatic Conversion</w:t>
      </w:r>
      <w:r>
        <w:rPr>
          <w:rFonts w:ascii="Times New Roman" w:hAnsi="Times New Roman"/>
          <w:color w:val="000000"/>
          <w:sz w:val="20"/>
        </w:rPr>
        <w:t>”). The Corporation shall inform each Holder of the occurrence of the Stockholder Approval and the effective date of the Automatic Conversion within one (1) Business Day following such Stockholder Approval via the filing with the Commission of a Current Report on Form 8-K publicly disclosing the same. At least fifteen (15) days prior to the date of the Automatic Conversion or, in the case of an Additional Automatic Conversion (as defined below), at least ten (10) days prior to the date of such Additional Automatic Conversion, the Corporation shall request (a “</w:t>
      </w:r>
      <w:r>
        <w:rPr>
          <w:rFonts w:ascii="Times New Roman" w:hAnsi="Times New Roman"/>
          <w:b/>
          <w:i/>
          <w:color w:val="000000"/>
          <w:sz w:val="20"/>
        </w:rPr>
        <w:t>Beneficial Ownership Request</w:t>
      </w:r>
      <w:r>
        <w:rPr>
          <w:rFonts w:ascii="Times New Roman" w:hAnsi="Times New Roman"/>
          <w:color w:val="000000"/>
          <w:sz w:val="20"/>
        </w:rPr>
        <w:t>”) from each Holder a written notice (which may be provided by email) of the number of shares of Common Stock then beneficially owned by such Holder and any of its Attribution Parties (a “</w:t>
      </w:r>
      <w:r>
        <w:rPr>
          <w:rFonts w:ascii="Times New Roman" w:hAnsi="Times New Roman"/>
          <w:b/>
          <w:i/>
          <w:color w:val="000000"/>
          <w:sz w:val="20"/>
        </w:rPr>
        <w:t>Beneficial Ownership Statement</w:t>
      </w:r>
      <w:r>
        <w:rPr>
          <w:rFonts w:ascii="Times New Roman" w:hAnsi="Times New Roman"/>
          <w:color w:val="000000"/>
          <w:sz w:val="20"/>
        </w:rPr>
        <w:t xml:space="preserve">”). For such purposes, the number of shares beneficially owned by each Holder and its Attribution Parties will be determined in a manner consistent with </w:t>
      </w:r>
      <w:r>
        <w:rPr>
          <w:rFonts w:ascii="Times New Roman" w:hAnsi="Times New Roman"/>
          <w:color w:val="000000"/>
          <w:sz w:val="20"/>
          <w:u w:val="single"/>
        </w:rPr>
        <w:t>Section 6.3</w:t>
      </w:r>
      <w:r>
        <w:rPr>
          <w:rFonts w:ascii="Times New Roman" w:hAnsi="Times New Roman"/>
          <w:color w:val="000000"/>
          <w:sz w:val="20"/>
        </w:rPr>
        <w:t xml:space="preserve"> hereof. In determining the application of the Beneficial Ownership Limitations solely with respect to the Automatic Conversion and any Additional Automatic Conversion, the Corporation shall calculate beneficial ownership for each Holder taking into account the beneficial ownership by such Holder of: (x) the number of shares of Common Stock issuable to such Holder or its Attribution Parties in such Automatic Conversion or such Additional Automatic Conversion (as applicable), plus (y) any additional shares of Common Stock beneficially owned by such Holder or its Attribution Parties as set forth in such Holder’s Beneficial Ownership Statement and assuming the conversion of all shares of Series C Non-Voting Preferred Stock held by all other Holders less the aggregate number of shares of Series C Non-Voting Preferred Stock held by all other Holders that will not convert into shares of Common Stock on account of the application of any Beneficial Ownership Limitations applicable to any such other Holders. If, following the Corporation’s delivery of a Beneficial Ownership Request, a Holder does not provide a Beneficial Ownership Statement at least ten (10) days prior to the date of Stockholder Approval (or, in the case of an Additional Automatic Conversion, within five (5) days following the Corporation’s delivery of such Beneficial Ownership Request), the Corporation shall be entitled to presume such Holder’s beneficial ownership of Common Stock (excluding the Conversion Shares) to be zero. The shares of Series C Non-Voting Preferred Stock that are converted in the Automatic Conversion or any Additional Automatic Conversion are referred to as the “</w:t>
      </w:r>
      <w:r>
        <w:rPr>
          <w:rFonts w:ascii="Times New Roman" w:hAnsi="Times New Roman"/>
          <w:b/>
          <w:i/>
          <w:color w:val="000000"/>
          <w:sz w:val="20"/>
        </w:rPr>
        <w:t>Converted Stock</w:t>
      </w:r>
      <w:r>
        <w:rPr>
          <w:rFonts w:ascii="Times New Roman" w:hAnsi="Times New Roman"/>
          <w:color w:val="000000"/>
          <w:sz w:val="20"/>
        </w:rPr>
        <w:t xml:space="preserve">”. Each delivery of a Beneficial Ownership Statement by a Holder will constitute a representation by such Holder that the information therein is true and correct in all material respects and that such Holder has provided the information contained therein in a manner consistent with this paragraph. The Corporation shall be entitled to rely on the information contained in the Beneficial Ownership Statement delivered by a Holder unless and until such Holder notifies the Corporation, in writing, of any changes to the information contained therein. For the avoidance of doubt, any shares of Series C Non-Voting Preferred Stock that are not automatically converted pursuant to the Automatic Conversion as a result of a Beneficial Ownership Limitation shall remain outstanding until such shares of Series C Non-Voting Preferred Stock are converted pursuant to </w:t>
      </w:r>
      <w:r>
        <w:rPr>
          <w:rFonts w:ascii="Times New Roman" w:hAnsi="Times New Roman"/>
          <w:color w:val="000000"/>
          <w:sz w:val="20"/>
          <w:u w:val="single"/>
        </w:rPr>
        <w:t>Section 6.2</w:t>
      </w:r>
      <w:r>
        <w:rPr>
          <w:rFonts w:ascii="Times New Roman" w:hAnsi="Times New Roman"/>
          <w:color w:val="000000"/>
          <w:sz w:val="20"/>
        </w:rPr>
        <w:t xml:space="preserve"> or pursuant to an Additional Automatic Conversion (as defined below). From time to time following the date of the Automatic Conversion, but in no event more than once in any six (6)-month period, the Corporation may deliver written notice (an “</w:t>
      </w:r>
      <w:r>
        <w:rPr>
          <w:rFonts w:ascii="Times New Roman" w:hAnsi="Times New Roman"/>
          <w:b/>
          <w:i/>
          <w:color w:val="000000"/>
          <w:sz w:val="20"/>
        </w:rPr>
        <w:t>Additional Automatic Conversion Notice</w:t>
      </w:r>
      <w:r>
        <w:rPr>
          <w:rFonts w:ascii="Times New Roman" w:hAnsi="Times New Roman"/>
          <w:color w:val="000000"/>
          <w:sz w:val="20"/>
        </w:rPr>
        <w:t>”) to each holder of record of Series C Non-Voting Preferred stock that the Corporation is electing to effect additional automatic conversions of the Series C Non-Voting Preferred Stock into Common Stock (“</w:t>
      </w:r>
      <w:r>
        <w:rPr>
          <w:rFonts w:ascii="Times New Roman" w:hAnsi="Times New Roman"/>
          <w:b/>
          <w:i/>
          <w:color w:val="000000"/>
          <w:sz w:val="20"/>
        </w:rPr>
        <w:t>Additional Automatic Conversions</w:t>
      </w:r>
      <w:r>
        <w:rPr>
          <w:rFonts w:ascii="Times New Roman" w:hAnsi="Times New Roman"/>
          <w:color w:val="000000"/>
          <w:sz w:val="20"/>
        </w:rPr>
        <w:t xml:space="preserve">”) pursuant to this </w:t>
      </w:r>
      <w:r>
        <w:rPr>
          <w:rFonts w:ascii="Times New Roman" w:hAnsi="Times New Roman"/>
          <w:color w:val="000000"/>
          <w:sz w:val="20"/>
          <w:u w:val="single"/>
        </w:rPr>
        <w:t>Section 6.1</w:t>
      </w:r>
      <w:r>
        <w:rPr>
          <w:rFonts w:ascii="Times New Roman" w:hAnsi="Times New Roman"/>
          <w:color w:val="000000"/>
          <w:sz w:val="20"/>
        </w:rPr>
        <w:t xml:space="preserve">. Each Additional Automatic Conversion Notice shall include a request that each Holder deliver an updated Beneficial Ownership Statement (and shall constitute a Beneficial Ownership Request), and upon delivery thereof the Corporation and each Holder shall comply with the provisions of this </w:t>
      </w:r>
      <w:r>
        <w:rPr>
          <w:rFonts w:ascii="Times New Roman" w:hAnsi="Times New Roman"/>
          <w:color w:val="000000"/>
          <w:sz w:val="20"/>
          <w:u w:val="single"/>
        </w:rPr>
        <w:t>Section 6.1</w:t>
      </w:r>
      <w:r>
        <w:rPr>
          <w:rFonts w:ascii="Times New Roman" w:hAnsi="Times New Roman"/>
          <w:color w:val="000000"/>
          <w:sz w:val="20"/>
        </w:rPr>
        <w:t xml:space="preserve"> applicable to Additional Automatic Conversions. Each Additional Automatic Conversion shall be effective on the date specified by the Corporation in the Additional Automatic Conversion Notice; provided that such date shall be at least ten (10) days after the date of such Additional Automatic Conversion Notice. The Conversion Shares shall be issued as follows:</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6.1.1 Converted Stock that is registered in book entry form shall be automatically cancelled upon the Automatic Conversion or any Additional Automatic Conversion and converted into the corresponding Conversion Shares, which shares shall be issued in book entry form to the Holders within one (1) Business Day following the effectiveness of the Automatic Conversion or Additional Automatic Conversion, as applicable, without any action on the part of the Holders.</w:t>
      </w:r>
    </w:p>
    <w:p>
      <w:pPr>
        <w:pStyle w:val="TextBody"/>
        <w:bidi w:val="0"/>
        <w:spacing w:before="0" w:after="0"/>
        <w:ind w:left="0" w:right="0" w:firstLine="1440"/>
        <w:jc w:val="both"/>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6.1.2 Converted Stock that is issued in certificated form shall be deemed converted into the corresponding Conversion Shares on the date of Automatic Conversion or Additional Automatic Conversion, as applicable, and the Holder’s rights as a holder of such shares of Converted Stock shall cease and terminate on such date, excepting only the right to receive the Conversion Shares within two (2) Business Days following the effectiveness of the Automatic Conversion or Additional Automatic Conversion, as applicable. Without delaying the delivery of the Conversion Shares, the Holder shall as soon as practicable (and in any event within three (3) Business Days) following the effectiveness of the Automatic Conversion or Additional Automatic Conversion, as applicable, tender to the Corporation (or its designated agent) the stock certificate(s) (duly endorsed) representing such certificated Converted Stock.</w:t>
      </w:r>
    </w:p>
    <w:p>
      <w:pPr>
        <w:pStyle w:val="TextBody"/>
        <w:bidi w:val="0"/>
        <w:spacing w:before="0" w:after="0"/>
        <w:ind w:left="0" w:right="0" w:firstLine="1440"/>
        <w:jc w:val="both"/>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6.1.3 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prior to the Automatic Conversion. In all cases, the Holder shall retain all of its rights and remedies for the Corporation’s failure to convert the Converted Stock.</w:t>
      </w:r>
    </w:p>
    <w:p>
      <w:pPr>
        <w:pStyle w:val="TextBody"/>
        <w:bidi w:val="0"/>
        <w:spacing w:before="0" w:after="0"/>
        <w:ind w:left="0" w:right="0" w:firstLine="144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6.2 </w:t>
      </w:r>
      <w:r>
        <w:rPr>
          <w:rFonts w:ascii="Times New Roman" w:hAnsi="Times New Roman"/>
          <w:color w:val="000000"/>
          <w:sz w:val="20"/>
          <w:u w:val="single"/>
        </w:rPr>
        <w:t>Conversion at Option of Holder</w:t>
      </w:r>
      <w:r>
        <w:rPr>
          <w:rFonts w:ascii="Times New Roman" w:hAnsi="Times New Roman"/>
          <w:color w:val="000000"/>
          <w:sz w:val="20"/>
        </w:rPr>
        <w:t xml:space="preserve">. Subject to </w:t>
      </w:r>
      <w:r>
        <w:rPr>
          <w:rFonts w:ascii="Times New Roman" w:hAnsi="Times New Roman"/>
          <w:color w:val="000000"/>
          <w:sz w:val="20"/>
          <w:u w:val="single"/>
        </w:rPr>
        <w:t>Section 6.1</w:t>
      </w:r>
      <w:r>
        <w:rPr>
          <w:rFonts w:ascii="Times New Roman" w:hAnsi="Times New Roman"/>
          <w:color w:val="000000"/>
          <w:sz w:val="20"/>
        </w:rPr>
        <w:t xml:space="preserve">, </w:t>
      </w:r>
      <w:r>
        <w:rPr>
          <w:rFonts w:ascii="Times New Roman" w:hAnsi="Times New Roman"/>
          <w:color w:val="000000"/>
          <w:sz w:val="20"/>
          <w:u w:val="single"/>
        </w:rPr>
        <w:t>Section 6.4</w:t>
      </w:r>
      <w:r>
        <w:rPr>
          <w:rFonts w:ascii="Times New Roman" w:hAnsi="Times New Roman"/>
          <w:color w:val="000000"/>
          <w:sz w:val="20"/>
        </w:rPr>
        <w:t xml:space="preserve"> and </w:t>
      </w:r>
      <w:r>
        <w:rPr>
          <w:rFonts w:ascii="Times New Roman" w:hAnsi="Times New Roman"/>
          <w:color w:val="000000"/>
          <w:sz w:val="20"/>
          <w:u w:val="single"/>
        </w:rPr>
        <w:t>Section 6.5.3</w:t>
      </w:r>
      <w:r>
        <w:rPr>
          <w:rFonts w:ascii="Times New Roman" w:hAnsi="Times New Roman"/>
          <w:color w:val="000000"/>
          <w:sz w:val="20"/>
        </w:rPr>
        <w:t xml:space="preserve">, each share of Series C Non-Voting Preferred Stock then outstanding shall be convertible, at any time and from time to time following the earlier of (i) 5:00 p.m. Eastern time on the third (3rd) Business Day after the date that the Stockholder Approval is obtained by the Corporation and (ii) solely for purposes of effecting a cash settlement pursuant to </w:t>
      </w:r>
      <w:r>
        <w:rPr>
          <w:rFonts w:ascii="Times New Roman" w:hAnsi="Times New Roman"/>
          <w:color w:val="000000"/>
          <w:sz w:val="20"/>
          <w:u w:val="single"/>
        </w:rPr>
        <w:t>Section 6.5.3</w:t>
      </w:r>
      <w:r>
        <w:rPr>
          <w:rFonts w:ascii="Times New Roman" w:hAnsi="Times New Roman"/>
          <w:color w:val="000000"/>
          <w:sz w:val="20"/>
        </w:rPr>
        <w:t>, the date that is six (6) months after the initial issuance date of the Series C Non-Voting Preferred Stock, at the option of the Holder thereof, into a number of shares of Common Stock equal to the Conversion Ratio, subject to the Beneficial Ownership Limitation (each, an “</w:t>
      </w:r>
      <w:r>
        <w:rPr>
          <w:rFonts w:ascii="Times New Roman" w:hAnsi="Times New Roman"/>
          <w:b/>
          <w:i/>
          <w:color w:val="000000"/>
          <w:sz w:val="20"/>
        </w:rPr>
        <w:t>Optional Conversion</w:t>
      </w:r>
      <w:r>
        <w:rPr>
          <w:rFonts w:ascii="Times New Roman" w:hAnsi="Times New Roman"/>
          <w:color w:val="000000"/>
          <w:sz w:val="20"/>
        </w:rPr>
        <w:t xml:space="preserve">”). Holders shall effect Optional Conversions by providing the Corporation with the form of conversion notice attached hereto as </w:t>
      </w:r>
      <w:r>
        <w:rPr>
          <w:rFonts w:ascii="Times New Roman" w:hAnsi="Times New Roman"/>
          <w:b/>
          <w:color w:val="000000"/>
          <w:sz w:val="20"/>
          <w:u w:val="single"/>
        </w:rPr>
        <w:t>Annex A</w:t>
      </w:r>
      <w:r>
        <w:rPr>
          <w:rFonts w:ascii="Times New Roman" w:hAnsi="Times New Roman"/>
          <w:color w:val="000000"/>
          <w:sz w:val="20"/>
        </w:rPr>
        <w:t xml:space="preserve"> (a “</w:t>
      </w:r>
      <w:r>
        <w:rPr>
          <w:rFonts w:ascii="Times New Roman" w:hAnsi="Times New Roman"/>
          <w:b/>
          <w:i/>
          <w:color w:val="000000"/>
          <w:sz w:val="20"/>
        </w:rPr>
        <w:t>Notice of Conversion</w:t>
      </w:r>
      <w:r>
        <w:rPr>
          <w:rFonts w:ascii="Times New Roman" w:hAnsi="Times New Roman"/>
          <w:color w:val="000000"/>
          <w:sz w:val="20"/>
        </w:rPr>
        <w:t>”), duly completed and executed by such Holder. Provided (x) the Corporation’s transfer agent is participating in the Depository Trust Company (“</w:t>
      </w:r>
      <w:r>
        <w:rPr>
          <w:rFonts w:ascii="Times New Roman" w:hAnsi="Times New Roman"/>
          <w:b/>
          <w:i/>
          <w:color w:val="000000"/>
          <w:sz w:val="20"/>
        </w:rPr>
        <w:t>DTC</w:t>
      </w:r>
      <w:r>
        <w:rPr>
          <w:rFonts w:ascii="Times New Roman" w:hAnsi="Times New Roman"/>
          <w:color w:val="000000"/>
          <w:sz w:val="20"/>
        </w:rPr>
        <w:t xml:space="preserve">”) Fast Automated Securities Transfer program, (y) the Corporation is obligated to remove any restrictive legend from the Conversion Shares issuable upon such conversion pursuant to Section 5.5 of the Purchase Agreement and such Conversion Shares are not otherwise subject to affiliate or lock-up legends and (z) the cash settlement provisions of </w:t>
      </w:r>
      <w:r>
        <w:rPr>
          <w:rFonts w:ascii="Times New Roman" w:hAnsi="Times New Roman"/>
          <w:color w:val="000000"/>
          <w:sz w:val="20"/>
          <w:u w:val="single"/>
        </w:rPr>
        <w:t>Section 6.5.3</w:t>
      </w:r>
      <w:r>
        <w:rPr>
          <w:rFonts w:ascii="Times New Roman" w:hAnsi="Times New Roman"/>
          <w:color w:val="000000"/>
          <w:sz w:val="20"/>
        </w:rPr>
        <w:t xml:space="preserve"> do not apply to such conversion, the Notice of Conversion shall specify, at the Holder’s election, whether the applicable Conversion Shares shall be issued and delivered by (A) crediting such Conversion Shares to the account of the Holder’s prime broker with DTC through its Deposit/Withdrawal At Custodian system (a “</w:t>
      </w:r>
      <w:r>
        <w:rPr>
          <w:rFonts w:ascii="Times New Roman" w:hAnsi="Times New Roman"/>
          <w:b/>
          <w:i/>
          <w:color w:val="000000"/>
          <w:sz w:val="20"/>
        </w:rPr>
        <w:t>DWAC Delivery</w:t>
      </w:r>
      <w:r>
        <w:rPr>
          <w:rFonts w:ascii="Times New Roman" w:hAnsi="Times New Roman"/>
          <w:color w:val="000000"/>
          <w:sz w:val="20"/>
        </w:rPr>
        <w:t>”), (B) registering such Conversion Shares in the Holder’s (or its designee’s) name in book-entry form or (C) delivering physical stock certificates representing such Conversion Shares, issued in the name of the Holder (or its designee). The date on which an Optional Conversion shall be deemed effective (the “</w:t>
      </w:r>
      <w:r>
        <w:rPr>
          <w:rFonts w:ascii="Times New Roman" w:hAnsi="Times New Roman"/>
          <w:b/>
          <w:i/>
          <w:color w:val="000000"/>
          <w:sz w:val="20"/>
        </w:rPr>
        <w:t>Conversion Date</w:t>
      </w:r>
      <w:r>
        <w:rPr>
          <w:rFonts w:ascii="Times New Roman" w:hAnsi="Times New Roman"/>
          <w:color w:val="000000"/>
          <w:sz w:val="20"/>
        </w:rPr>
        <w:t>”) shall be the Trading Day that the Notice of Conversion, completed and executed, is sent via email to, and received prior to 5:00 p.m. (New York City time) by, the Corporation (with the Conversion Date in respect of any Notice of Conversion received by the Corporation at or after 5:00 p.m. (New York City time) on a Trading Day, or on any day that is not a Trading Day, being the Trading Day immediately succeeding the date of such receipt). The Holder shall not be required to physically surrender any stock certificate to the Corporation until the Holder has converted all of the Series C Non-Voting Preferred Stock represented by such certificate, in which case, the Holder shall surrender its stock certificate to the Corporation for cancellation no later than three (3) Trading Days following the date the final Notice of Conversion is delivered to the Corporation. Execution and delivery of a Notice of Conversion shall have the same effect as cancellation of the original stock certificate and issuance of a new stock certificate evidencing the right to purchase the remaining number of Conversion Shares, if any. The calculations set forth in the Notice of Conversion shall control in the absence of manifest or mathematical error.</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6.3 </w:t>
      </w:r>
      <w:r>
        <w:rPr>
          <w:rFonts w:ascii="Times New Roman" w:hAnsi="Times New Roman"/>
          <w:color w:val="000000"/>
          <w:sz w:val="20"/>
          <w:u w:val="single"/>
        </w:rPr>
        <w:t>Conversion Ratio</w:t>
      </w:r>
      <w:r>
        <w:rPr>
          <w:rFonts w:ascii="Times New Roman" w:hAnsi="Times New Roman"/>
          <w:color w:val="000000"/>
          <w:sz w:val="20"/>
        </w:rPr>
        <w:t>. The “</w:t>
      </w:r>
      <w:r>
        <w:rPr>
          <w:rFonts w:ascii="Times New Roman" w:hAnsi="Times New Roman"/>
          <w:b/>
          <w:i/>
          <w:color w:val="000000"/>
          <w:sz w:val="20"/>
        </w:rPr>
        <w:t>Conversion Ratio</w:t>
      </w:r>
      <w:r>
        <w:rPr>
          <w:rFonts w:ascii="Times New Roman" w:hAnsi="Times New Roman"/>
          <w:color w:val="000000"/>
          <w:sz w:val="20"/>
        </w:rPr>
        <w:t>” for each share of Series C Non-Voting Preferred Stock shall be 1,000 shares of Common Stock issuable upon the conversion (the “</w:t>
      </w:r>
      <w:r>
        <w:rPr>
          <w:rFonts w:ascii="Times New Roman" w:hAnsi="Times New Roman"/>
          <w:b/>
          <w:i/>
          <w:color w:val="000000"/>
          <w:sz w:val="20"/>
        </w:rPr>
        <w:t>Conversion</w:t>
      </w:r>
      <w:r>
        <w:rPr>
          <w:rFonts w:ascii="Times New Roman" w:hAnsi="Times New Roman"/>
          <w:color w:val="000000"/>
          <w:sz w:val="20"/>
        </w:rPr>
        <w:t>”) of each share of Series C Non-Voting Preferred Stock (corresponding to a ratio of 1,000:1), subject to adjustment as provided herein.</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6.4 </w:t>
      </w:r>
      <w:r>
        <w:rPr>
          <w:rFonts w:ascii="Times New Roman" w:hAnsi="Times New Roman"/>
          <w:color w:val="000000"/>
          <w:sz w:val="20"/>
          <w:u w:val="single"/>
        </w:rPr>
        <w:t>Beneficial Ownership Limitation</w:t>
      </w:r>
      <w:r>
        <w:rPr>
          <w:rFonts w:ascii="Times New Roman" w:hAnsi="Times New Roman"/>
          <w:color w:val="000000"/>
          <w:sz w:val="20"/>
        </w:rPr>
        <w:t xml:space="preserve">. Notwithstanding anything herein to the contrary, the Corporation shall not effect any conversion of any share of Series C Non-Voting Preferred Stock, including pursuant to </w:t>
      </w:r>
      <w:r>
        <w:rPr>
          <w:rFonts w:ascii="Times New Roman" w:hAnsi="Times New Roman"/>
          <w:color w:val="000000"/>
          <w:sz w:val="20"/>
          <w:u w:val="single"/>
        </w:rPr>
        <w:t>Section 6.1</w:t>
      </w:r>
      <w:r>
        <w:rPr>
          <w:rFonts w:ascii="Times New Roman" w:hAnsi="Times New Roman"/>
          <w:color w:val="000000"/>
          <w:sz w:val="20"/>
        </w:rPr>
        <w:t xml:space="preserve">, and a Holder shall not have the right to convert any portion of the Series C Non-Voting Preferred Stock, to the extent that, after giving effect to such attempted conversion, such Holder, together with such Holder’s Attribution Parties, would beneficially own a number of shares of Common Stock in excess of the Beneficial Ownership Limitation. For purposes of the foregoing sentence, the aggregate number of shares of Common Stock beneficially owned by each Holder and its Attribution Parties shall include the number of shares of Common Stock issuable upon conversion of the Series C Non-Voting Preferred Stock subject to the Notice of Conversion or Automatic Conversion, as applicable, with respect to which such determination is being made, but shall exclude the number of shares of Common Stock which are issuable upon (i) conversion of the remaining, unconverted Series C Non-Voting Preferred Stock beneficially owned by such Holder or any of its Attribution Parties, and (ii)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this </w:t>
      </w:r>
      <w:r>
        <w:rPr>
          <w:rFonts w:ascii="Times New Roman" w:hAnsi="Times New Roman"/>
          <w:color w:val="000000"/>
          <w:sz w:val="20"/>
          <w:u w:val="single"/>
        </w:rPr>
        <w:t>Section 6.4</w:t>
      </w:r>
      <w:r>
        <w:rPr>
          <w:rFonts w:ascii="Times New Roman" w:hAnsi="Times New Roman"/>
          <w:color w:val="000000"/>
          <w:sz w:val="20"/>
        </w:rPr>
        <w:t xml:space="preserve"> (and provide for a maximum beneficial ownership percentage that is less than or equal to the Beneficial Ownership Limitation applicable to such Holder). For purposes of this </w:t>
      </w:r>
      <w:r>
        <w:rPr>
          <w:rFonts w:ascii="Times New Roman" w:hAnsi="Times New Roman"/>
          <w:color w:val="000000"/>
          <w:sz w:val="20"/>
          <w:u w:val="single"/>
        </w:rPr>
        <w:t>Section 6.4</w:t>
      </w:r>
      <w:r>
        <w:rPr>
          <w:rFonts w:ascii="Times New Roman" w:hAnsi="Times New Roman"/>
          <w:color w:val="000000"/>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0"/>
          <w:u w:val="single"/>
        </w:rPr>
        <w:t>Section 6.4</w:t>
      </w:r>
      <w:r>
        <w:rPr>
          <w:rFonts w:ascii="Times New Roman" w:hAnsi="Times New Roman"/>
          <w:color w:val="000000"/>
          <w:sz w:val="20"/>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(the “</w:t>
      </w:r>
      <w:r>
        <w:rPr>
          <w:rFonts w:ascii="Times New Roman" w:hAnsi="Times New Roman"/>
          <w:b/>
          <w:i/>
          <w:color w:val="000000"/>
          <w:sz w:val="20"/>
        </w:rPr>
        <w:t>Outstanding Share Number</w:t>
      </w:r>
      <w:r>
        <w:rPr>
          <w:rFonts w:ascii="Times New Roman" w:hAnsi="Times New Roman"/>
          <w:color w:val="000000"/>
          <w:sz w:val="20"/>
        </w:rPr>
        <w:t>”).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C Non-Voting Preferred Stock, by such Holder or its Attribution Parties since the date as of which such number of outstanding shares of Common Stock was last publicly reported or confirmed to the Holder. The “</w:t>
      </w:r>
      <w:r>
        <w:rPr>
          <w:rFonts w:ascii="Times New Roman" w:hAnsi="Times New Roman"/>
          <w:b/>
          <w:i/>
          <w:color w:val="000000"/>
          <w:sz w:val="20"/>
        </w:rPr>
        <w:t>Beneficial Ownership Limitation</w:t>
      </w:r>
      <w:r>
        <w:rPr>
          <w:rFonts w:ascii="Times New Roman" w:hAnsi="Times New Roman"/>
          <w:color w:val="000000"/>
          <w:sz w:val="20"/>
        </w:rPr>
        <w:t xml:space="preserve">” shall initially be set at the discretion of each Holder to a percentage designated by such Holder on its signature page to the Purchase Agreement or provided by written notice to the Corporation and otherwise between 4.9% and 19.99% of the number of shares of Common Stock outstanding immediately after giving effect to the issuance of shares of Common Stock pursuant to the Automatic Conversion or such Notice of Conversion (as applicable), to the extent permitted pursuant to this </w:t>
      </w:r>
      <w:r>
        <w:rPr>
          <w:rFonts w:ascii="Times New Roman" w:hAnsi="Times New Roman"/>
          <w:color w:val="000000"/>
          <w:sz w:val="20"/>
          <w:u w:val="single"/>
        </w:rPr>
        <w:t>Section 6.4</w:t>
      </w:r>
      <w:r>
        <w:rPr>
          <w:rFonts w:ascii="Times New Roman" w:hAnsi="Times New Roman"/>
          <w:color w:val="000000"/>
          <w:sz w:val="20"/>
        </w:rPr>
        <w:t>. If a Holder has not designated its Beneficial Ownership Limitation at the time of issuance of the Series C Non-Voting Preferred Stock, the Beneficial Ownership Limitation shall initially be set at 9.99%. Each delivery of a Notice of Conversion by a Holder will constitute a representation by such Holder that it has evaluated the limitation set forth in this paragraph and determined that the issuance of the full number of shares of Common Stock requested in such Notice of Conversion is permitted under this paragraph (the “</w:t>
      </w:r>
      <w:r>
        <w:rPr>
          <w:rFonts w:ascii="Times New Roman" w:hAnsi="Times New Roman"/>
          <w:b/>
          <w:i/>
          <w:color w:val="000000"/>
          <w:sz w:val="20"/>
        </w:rPr>
        <w:t>Beneficial Ownership Representation</w:t>
      </w:r>
      <w:r>
        <w:rPr>
          <w:rFonts w:ascii="Times New Roman" w:hAnsi="Times New Roman"/>
          <w:color w:val="000000"/>
          <w:sz w:val="20"/>
        </w:rPr>
        <w:t xml:space="preserve">”). The Corporation shall be entitled to rely on the Beneficial Ownership Representation and any other representations made to it by the Holder in any Notice of Conversion regarding its Beneficial Ownership Limitation. Notwithstanding the foregoing, by written notice to the Corporation (email being sufficient), (1) which will not be effective until the sixty-first (61st) day after such written notice is delivered to the Corporation, the Holder may reset the Beneficial Ownership Limitation percentage to a higher percentage, not to exceed 19.99%, to the extent then applicable, and (2) which will be effective immediately after such notice is delivered to the Corporation, the Holder may reset the Beneficial Ownership Limitation percentage to a lower percentage than was in effect for such Holder prior to such written notice.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color w:val="000000"/>
          <w:sz w:val="20"/>
          <w:u w:val="single"/>
        </w:rPr>
        <w:t>Section 6.4</w:t>
      </w:r>
      <w:r>
        <w:rPr>
          <w:rFonts w:ascii="Times New Roman" w:hAnsi="Times New Roman"/>
          <w:color w:val="000000"/>
          <w:sz w:val="20"/>
        </w:rPr>
        <w:t xml:space="preserve">. If the Corporation receives a Notice of Conversion from the Holder at a time when the actual number of outstanding shares of Common Stock is less than the Outstanding Share Number, the Corporation shall notify the Holder in writing of the number of shares of Common Stock then outstanding and, to the extent that such Notice of Conversion would otherwise cause the beneficial ownership of Holder together with its Attribution Parties, as determined pursuant to this </w:t>
      </w:r>
      <w:r>
        <w:rPr>
          <w:rFonts w:ascii="Times New Roman" w:hAnsi="Times New Roman"/>
          <w:color w:val="000000"/>
          <w:sz w:val="20"/>
          <w:u w:val="single"/>
        </w:rPr>
        <w:t>Section 6.4</w:t>
      </w:r>
      <w:r>
        <w:rPr>
          <w:rFonts w:ascii="Times New Roman" w:hAnsi="Times New Roman"/>
          <w:color w:val="000000"/>
          <w:sz w:val="20"/>
        </w:rPr>
        <w:t>, to exceed the Beneficial Ownership Limitation, the Holder shall then notify the Corporation of a reduced number of Series C Non-Voting Preferred Stock to be purchased pursuant to such Notice of Conversion (such notice, the “</w:t>
      </w:r>
      <w:r>
        <w:rPr>
          <w:rFonts w:ascii="Times New Roman" w:hAnsi="Times New Roman"/>
          <w:b/>
          <w:i/>
          <w:color w:val="000000"/>
          <w:sz w:val="20"/>
        </w:rPr>
        <w:t>Reduction Notice</w:t>
      </w:r>
      <w:r>
        <w:rPr>
          <w:rFonts w:ascii="Times New Roman" w:hAnsi="Times New Roman"/>
          <w:color w:val="000000"/>
          <w:sz w:val="20"/>
        </w:rPr>
        <w:t>”). Such issuance shall not be deemed to have occurred until the Holder provides the Reduction Notice (or a notice that no reduction is needed) to the Corporation. In the event that the issuance of Common Stock to the Holder upon conversion of Series C Non-Voting Preferred Stock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hAnsi="Times New Roman"/>
          <w:b/>
          <w:i/>
          <w:color w:val="000000"/>
          <w:sz w:val="20"/>
        </w:rPr>
        <w:t>Excess Shares</w:t>
      </w:r>
      <w:r>
        <w:rPr>
          <w:rFonts w:ascii="Times New Roman" w:hAnsi="Times New Roman"/>
          <w:color w:val="000000"/>
          <w:sz w:val="20"/>
        </w:rPr>
        <w:t xml:space="preserve">”) shall be deemed null and void and shall be cancelled </w:t>
      </w:r>
      <w:r>
        <w:rPr>
          <w:rFonts w:ascii="Times New Roman" w:hAnsi="Times New Roman"/>
          <w:i/>
          <w:color w:val="000000"/>
          <w:sz w:val="20"/>
        </w:rPr>
        <w:t xml:space="preserve">ab initio, </w:t>
      </w:r>
      <w:r>
        <w:rPr>
          <w:rFonts w:ascii="Times New Roman" w:hAnsi="Times New Roman"/>
          <w:color w:val="000000"/>
          <w:sz w:val="20"/>
        </w:rPr>
        <w:t>and the Holder and/or the Attribution Parties shall not have the power to vote or to transfer the Excess Shares. As soon as reasonably practicable after the issuance of the Excess Shares has been deemed null and void, the Corporation shall return to the Holder the conversion price paid by the Holder for the Excess Shares and the Holder shall return the Excess Shares to the Corporation.</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6.5 </w:t>
      </w:r>
      <w:r>
        <w:rPr>
          <w:rFonts w:ascii="Times New Roman" w:hAnsi="Times New Roman"/>
          <w:color w:val="000000"/>
          <w:sz w:val="20"/>
          <w:u w:val="single"/>
        </w:rPr>
        <w:t>Mechanics of Conversion</w:t>
      </w:r>
      <w:r>
        <w:rPr>
          <w:rFonts w:ascii="Times New Roman" w:hAnsi="Times New Roman"/>
          <w:color w:val="000000"/>
          <w:sz w:val="20"/>
        </w:rPr>
        <w:t>.</w:t>
      </w:r>
    </w:p>
    <w:p>
      <w:pPr>
        <w:pStyle w:val="TextBody"/>
        <w:bidi w:val="0"/>
        <w:spacing w:before="0" w:after="0"/>
        <w:ind w:left="0" w:right="0" w:firstLine="1080"/>
        <w:jc w:val="both"/>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6.5.1 </w:t>
      </w:r>
      <w:r>
        <w:rPr>
          <w:rFonts w:ascii="Times New Roman" w:hAnsi="Times New Roman"/>
          <w:color w:val="000000"/>
          <w:sz w:val="20"/>
          <w:u w:val="single"/>
        </w:rPr>
        <w:t>Delivery of Certificate or Electronic Issuance</w:t>
      </w:r>
      <w:r>
        <w:rPr>
          <w:rFonts w:ascii="Times New Roman" w:hAnsi="Times New Roman"/>
          <w:color w:val="000000"/>
          <w:sz w:val="20"/>
        </w:rPr>
        <w:t>. Upon any Optional Conversion, not later than two (2) Trading Days after the applicable Conversion Date, or if the Holder requests the Conversion of shares of Series C Non-Voting Preferred Stock represented by physical stock certificate(s), fifteen (15) Trading Days after receipt by the Corporation of the original certificate(s) representing such shares of Series C Non-Voting Preferred Stock being converted, duly endorsed, and the accompanying Notice of Conversion (the “</w:t>
      </w:r>
      <w:r>
        <w:rPr>
          <w:rFonts w:ascii="Times New Roman" w:hAnsi="Times New Roman"/>
          <w:b/>
          <w:i/>
          <w:color w:val="000000"/>
          <w:sz w:val="20"/>
        </w:rPr>
        <w:t>Share Delivery Date</w:t>
      </w:r>
      <w:r>
        <w:rPr>
          <w:rFonts w:ascii="Times New Roman" w:hAnsi="Times New Roman"/>
          <w:color w:val="000000"/>
          <w:sz w:val="20"/>
        </w:rPr>
        <w:t>”), the Corporation shall either: (a) deliver, or cause to be delivered, to the converting Holder a physical certificate or certificates representing the number of Conversion Shares being acquired upon the conversion of shares of Series C Non-Voting Preferred Stock or a statement reflecting the registration of such Conversion Shares in the Holder’s (or its designee’s) name in book-entry form, as applicable, or (b) in the case of a DWAC Delivery (if so requested by the Holder and permitted hereunder), electronically transfer such Conversion Shares by crediting the account of the Holder’s prime broker with DTC through its DWAC system. If in the case of any Notice of Conversion such certificate or certificates or statements, as applicable, for the Conversion Shares are not delivered to or as directed by or, in the case of a DWAC Delivery (to the extent permitted hereunder),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or statements for Conversion Shares or electronic receipt of such shares, as applicable, in which event the Corporation shall promptly return to such Holder any original Series C Non-Voting Preferred Stock certificate delivered to the Corporation and such Holder shall promptly return to the Corporation any Common Stock certificates or otherwise direct the return of any shares of Common Stock delivered to the Holder through the DWAC system or in book-entry notation on the books of the Corporation’s transfer agent, representing the shares of Series C Non-Voting Preferred Stock unsuccessfully tendered for conversion to the Corporation.</w:t>
      </w:r>
    </w:p>
    <w:p>
      <w:pPr>
        <w:pStyle w:val="TextBody"/>
        <w:bidi w:val="0"/>
        <w:spacing w:before="0" w:after="0"/>
        <w:ind w:left="0" w:right="0" w:firstLine="144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6.5.2 </w:t>
      </w:r>
      <w:r>
        <w:rPr>
          <w:rFonts w:ascii="Times New Roman" w:hAnsi="Times New Roman"/>
          <w:color w:val="000000"/>
          <w:sz w:val="20"/>
          <w:u w:val="single"/>
        </w:rPr>
        <w:t>Obligation Absolute</w:t>
      </w:r>
      <w:r>
        <w:rPr>
          <w:rFonts w:ascii="Times New Roman" w:hAnsi="Times New Roman"/>
          <w:color w:val="000000"/>
          <w:sz w:val="20"/>
        </w:rPr>
        <w:t xml:space="preserve">. Subject to </w:t>
      </w:r>
      <w:r>
        <w:rPr>
          <w:rFonts w:ascii="Times New Roman" w:hAnsi="Times New Roman"/>
          <w:color w:val="000000"/>
          <w:sz w:val="20"/>
          <w:u w:val="single"/>
        </w:rPr>
        <w:t>Section 6.4</w:t>
      </w:r>
      <w:r>
        <w:rPr>
          <w:rFonts w:ascii="Times New Roman" w:hAnsi="Times New Roman"/>
          <w:color w:val="000000"/>
          <w:sz w:val="20"/>
        </w:rPr>
        <w:t xml:space="preserve"> and subject to Holder’s right to rescind a Notice of Conversion pursuant to </w:t>
      </w:r>
      <w:r>
        <w:rPr>
          <w:rFonts w:ascii="Times New Roman" w:hAnsi="Times New Roman"/>
          <w:color w:val="000000"/>
          <w:sz w:val="20"/>
          <w:u w:val="single"/>
        </w:rPr>
        <w:t>Section 6.5.1</w:t>
      </w:r>
      <w:r>
        <w:rPr>
          <w:rFonts w:ascii="Times New Roman" w:hAnsi="Times New Roman"/>
          <w:color w:val="000000"/>
          <w:sz w:val="20"/>
        </w:rPr>
        <w:t xml:space="preserve">, the Corporation’s obligation to issue and deliver the Conversion Shares (or cash, to the extent provided in </w:t>
      </w:r>
      <w:r>
        <w:rPr>
          <w:rFonts w:ascii="Times New Roman" w:hAnsi="Times New Roman"/>
          <w:color w:val="000000"/>
          <w:sz w:val="20"/>
          <w:u w:val="single"/>
        </w:rPr>
        <w:t>Section 6.5.3</w:t>
      </w:r>
      <w:r>
        <w:rPr>
          <w:rFonts w:ascii="Times New Roman" w:hAnsi="Times New Roman"/>
          <w:color w:val="000000"/>
          <w:sz w:val="20"/>
        </w:rPr>
        <w:t xml:space="preserve">) upon conversion of Series C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color w:val="000000"/>
          <w:sz w:val="20"/>
          <w:u w:val="single"/>
        </w:rPr>
        <w:t>Section 6.4</w:t>
      </w:r>
      <w:r>
        <w:rPr>
          <w:rFonts w:ascii="Times New Roman" w:hAnsi="Times New Roman"/>
          <w:color w:val="000000"/>
          <w:sz w:val="20"/>
        </w:rPr>
        <w:t xml:space="preserve"> and subject to Holder’s right to rescind a Notice of Conversion pursuant to </w:t>
      </w:r>
      <w:r>
        <w:rPr>
          <w:rFonts w:ascii="Times New Roman" w:hAnsi="Times New Roman"/>
          <w:color w:val="000000"/>
          <w:sz w:val="20"/>
          <w:u w:val="single"/>
        </w:rPr>
        <w:t>Section 6.5.1</w:t>
      </w:r>
      <w:r>
        <w:rPr>
          <w:rFonts w:ascii="Times New Roman" w:hAnsi="Times New Roman"/>
          <w:color w:val="000000"/>
          <w:sz w:val="20"/>
        </w:rPr>
        <w:t xml:space="preserve">, in the event a Holder shall elect to convert any or all of its Series C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C Non-Voting Preferred Stock of such Holder shall have been sought and obtained by the Corporation, and the Corporation posts a surety bond for the benefit of such Holder in the amount of 150% of the value of the Conversion Shares into which would be converted the Series C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 6.4 and subject to Holder’s right to rescind a Notice of Conversion pursuant to </w:t>
      </w:r>
      <w:r>
        <w:rPr>
          <w:rFonts w:ascii="Times New Roman" w:hAnsi="Times New Roman"/>
          <w:color w:val="000000"/>
          <w:sz w:val="20"/>
          <w:u w:val="single"/>
        </w:rPr>
        <w:t>Section 6.5.1</w:t>
      </w:r>
      <w:r>
        <w:rPr>
          <w:rFonts w:ascii="Times New Roman" w:hAnsi="Times New Roman"/>
          <w:color w:val="000000"/>
          <w:sz w:val="20"/>
        </w:rPr>
        <w:t>, issue Conversion Shares upon a properly noticed conversion.</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6.5.3 </w:t>
      </w:r>
      <w:r>
        <w:rPr>
          <w:rFonts w:ascii="Times New Roman" w:hAnsi="Times New Roman"/>
          <w:color w:val="000000"/>
          <w:sz w:val="20"/>
          <w:u w:val="single"/>
        </w:rPr>
        <w:t>Cash Settlement</w:t>
      </w:r>
      <w:r>
        <w:rPr>
          <w:rFonts w:ascii="Times New Roman" w:hAnsi="Times New Roman"/>
          <w:color w:val="000000"/>
          <w:sz w:val="20"/>
        </w:rPr>
        <w:t xml:space="preserve">. Notwithstanding any contrary provision contained in </w:t>
      </w:r>
      <w:r>
        <w:rPr>
          <w:rFonts w:ascii="Times New Roman" w:hAnsi="Times New Roman"/>
          <w:color w:val="000000"/>
          <w:sz w:val="20"/>
          <w:u w:val="single"/>
        </w:rPr>
        <w:t>Section 6.2</w:t>
      </w:r>
      <w:r>
        <w:rPr>
          <w:rFonts w:ascii="Times New Roman" w:hAnsi="Times New Roman"/>
          <w:color w:val="000000"/>
          <w:sz w:val="20"/>
        </w:rPr>
        <w:t xml:space="preserve">, if, at any time after the date that is six (6) months after the initial issuance of shares of Series C Non-Voting Preferred Stock, the Corporation fails to deliver or cause to be delivered to a Holder such certificates or statements, or electronically deliver (of cause its transfer agent to electronically deliver) the Conversion Shares pursuant to </w:t>
      </w:r>
      <w:r>
        <w:rPr>
          <w:rFonts w:ascii="Times New Roman" w:hAnsi="Times New Roman"/>
          <w:color w:val="000000"/>
          <w:sz w:val="20"/>
          <w:u w:val="single"/>
        </w:rPr>
        <w:t>Section 6.5.1</w:t>
      </w:r>
      <w:r>
        <w:rPr>
          <w:rFonts w:ascii="Times New Roman" w:hAnsi="Times New Roman"/>
          <w:color w:val="000000"/>
          <w:sz w:val="20"/>
        </w:rPr>
        <w:t xml:space="preserve"> on or prior to the Share Delivery Deadline (as defined below) applicable to such Conversion (other than a failure caused by (a) incorrect or incomplete information or documentation provided by the Holder to the Corporation or its transfer agent, (b) the failure of the Holder’s prime broker to timely initiate a DWAC deposit of the Conversion Shares into the Holder’s account or (c) the application of the Beneficial Ownership Limitation), and such Holder delivers a properly completed and executed Notice of Conversion, then, unless such Holder has rescinded the applicable Notice of Conversion pursuant to </w:t>
      </w:r>
      <w:r>
        <w:rPr>
          <w:rFonts w:ascii="Times New Roman" w:hAnsi="Times New Roman"/>
          <w:color w:val="000000"/>
          <w:sz w:val="20"/>
          <w:u w:val="single"/>
        </w:rPr>
        <w:t>Section 6.5.1</w:t>
      </w:r>
      <w:r>
        <w:rPr>
          <w:rFonts w:ascii="Times New Roman" w:hAnsi="Times New Roman"/>
          <w:color w:val="000000"/>
          <w:sz w:val="20"/>
        </w:rPr>
        <w:t>, the Corporation shall, in lieu of delivering the Conversion Shares otherwise issuable upon such Conversion, at the request of such Holder, pay out of funds legally available therefor an amount of cash by wire transfer of immediately available funds to the account designated by such Holder equal to the Fair Value (as defined below) of such undelivered shares, with such payment to be made within two (2) Business Days from the date of request by the Holder, and the Corporation shall have no obligation to deliver the Conversion Shares otherwise issuable pursuant to such Notice of Conversion. Upon the payment of such amount the shares of Series C Non-Voting Preferred Stock sought to be converted pursuant to such Notice of Conversion shall be deemed cancelled and shall not be reissued as a share of Series C Non-Voting Preferred Stock (the “</w:t>
      </w:r>
      <w:r>
        <w:rPr>
          <w:rFonts w:ascii="Times New Roman" w:hAnsi="Times New Roman"/>
          <w:b/>
          <w:i/>
          <w:color w:val="000000"/>
          <w:sz w:val="20"/>
        </w:rPr>
        <w:t>Cancellation Date</w:t>
      </w:r>
      <w:r>
        <w:rPr>
          <w:rFonts w:ascii="Times New Roman" w:hAnsi="Times New Roman"/>
          <w:color w:val="000000"/>
          <w:sz w:val="20"/>
        </w:rPr>
        <w:t xml:space="preserve">”). For purposes of this </w:t>
      </w:r>
      <w:r>
        <w:rPr>
          <w:rFonts w:ascii="Times New Roman" w:hAnsi="Times New Roman"/>
          <w:color w:val="000000"/>
          <w:sz w:val="20"/>
          <w:u w:val="single"/>
        </w:rPr>
        <w:t>Section 6.5.3</w:t>
      </w:r>
      <w:r>
        <w:rPr>
          <w:rFonts w:ascii="Times New Roman" w:hAnsi="Times New Roman"/>
          <w:color w:val="000000"/>
          <w:sz w:val="20"/>
        </w:rPr>
        <w:t>, the “</w:t>
      </w:r>
      <w:r>
        <w:rPr>
          <w:rFonts w:ascii="Times New Roman" w:hAnsi="Times New Roman"/>
          <w:b/>
          <w:i/>
          <w:color w:val="000000"/>
          <w:sz w:val="20"/>
        </w:rPr>
        <w:t>Fair Value</w:t>
      </w:r>
      <w:r>
        <w:rPr>
          <w:rFonts w:ascii="Times New Roman" w:hAnsi="Times New Roman"/>
          <w:color w:val="000000"/>
          <w:sz w:val="20"/>
        </w:rPr>
        <w:t>” of shares shall be the average of the Closing Sale Prices for the Common Stock on the ten (10) Trading Days immediately prior to the Conversion Date applicable to the Notice of Conversion in respect of which such cash payment is being made. The “</w:t>
      </w:r>
      <w:r>
        <w:rPr>
          <w:rFonts w:ascii="Times New Roman" w:hAnsi="Times New Roman"/>
          <w:b/>
          <w:i/>
          <w:color w:val="000000"/>
          <w:sz w:val="20"/>
        </w:rPr>
        <w:t>Share Delivery Deadline</w:t>
      </w:r>
      <w:r>
        <w:rPr>
          <w:rFonts w:ascii="Times New Roman" w:hAnsi="Times New Roman"/>
          <w:color w:val="000000"/>
          <w:sz w:val="20"/>
        </w:rPr>
        <w:t>” shall mean, (i) in the case of a Conversion Notice delivered on or after the third (3rd) Business Day after the date that the Corporation obtains the Stockholder Approval, the fifth (5th) Trading Day after the Share Delivery Date in respect of such Conversion Notice and (ii) in the case of a Conversion Notice delivered before the (3rd) Business Day after the date that the Corporation obtains the Stockholder Approval, the first (1st) Trading Day after the Share Delivery Date in respect of such Conversion Notice.</w:t>
      </w:r>
    </w:p>
    <w:p>
      <w:pPr>
        <w:pStyle w:val="TextBody"/>
        <w:bidi w:val="0"/>
        <w:spacing w:before="0" w:after="0"/>
        <w:ind w:left="0" w:right="0" w:firstLine="144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6.5.4 </w:t>
      </w:r>
      <w:r>
        <w:rPr>
          <w:rFonts w:ascii="Times New Roman" w:hAnsi="Times New Roman"/>
          <w:color w:val="000000"/>
          <w:sz w:val="20"/>
          <w:u w:val="single"/>
        </w:rPr>
        <w:t>Buy-In on Failure to Timely Deliver Certificates</w:t>
      </w:r>
      <w:r>
        <w:rPr>
          <w:rFonts w:ascii="Times New Roman" w:hAnsi="Times New Roman"/>
          <w:color w:val="000000"/>
          <w:sz w:val="20"/>
        </w:rPr>
        <w:t xml:space="preserve">. If the Corporation fails to deliver to a Holder the applicable certificate or certificates or to effect a DWAC Delivery, as applicable, by the Share Delivery Date pursuant to </w:t>
      </w:r>
      <w:r>
        <w:rPr>
          <w:rFonts w:ascii="Times New Roman" w:hAnsi="Times New Roman"/>
          <w:color w:val="000000"/>
          <w:sz w:val="20"/>
          <w:u w:val="single"/>
        </w:rPr>
        <w:t>Section 6.5.1</w:t>
      </w:r>
      <w:r>
        <w:rPr>
          <w:rFonts w:ascii="Times New Roman" w:hAnsi="Times New Roman"/>
          <w:color w:val="000000"/>
          <w:sz w:val="20"/>
        </w:rPr>
        <w:t xml:space="preserve"> (other than a failure caused by incorrect or incomplete information provided by Holder to the Corporation or its transfer agent, the failure of the Holder’s prime broker to initiate a DWAC deposit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color w:val="000000"/>
          <w:sz w:val="20"/>
        </w:rPr>
        <w:t>Buy-In</w:t>
      </w:r>
      <w:r>
        <w:rPr>
          <w:rFonts w:ascii="Times New Roman" w:hAnsi="Times New Roman"/>
          <w:color w:val="000000"/>
          <w:sz w:val="20"/>
        </w:rPr>
        <w:t xml:space="preserve">”), then, to the extent the Corporation has cash legally available therefor, the Corporation shall (i) pay in cash to such Holder (in addition to any other remedies available to or elected by such Holder) the amount by which (x) such Holder’s total purchase price (including any brokerage commissions) for the shares of Common Stock so purchased exceeds (y) the product of (a) the aggregate number of shares of Common Stock that such Holder was entitled to receive from the conversion at issue multiplied by (b) the actual sale price at which the sell order giving rise to such purchase obligation was executed (including any brokerage commissions) and (ii) at the option of such Holder, either reissue (if surrendered) the shares of Series C Non-Voting Preferred Stock equal to the number of shares of Series C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color w:val="000000"/>
          <w:sz w:val="20"/>
          <w:u w:val="single"/>
        </w:rPr>
        <w:t>Section 6.5.1</w:t>
      </w:r>
      <w:r>
        <w:rPr>
          <w:rFonts w:ascii="Times New Roman" w:hAnsi="Times New Roman"/>
          <w:color w:val="000000"/>
          <w:sz w:val="20"/>
        </w:rPr>
        <w:t xml:space="preserve">. For example, if a Holder purchases shares of Common Stock having a total purchase price of $11,000 to cover a Buy-In with respect to an attempted conversion of shares of Series C Non-Voting Preferred Stock with respect to which the actual sale price (including any brokerage commissions) giving rise to such purchase obligation was a total of $10,000 under clause (i) of the immediately preceding sentence, the Corporation shall be required to pay such Holder $1,000. The Holder shall provide the Corporation with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C Non-Voting Preferred Stock as required pursuant to the terms hereof or the cash settlement remedy set forth in </w:t>
      </w:r>
      <w:r>
        <w:rPr>
          <w:rFonts w:ascii="Times New Roman" w:hAnsi="Times New Roman"/>
          <w:color w:val="000000"/>
          <w:sz w:val="20"/>
          <w:u w:val="single"/>
        </w:rPr>
        <w:t>Section 6.5.3</w:t>
      </w:r>
      <w:r>
        <w:rPr>
          <w:rFonts w:ascii="Times New Roman" w:hAnsi="Times New Roman"/>
          <w:color w:val="000000"/>
          <w:sz w:val="20"/>
        </w:rPr>
        <w:t xml:space="preserve">; provided, however, that the Holder shall not be entitled to both (A) require the reissuance of the shares of Series C Non-Voting Preferred Stock submitted for conversion for which such conversion was not timely honored and (B) receive the number of shares of Common Stock that would have been issued if the Corporation had timely complied with its delivery requirements under </w:t>
      </w:r>
      <w:r>
        <w:rPr>
          <w:rFonts w:ascii="Times New Roman" w:hAnsi="Times New Roman"/>
          <w:color w:val="000000"/>
          <w:sz w:val="20"/>
          <w:u w:val="single"/>
        </w:rPr>
        <w:t>Section 6.5.1</w:t>
      </w:r>
      <w:r>
        <w:rPr>
          <w:rFonts w:ascii="Times New Roman" w:hAnsi="Times New Roman"/>
          <w:color w:val="000000"/>
          <w:sz w:val="20"/>
        </w:rPr>
        <w:t>.</w:t>
      </w:r>
    </w:p>
    <w:p>
      <w:pPr>
        <w:pStyle w:val="TextBody"/>
        <w:bidi w:val="0"/>
        <w:spacing w:before="0" w:after="0"/>
        <w:ind w:left="0" w:right="0" w:firstLine="1440"/>
        <w:jc w:val="both"/>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6.5.5 </w:t>
      </w:r>
      <w:r>
        <w:rPr>
          <w:rFonts w:ascii="Times New Roman" w:hAnsi="Times New Roman"/>
          <w:color w:val="000000"/>
          <w:sz w:val="20"/>
          <w:u w:val="single"/>
        </w:rPr>
        <w:t>Reservation of Shares Issuable Upon Conversion</w:t>
      </w:r>
      <w:r>
        <w:rPr>
          <w:rFonts w:ascii="Times New Roman" w:hAnsi="Times New Roman"/>
          <w:color w:val="000000"/>
          <w:sz w:val="20"/>
        </w:rPr>
        <w:t xml:space="preserve">. The Corporation covenants that at all times it will reserve and keep available out of its authorized and unissued shares of Common Stock for the sole purpose of issuance upon conversion of the Series C Non-Voting Preferred Stock, subject to receipt of the Stockholder Approval, free from preemptive rights or any other actual contingent purchase rights of Persons other than the Holders, not less than such aggregate number of shares of Common Stock as shall be issuable (taking into account the adjustments of </w:t>
      </w:r>
      <w:r>
        <w:rPr>
          <w:rFonts w:ascii="Times New Roman" w:hAnsi="Times New Roman"/>
          <w:color w:val="000000"/>
          <w:sz w:val="20"/>
          <w:u w:val="single"/>
        </w:rPr>
        <w:t>Section 7</w:t>
      </w:r>
      <w:r>
        <w:rPr>
          <w:rFonts w:ascii="Times New Roman" w:hAnsi="Times New Roman"/>
          <w:color w:val="000000"/>
          <w:sz w:val="20"/>
        </w:rPr>
        <w:t>) upon the conversion of all outstanding shares of Series C Non-Voting Preferred Stock. The Corporation covenants that all shares of Common Stock that shall be issuable upon conversion of the Series C Non-Voting Preferred Stock shall, upon issue, be duly authorized, validly issued, fully paid and non-assessable.</w:t>
      </w:r>
    </w:p>
    <w:p>
      <w:pPr>
        <w:pStyle w:val="TextBody"/>
        <w:bidi w:val="0"/>
        <w:spacing w:before="0" w:after="0"/>
        <w:ind w:left="0" w:right="0" w:firstLine="1440"/>
        <w:jc w:val="both"/>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6.5.6 </w:t>
      </w:r>
      <w:r>
        <w:rPr>
          <w:rFonts w:ascii="Times New Roman" w:hAnsi="Times New Roman"/>
          <w:color w:val="000000"/>
          <w:sz w:val="20"/>
          <w:u w:val="single"/>
        </w:rPr>
        <w:t>Fractional Shares</w:t>
      </w:r>
      <w:r>
        <w:rPr>
          <w:rFonts w:ascii="Times New Roman" w:hAnsi="Times New Roman"/>
          <w:color w:val="000000"/>
          <w:sz w:val="20"/>
        </w:rPr>
        <w:t>. No fractional shares of Common Stock shall be issued upon conversion of the Series C Non-Voting Preferred Stock, no certificates or scrip for any such fractional shares shall be issued and no cash shall be paid for any such fractional shares. Any fractional shares of Common Stock that a Holder of Series C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C Non-Voting Preferred Stock the Holder seeks to convert into Common Stock and the aggregate number of shares of Common Stock issuable upon such conversion.</w:t>
      </w:r>
    </w:p>
    <w:p>
      <w:pPr>
        <w:pStyle w:val="TextBody"/>
        <w:bidi w:val="0"/>
        <w:spacing w:before="0" w:after="0"/>
        <w:ind w:left="0" w:right="0" w:firstLine="1440"/>
        <w:jc w:val="both"/>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6.5.7 </w:t>
      </w:r>
      <w:r>
        <w:rPr>
          <w:rFonts w:ascii="Times New Roman" w:hAnsi="Times New Roman"/>
          <w:color w:val="000000"/>
          <w:sz w:val="20"/>
          <w:u w:val="single"/>
        </w:rPr>
        <w:t>Transfer Taxes</w:t>
      </w:r>
      <w:r>
        <w:rPr>
          <w:rFonts w:ascii="Times New Roman" w:hAnsi="Times New Roman"/>
          <w:color w:val="000000"/>
          <w:sz w:val="20"/>
        </w:rPr>
        <w:t>. The issuance of certificates for shares of the Common Stock upon conversion of the Series C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C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0"/>
        <w:ind w:left="0" w:right="0" w:firstLine="144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6.6 </w:t>
      </w:r>
      <w:r>
        <w:rPr>
          <w:rFonts w:ascii="Times New Roman" w:hAnsi="Times New Roman"/>
          <w:color w:val="000000"/>
          <w:sz w:val="20"/>
          <w:u w:val="single"/>
        </w:rPr>
        <w:t>Status as Stockholder</w:t>
      </w:r>
      <w:r>
        <w:rPr>
          <w:rFonts w:ascii="Times New Roman" w:hAnsi="Times New Roman"/>
          <w:color w:val="000000"/>
          <w:sz w:val="20"/>
        </w:rPr>
        <w:t xml:space="preserve">. Upon each Conversion Date, effective date of the Automatic Conversion, the effective date of each Additional Automatic Conversion or Cancellation Date, as applicable, (i) the shares of Series C Non-Voting Preferred Stock being converted shall be deemed converted into (x) shares of Common Stock or (y) the right to receive cash in accordance with </w:t>
      </w:r>
      <w:r>
        <w:rPr>
          <w:rFonts w:ascii="Times New Roman" w:hAnsi="Times New Roman"/>
          <w:color w:val="000000"/>
          <w:sz w:val="20"/>
          <w:u w:val="single"/>
        </w:rPr>
        <w:t>Section 6.5.3</w:t>
      </w:r>
      <w:r>
        <w:rPr>
          <w:rFonts w:ascii="Times New Roman" w:hAnsi="Times New Roman"/>
          <w:color w:val="000000"/>
          <w:sz w:val="20"/>
        </w:rPr>
        <w:t xml:space="preserve">, as applicable, and (ii) the Holder’s rights as a holder of such converted shares of Series C Non-Voting Preferred Stock shall cease and terminate, excepting only the right to receive DWAC Delivery of such shares of Common Stock or certificates or statements for such shares of Common Stock (or, in each case, cash in lieu of such shares in accordance with </w:t>
      </w:r>
      <w:r>
        <w:rPr>
          <w:rFonts w:ascii="Times New Roman" w:hAnsi="Times New Roman"/>
          <w:color w:val="000000"/>
          <w:sz w:val="20"/>
          <w:u w:val="single"/>
        </w:rPr>
        <w:t>Section 6.5.3</w:t>
      </w:r>
      <w:r>
        <w:rPr>
          <w:rFonts w:ascii="Times New Roman" w:hAnsi="Times New Roman"/>
          <w:color w:val="000000"/>
          <w:sz w:val="20"/>
        </w:rPr>
        <w:t>)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C Non-Voting Preferred Stock. In no event shall the Series C Non-Voting Preferred Stock convert into shares of Common Stock prior to the Stockholder Approval.</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0"/>
        <w:ind w:left="0" w:right="0" w:firstLine="36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7.1 </w:t>
      </w:r>
      <w:r>
        <w:rPr>
          <w:rFonts w:ascii="Times New Roman" w:hAnsi="Times New Roman"/>
          <w:color w:val="000000"/>
          <w:sz w:val="20"/>
          <w:u w:val="single"/>
        </w:rPr>
        <w:t>Stock Dividends and Stock Splits</w:t>
      </w:r>
      <w:r>
        <w:rPr>
          <w:rFonts w:ascii="Times New Roman" w:hAnsi="Times New Roman"/>
          <w:color w:val="000000"/>
          <w:sz w:val="20"/>
        </w:rPr>
        <w:t xml:space="preserve">. If the Corporation, at any time while any shares of Series C Non-Voting Preferred Stock are outstanding: (i) pays a stock dividend or otherwise makes a distribution or distributions payable in shares of Common Stock (which, for avoidance of doubt, shall not include any shares of Common Stock issued by the Corporation upon conversion of Series C Non-Voting Preferred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Ratio shall be (a) multiplied by a fraction the numerator of which shall be the number of shares of Common Stock (excluding any treasury shares of the Corporation) outstanding immediately after such event and the denominator of which shall be the number of shares of Common Stock outstanding immediately before such event (excluding any treasury shares of the Corporation) and (b) product thereof shall be rounded down to the nearest whole number. Any adjustment made pursuant to this </w:t>
      </w:r>
      <w:r>
        <w:rPr>
          <w:rFonts w:ascii="Times New Roman" w:hAnsi="Times New Roman"/>
          <w:color w:val="000000"/>
          <w:sz w:val="20"/>
          <w:u w:val="single"/>
        </w:rPr>
        <w:t>Section 7.1</w:t>
      </w:r>
      <w:r>
        <w:rPr>
          <w:rFonts w:ascii="Times New Roman" w:hAnsi="Times New Roman"/>
          <w:color w:val="000000"/>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 If any such dividend or distribution is declared but does not occur, the Conversion Ratio shall be readjusted, effective as of the date the Corporation announces that such dividend or distribution shall not occur, to the Conversion Ratio that would then be in effect if such dividend or distribution had not been declared.</w:t>
      </w:r>
    </w:p>
    <w:p>
      <w:pPr>
        <w:pStyle w:val="TextBody"/>
        <w:bidi w:val="0"/>
        <w:spacing w:before="0" w:after="0"/>
        <w:ind w:left="0" w:right="0" w:firstLine="1080"/>
        <w:jc w:val="both"/>
        <w:rPr>
          <w:sz w:val="20"/>
        </w:rPr>
      </w:pPr>
      <w:r>
        <w:rPr>
          <w:sz w:val="20"/>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7.2 </w:t>
      </w:r>
      <w:r>
        <w:rPr>
          <w:rFonts w:ascii="Times New Roman" w:hAnsi="Times New Roman"/>
          <w:color w:val="000000"/>
          <w:sz w:val="20"/>
          <w:u w:val="single"/>
        </w:rPr>
        <w:t>Fundamental Transaction</w:t>
      </w:r>
      <w:r>
        <w:rPr>
          <w:rFonts w:ascii="Times New Roman" w:hAnsi="Times New Roman"/>
          <w:color w:val="000000"/>
          <w:sz w:val="20"/>
        </w:rPr>
        <w:t xml:space="preserve">. If, at any time while any shares of the Series C Non-Voting Preferred Stock are outstanding, (i)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(ii) the Corporation effects any sale, lease, transfer or exclusive license of all or substantially all of its assets in one transaction or a series of related transactions, (iii) any tender offer or exchange offer (whether by the Corporation or another Person) is completed pursuant to which more than 50% of the Common Stock not held by the Corporation or such Person is exchanged for or converted into other securities, cash or property, or (iv) the Corporation effects any reclassification of the Common Stock or any compulsory share exchange pursuant (other than as a result of a dividend, subdivision or combination covered by </w:t>
      </w:r>
      <w:r>
        <w:rPr>
          <w:rFonts w:ascii="Times New Roman" w:hAnsi="Times New Roman"/>
          <w:color w:val="000000"/>
          <w:sz w:val="20"/>
          <w:u w:val="single"/>
        </w:rPr>
        <w:t>Section 7.1</w:t>
      </w:r>
      <w:r>
        <w:rPr>
          <w:rFonts w:ascii="Times New Roman" w:hAnsi="Times New Roman"/>
          <w:color w:val="000000"/>
          <w:sz w:val="20"/>
        </w:rPr>
        <w:t>) to which the Common Stock is effectively converted into or exchanged for other securities, cash or property (in any such case, a “</w:t>
      </w:r>
      <w:r>
        <w:rPr>
          <w:rFonts w:ascii="Times New Roman" w:hAnsi="Times New Roman"/>
          <w:b/>
          <w:i/>
          <w:color w:val="000000"/>
          <w:sz w:val="20"/>
        </w:rPr>
        <w:t>Fundamental Transaction</w:t>
      </w:r>
      <w:r>
        <w:rPr>
          <w:rFonts w:ascii="Times New Roman" w:hAnsi="Times New Roman"/>
          <w:color w:val="000000"/>
          <w:sz w:val="20"/>
        </w:rPr>
        <w:t>”), then, upon any subsequent conversion of shares of Series C Non-Voting Preferred Stock the converting Holder shall have the right to receive, in lieu of the right to receive Conversion Shares, for each Conversion Share that would have been issuable upon such conversion immediately prior to the occurrence of such Fundamental Transaction (without regard to any Beneficial Ownership Limitation), the same kind and amount of securities, cash or property as such Holder would have been entitled to receive upon the occurrence of such Fundamental Transaction if such conversion of Series C Non-Voting Preferred Stock had occurred immediately prior to such Fundamental Transaction (the “</w:t>
      </w:r>
      <w:r>
        <w:rPr>
          <w:rFonts w:ascii="Times New Roman" w:hAnsi="Times New Roman"/>
          <w:b/>
          <w:i/>
          <w:color w:val="000000"/>
          <w:sz w:val="20"/>
        </w:rPr>
        <w:t>Alternate Consideration</w:t>
      </w:r>
      <w:r>
        <w:rPr>
          <w:rFonts w:ascii="Times New Roman" w:hAnsi="Times New Roman"/>
          <w:color w:val="000000"/>
          <w:sz w:val="20"/>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each Holder shall be given the same choice as to the Alternate Consideration it receives upon any conversion of Series C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color w:val="000000"/>
          <w:sz w:val="20"/>
          <w:u w:val="single"/>
        </w:rPr>
        <w:t>Section 7.2</w:t>
      </w:r>
      <w:r>
        <w:rPr>
          <w:rFonts w:ascii="Times New Roman" w:hAnsi="Times New Roman"/>
          <w:color w:val="000000"/>
          <w:sz w:val="20"/>
        </w:rPr>
        <w:t xml:space="preserve"> and ensuring that the Series C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twenty (20) calendar days prior to the date on which such Fundamental Transaction is expected to become effective or close.</w:t>
      </w:r>
    </w:p>
    <w:p>
      <w:pPr>
        <w:pStyle w:val="TextBody"/>
        <w:bidi w:val="0"/>
        <w:spacing w:before="0" w:after="0"/>
        <w:ind w:left="0" w:right="0" w:firstLine="108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7.3 </w:t>
      </w:r>
      <w:r>
        <w:rPr>
          <w:rFonts w:ascii="Times New Roman" w:hAnsi="Times New Roman"/>
          <w:color w:val="000000"/>
          <w:sz w:val="20"/>
          <w:u w:val="single"/>
        </w:rPr>
        <w:t>Calculations</w:t>
      </w:r>
      <w:r>
        <w:rPr>
          <w:rFonts w:ascii="Times New Roman" w:hAnsi="Times New Roman"/>
          <w:color w:val="000000"/>
          <w:sz w:val="20"/>
        </w:rPr>
        <w:t xml:space="preserve">. All calculations under this </w:t>
      </w:r>
      <w:r>
        <w:rPr>
          <w:rFonts w:ascii="Times New Roman" w:hAnsi="Times New Roman"/>
          <w:color w:val="000000"/>
          <w:sz w:val="20"/>
          <w:u w:val="single"/>
        </w:rPr>
        <w:t>Section 7</w:t>
      </w:r>
      <w:r>
        <w:rPr>
          <w:rFonts w:ascii="Times New Roman" w:hAnsi="Times New Roman"/>
          <w:color w:val="000000"/>
          <w:sz w:val="20"/>
        </w:rPr>
        <w:t xml:space="preserve"> shall be made to the nearest cent or the nearest 1/100th of a share, as the case may be. For purposes of this </w:t>
      </w:r>
      <w:r>
        <w:rPr>
          <w:rFonts w:ascii="Times New Roman" w:hAnsi="Times New Roman"/>
          <w:color w:val="000000"/>
          <w:sz w:val="20"/>
          <w:u w:val="single"/>
        </w:rPr>
        <w:t>Section 7</w:t>
      </w:r>
      <w:r>
        <w:rPr>
          <w:rFonts w:ascii="Times New Roman" w:hAnsi="Times New Roman"/>
          <w:color w:val="000000"/>
          <w:sz w:val="20"/>
        </w:rPr>
        <w:t>,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0" w:right="0" w:firstLine="108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Redemption</w:t>
      </w:r>
      <w:r>
        <w:rPr>
          <w:rFonts w:ascii="Times New Roman" w:hAnsi="Times New Roman"/>
          <w:color w:val="000000"/>
          <w:sz w:val="20"/>
        </w:rPr>
        <w:t xml:space="preserve">. The shares of Series C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color w:val="000000"/>
          <w:sz w:val="20"/>
          <w:u w:val="single"/>
        </w:rPr>
        <w:t>Section 6.5.3</w:t>
      </w:r>
      <w:r>
        <w:rPr>
          <w:rFonts w:ascii="Times New Roman" w:hAnsi="Times New Roman"/>
          <w:color w:val="000000"/>
          <w:sz w:val="20"/>
        </w:rPr>
        <w:t>.</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Transfer</w:t>
      </w:r>
      <w:r>
        <w:rPr>
          <w:rFonts w:ascii="Times New Roman" w:hAnsi="Times New Roman"/>
          <w:color w:val="000000"/>
          <w:sz w:val="20"/>
        </w:rPr>
        <w:t xml:space="preserve">. A Holder may transfer any shares of Series C Non-Voting Preferred Stock, together with the accompanying rights set forth herein, held by such Holder without the consent of the Corporation; provided that such transfer is in compliance with applicable securities laws, the terms of any contract between the Holder making such transfer and the Corporation (including the Purchase Agreement, in the case of any Holder of shares of Series C Non-Voting Preferred Stock originally issued pursuant to the Purchase Agreement), the terms of the Merger Agreement, in the case of any Holder of shares of Series C Non-Voting Preferred Stock originally issued pursuant to the Merger Agreement and the terms of any lock-up agreement applicable to such shares of Series C Non-Voting Preferred Stock. The Corporation shall in good faith (i) do and perform, or cause to be done and performed, all such further acts and things, and (ii) execute and deliver all such other agreements, certificates, instruments and documents, in each case, as any holder of Series C Non-Voting Preferred Stock may reasonably request in order to carry out the intent and accomplish the purposes of this </w:t>
      </w:r>
      <w:r>
        <w:rPr>
          <w:rFonts w:ascii="Times New Roman" w:hAnsi="Times New Roman"/>
          <w:color w:val="000000"/>
          <w:sz w:val="20"/>
          <w:u w:val="single"/>
        </w:rPr>
        <w:t>Section 9</w:t>
      </w:r>
      <w:r>
        <w:rPr>
          <w:rFonts w:ascii="Times New Roman" w:hAnsi="Times New Roman"/>
          <w:color w:val="000000"/>
          <w:sz w:val="20"/>
        </w:rPr>
        <w:t>. The transferee of any shares of Series C Non-Voting Preferred Stock shall be subject to the Beneficial Ownership Limitation applicable to the transferor as of the time of such transfer.</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Series C Non-Voting Preferred Stock Register</w:t>
      </w:r>
      <w:r>
        <w:rPr>
          <w:rFonts w:ascii="Times New Roman" w:hAnsi="Times New Roman"/>
          <w:color w:val="000000"/>
          <w:sz w:val="20"/>
        </w:rPr>
        <w:t xml:space="preserve">. The Corporation shall maintain or cause its transfer agent to maintain, at the Corporation’s principal executive offices or the offices of such transfer agent (or such other office or agency of the Corporation as the Corporation may designate by notice to the Holders in accordance with </w:t>
      </w:r>
      <w:r>
        <w:rPr>
          <w:rFonts w:ascii="Times New Roman" w:hAnsi="Times New Roman"/>
          <w:color w:val="000000"/>
          <w:sz w:val="20"/>
          <w:u w:val="single"/>
        </w:rPr>
        <w:t>Section 11</w:t>
      </w:r>
      <w:r>
        <w:rPr>
          <w:rFonts w:ascii="Times New Roman" w:hAnsi="Times New Roman"/>
          <w:color w:val="000000"/>
          <w:sz w:val="20"/>
        </w:rPr>
        <w:t>), a register for the Series C Non-Voting Preferred Stock (the “</w:t>
      </w:r>
      <w:r>
        <w:rPr>
          <w:rFonts w:ascii="Times New Roman" w:hAnsi="Times New Roman"/>
          <w:b/>
          <w:i/>
          <w:color w:val="000000"/>
          <w:sz w:val="20"/>
        </w:rPr>
        <w:t>Share Register</w:t>
      </w:r>
      <w:r>
        <w:rPr>
          <w:rFonts w:ascii="Times New Roman" w:hAnsi="Times New Roman"/>
          <w:color w:val="000000"/>
          <w:sz w:val="20"/>
        </w:rPr>
        <w:t>”), in which the Corporation shall record (i) the name, address, and electronic mail address of each holder in whose name the shares of Series C Non-Voting Preferred Stock have been issued and (ii) the name, address, and electronic mail address of each transferee of any shares of Series C Non-Voting Preferred Stock. The Corporation may deem and treat the registered Holder of shares of Series C Non-Voting Preferred Stock as the absolute owner thereof for the purpose of any conversion thereof and for all other purposes. The Corporation shall keep the register open and available at all times during regular business hours for inspection by any holder of Series C Non-Voting Preferred Stock or his, her or its legal representatives.</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Notices</w:t>
      </w:r>
      <w:r>
        <w:rPr>
          <w:rFonts w:ascii="Times New Roman" w:hAnsi="Times New Roman"/>
          <w:color w:val="000000"/>
          <w:sz w:val="20"/>
        </w:rPr>
        <w:t>. Any notice or other communication required or permitted by the provisions of this Certificate of Designation to be given to a Holder of shares of Series C Non-Voting Preferred Stock shall be mailed, postage prepaid, to the post office address provided in the Purchase Agreement or last shown on the records of the Corporation (including the Share Register), or given by electronic communication in compliance with the provisions of the DGCL, and shall be deemed sent upon such mailing or electronic transmission.</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Book-Entry; Certificates</w:t>
      </w:r>
      <w:r>
        <w:rPr>
          <w:rFonts w:ascii="Times New Roman" w:hAnsi="Times New Roman"/>
          <w:color w:val="000000"/>
          <w:sz w:val="20"/>
        </w:rPr>
        <w:t>. The Series C Non-Voting Preferred Stock will be issued in book-entry form; provided that, if a Holder requests that such Holder’s shares of Series C Non-Voting Preferred Stock be issued in certificated form, the Corporation will instead issue a stock certificate to such Holder representing such Holder’s shares of Series C Non-Voting Preferred Stock. To the extent that any shares of Series C Non-Voting Preferred Stock are issued in book-entry form, references herein to “certificates” shall instead refer to the book-entry notation relating to such shares.</w:t>
      </w:r>
    </w:p>
    <w:p>
      <w:pPr>
        <w:pStyle w:val="TextBody"/>
        <w:bidi w:val="0"/>
        <w:spacing w:before="0" w:after="0"/>
        <w:ind w:left="0" w:right="0" w:firstLine="36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color w:val="000000"/>
          <w:sz w:val="20"/>
          <w:u w:val="single"/>
        </w:rPr>
        <w:t>Waiver</w:t>
      </w:r>
      <w:r>
        <w:rPr>
          <w:rFonts w:ascii="Times New Roman" w:hAnsi="Times New Roman"/>
          <w:color w:val="000000"/>
          <w:sz w:val="20"/>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except as expressly set forth in this </w:t>
      </w:r>
      <w:r>
        <w:rPr>
          <w:rFonts w:ascii="Times New Roman" w:hAnsi="Times New Roman"/>
          <w:color w:val="000000"/>
          <w:sz w:val="20"/>
          <w:u w:val="single"/>
        </w:rPr>
        <w:t>Section 13</w:t>
      </w:r>
      <w:r>
        <w:rPr>
          <w:rFonts w:ascii="Times New Roman" w:hAnsi="Times New Roman"/>
          <w:color w:val="000000"/>
          <w:sz w:val="20"/>
        </w:rPr>
        <w:t>.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C Non-Voting Preferred Stock granted hereunder may be waived as to all shares of Series C Non-Voting Preferred Stock (and the Holders thereof) upon the written consent of the Holders of a majority of the shares of Series C Non-Voting Preferred Stock then outstanding (the “</w:t>
      </w:r>
      <w:r>
        <w:rPr>
          <w:rFonts w:ascii="Times New Roman" w:hAnsi="Times New Roman"/>
          <w:b/>
          <w:i/>
          <w:color w:val="000000"/>
          <w:sz w:val="20"/>
        </w:rPr>
        <w:t>Required Holders</w:t>
      </w:r>
      <w:r>
        <w:rPr>
          <w:rFonts w:ascii="Times New Roman" w:hAnsi="Times New Roman"/>
          <w:color w:val="000000"/>
          <w:sz w:val="20"/>
        </w:rPr>
        <w:t>”); provided, however, that the Beneficial Ownership Limitation applicable to a Holder, and any provisions contained herein that are related to such Beneficial Ownership Limitation, cannot be modified, waived or terminated without the consent of such Holder and in no event shall such modification, waiver or termination have the result of increasing any Beneficial Ownership Limitation in an amount in excess of 19.99%; provided further, that any proposed waiver that would, by its terms, have a disproportionate and materially adverse effect on the rights, privileges, duties, obligations or limitations applicable to any Holder(s) (in its (or their) capacity as such) shall require the consent of such Holder(s).</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color w:val="000000"/>
          <w:sz w:val="20"/>
          <w:u w:val="single"/>
        </w:rPr>
        <w:t>Severability</w:t>
      </w:r>
      <w:r>
        <w:rPr>
          <w:rFonts w:ascii="Times New Roman" w:hAnsi="Times New Roman"/>
          <w:color w:val="000000"/>
          <w:sz w:val="20"/>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color w:val="000000"/>
          <w:sz w:val="20"/>
          <w:u w:val="single"/>
        </w:rPr>
        <w:t>Status of Converted Series C Non-Voting Preferred Stock</w:t>
      </w:r>
      <w:r>
        <w:rPr>
          <w:rFonts w:ascii="Times New Roman" w:hAnsi="Times New Roman"/>
          <w:color w:val="000000"/>
          <w:sz w:val="20"/>
        </w:rPr>
        <w:t xml:space="preserve">. If any shares of Series C Non-Voting Preferred Stock shall be converted, redeemed or otherwise acquired by the Corporation, such shares shall, to the fullest extent permitted by applicable law, be retired and cancelled upon such acquisition, and shall not be reissued as a share of Series C Non-Voting Preferred Stock. Any share of Series C Non-Voting Preferred Stock so acquired or otherwise cancelled in accordance with </w:t>
      </w:r>
      <w:r>
        <w:rPr>
          <w:rFonts w:ascii="Times New Roman" w:hAnsi="Times New Roman"/>
          <w:color w:val="000000"/>
          <w:sz w:val="20"/>
          <w:u w:val="single"/>
        </w:rPr>
        <w:t>Section 6.5.3</w:t>
      </w:r>
      <w:r>
        <w:rPr>
          <w:rFonts w:ascii="Times New Roman" w:hAnsi="Times New Roman"/>
          <w:color w:val="000000"/>
          <w:sz w:val="20"/>
        </w:rPr>
        <w:t xml:space="preserve"> shall, upon its retirement and cancellation, and upon the taking of any action required by applicable law, resume the status of authorized but unissued shares of preferred stock and shall no longer be designated as “Series C Non-Voting Convertible Preferred Stock.”</w:t>
      </w:r>
    </w:p>
    <w:p>
      <w:pPr>
        <w:pStyle w:val="TextBody"/>
        <w:bidi w:val="0"/>
        <w:spacing w:before="0" w:after="0"/>
        <w:ind w:left="0" w:right="0" w:firstLine="360"/>
        <w:jc w:val="both"/>
        <w:rPr>
          <w:sz w:val="20"/>
        </w:rPr>
      </w:pPr>
      <w:r>
        <w:rPr>
          <w:sz w:val="20"/>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16. </w:t>
      </w:r>
      <w:r>
        <w:rPr>
          <w:rFonts w:ascii="Times New Roman" w:hAnsi="Times New Roman"/>
          <w:color w:val="000000"/>
          <w:sz w:val="20"/>
          <w:u w:val="single"/>
        </w:rPr>
        <w:t>Fractional Shares of Series C Non-Voting Preferred Stock</w:t>
      </w:r>
      <w:r>
        <w:rPr>
          <w:rFonts w:ascii="Times New Roman" w:hAnsi="Times New Roman"/>
          <w:color w:val="000000"/>
          <w:sz w:val="20"/>
        </w:rPr>
        <w:t>. Shares of Series C Non-Voting Preferred Stock may be issued in fractions up to the nearest one thousandth of a share that entitle the Holder, in proportion to such Holder’s fractional shares, to exercise voting rights as set forth herein, receive dividends, participate in distributions and have the benefit of all other rights of Holders.</w:t>
      </w:r>
    </w:p>
    <w:p>
      <w:pPr>
        <w:pStyle w:val="TextBody"/>
        <w:bidi w:val="0"/>
        <w:spacing w:before="0" w:after="0"/>
        <w:ind w:left="0" w:right="0" w:firstLine="360"/>
        <w:jc w:val="both"/>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bidi w:val="0"/>
        <w:spacing w:before="0" w:after="0"/>
        <w:jc w:val="center"/>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Lisata Therapeutics, Inc. has caused this Certificate of Designation of Preferences, Rights and Limitations of Series C Non-Voting Convertible Preferred Stock to be duly executed by its President and Chief Executive officer on September 17,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17" w:name="z8c229ffba85b449f8de07a3414ac7306"/>
      <w:bookmarkStart w:id="818" w:name="z8c229ffba85b449f8de07a3414ac7306"/>
      <w:bookmarkEnd w:id="818"/>
    </w:p>
    <w:tbl>
      <w:tblPr>
        <w:tblW w:w="3685" w:type="dxa"/>
        <w:jc w:val="left"/>
        <w:tblInd w:w="0" w:type="dxa"/>
        <w:tblLayout w:type="fixed"/>
        <w:tblCellMar>
          <w:top w:w="0" w:type="dxa"/>
          <w:left w:w="0" w:type="dxa"/>
          <w:bottom w:w="0" w:type="dxa"/>
          <w:right w:w="0" w:type="dxa"/>
        </w:tblCellMar>
      </w:tblPr>
      <w:tblGrid>
        <w:gridCol w:w="60"/>
        <w:gridCol w:w="545"/>
        <w:gridCol w:w="3080"/>
      </w:tblGrid>
      <w:tr>
        <w:trPr/>
        <w:tc>
          <w:tcPr>
            <w:tcW w:w="6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LISATA THERAPEUTICS, INC.</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080"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David J. Mazzo</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3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David J. Mazzo, Ph.D.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3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President and Chief Executive Officer</w:t>
            </w:r>
          </w:p>
        </w:tc>
      </w:tr>
    </w:tbl>
    <w:p>
      <w:pPr>
        <w:pStyle w:val="TextBody"/>
        <w:bidi w:val="0"/>
        <w:spacing w:before="0" w:after="0"/>
        <w:jc w:val="both"/>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NOTICE OF CONVERSION</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(TO BE EXECUTED BY THE REGISTERED HOLDER IN ORDER TO CONVERT SHARES OF SERIES C NON-VOTING CONVERTIBLE PREFERRED STOCK)</w:t>
      </w:r>
    </w:p>
    <w:p>
      <w:pPr>
        <w:pStyle w:val="TextBody"/>
        <w:bidi w:val="0"/>
        <w:spacing w:before="0" w:after="0"/>
        <w:jc w:val="center"/>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Holder hereby irrevocably elects to convert the number of shares of Series C Non-Voting Preferred Stock indicated below, represented in book-entry form, into shares of common stock, par value $0.001 per share (the “</w:t>
      </w:r>
      <w:r>
        <w:rPr>
          <w:rFonts w:ascii="Times New Roman" w:hAnsi="Times New Roman"/>
          <w:b/>
          <w:i/>
          <w:color w:val="000000"/>
          <w:sz w:val="20"/>
        </w:rPr>
        <w:t>Common Stock</w:t>
      </w:r>
      <w:r>
        <w:rPr>
          <w:rFonts w:ascii="Times New Roman" w:hAnsi="Times New Roman"/>
          <w:color w:val="000000"/>
          <w:sz w:val="20"/>
        </w:rPr>
        <w:t>”), of Lisata Therapeutics, Inc., a Delaware corporation (the “</w:t>
      </w:r>
      <w:r>
        <w:rPr>
          <w:rFonts w:ascii="Times New Roman" w:hAnsi="Times New Roman"/>
          <w:b/>
          <w:i/>
          <w:color w:val="000000"/>
          <w:sz w:val="20"/>
        </w:rPr>
        <w:t>Corporation</w:t>
      </w:r>
      <w:r>
        <w:rPr>
          <w:rFonts w:ascii="Times New Roman" w:hAnsi="Times New Roman"/>
          <w:color w:val="000000"/>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C Non-Voting Convertible Preferred Stock (the “</w:t>
      </w:r>
      <w:r>
        <w:rPr>
          <w:rFonts w:ascii="Times New Roman" w:hAnsi="Times New Roman"/>
          <w:b/>
          <w:i/>
          <w:color w:val="000000"/>
          <w:sz w:val="20"/>
        </w:rPr>
        <w:t>Certificate of Designation</w:t>
      </w:r>
      <w:r>
        <w:rPr>
          <w:rFonts w:ascii="Times New Roman" w:hAnsi="Times New Roman"/>
          <w:color w:val="000000"/>
          <w:sz w:val="20"/>
        </w:rPr>
        <w:t>”) filed by the Corporation with the Secretary of State of the State of Delaware on September 17, 2026.</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the date hereof, the number of shares of Common Stock beneficially owned by the undersigned Holder (together with such Holder’s Attribution Parties), including the number of shares of Common Stock issuable upon conversion of the Series C Non-Voting Preferred Stock subject to this Notice of Conversion, but excluding the number of shares of Common Stock which are issuable upon (A) conversion of the remaining, unconverted Series C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0"/>
          <w:u w:val="single"/>
        </w:rPr>
        <w:t>Section 6.4</w:t>
      </w:r>
      <w:r>
        <w:rPr>
          <w:rFonts w:ascii="Times New Roman" w:hAnsi="Times New Roman"/>
          <w:color w:val="000000"/>
          <w:sz w:val="20"/>
        </w:rPr>
        <w:t xml:space="preserve"> of the Certificate of Designation, is less than its Beneficial Ownership Limitation.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CONVERSION CALCULATIONS: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19" w:name="z8155a1baad9549f0a670dd6883223b60"/>
      <w:bookmarkStart w:id="820" w:name="z8155a1baad9549f0a670dd6883223b60"/>
      <w:bookmarkEnd w:id="820"/>
    </w:p>
    <w:tbl>
      <w:tblPr>
        <w:tblW w:w="2240" w:type="dxa"/>
        <w:jc w:val="left"/>
        <w:tblInd w:w="0" w:type="dxa"/>
        <w:tblLayout w:type="fixed"/>
        <w:tblCellMar>
          <w:top w:w="0" w:type="dxa"/>
          <w:left w:w="0" w:type="dxa"/>
          <w:bottom w:w="0" w:type="dxa"/>
          <w:right w:w="0" w:type="dxa"/>
        </w:tblCellMar>
      </w:tblPr>
      <w:tblGrid>
        <w:gridCol w:w="2180"/>
        <w:gridCol w:w="60"/>
      </w:tblGrid>
      <w:tr>
        <w:trPr/>
        <w:tc>
          <w:tcPr>
            <w:tcW w:w="21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 to Effect Conversion:</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21" w:name="zd3a3c22d6cf445b097150dbbd98abc38"/>
      <w:bookmarkStart w:id="822" w:name="zd3a3c22d6cf445b097150dbbd98abc38"/>
      <w:bookmarkEnd w:id="822"/>
    </w:p>
    <w:tbl>
      <w:tblPr>
        <w:tblW w:w="6965" w:type="dxa"/>
        <w:jc w:val="left"/>
        <w:tblInd w:w="0" w:type="dxa"/>
        <w:tblLayout w:type="fixed"/>
        <w:tblCellMar>
          <w:top w:w="0" w:type="dxa"/>
          <w:left w:w="0" w:type="dxa"/>
          <w:bottom w:w="0" w:type="dxa"/>
          <w:right w:w="0" w:type="dxa"/>
        </w:tblCellMar>
      </w:tblPr>
      <w:tblGrid>
        <w:gridCol w:w="6905"/>
        <w:gridCol w:w="60"/>
      </w:tblGrid>
      <w:tr>
        <w:trPr/>
        <w:tc>
          <w:tcPr>
            <w:tcW w:w="69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Number of shares of Series C Non-Voting Preferred Stock owned prior to Conversion:</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23" w:name="z79587d1ae0ef44f6b83c45cc3da70fc3"/>
      <w:bookmarkStart w:id="824" w:name="z79587d1ae0ef44f6b83c45cc3da70fc3"/>
      <w:bookmarkEnd w:id="824"/>
    </w:p>
    <w:tbl>
      <w:tblPr>
        <w:tblW w:w="6095" w:type="dxa"/>
        <w:jc w:val="left"/>
        <w:tblInd w:w="0" w:type="dxa"/>
        <w:tblLayout w:type="fixed"/>
        <w:tblCellMar>
          <w:top w:w="0" w:type="dxa"/>
          <w:left w:w="0" w:type="dxa"/>
          <w:bottom w:w="0" w:type="dxa"/>
          <w:right w:w="0" w:type="dxa"/>
        </w:tblCellMar>
      </w:tblPr>
      <w:tblGrid>
        <w:gridCol w:w="6035"/>
        <w:gridCol w:w="60"/>
      </w:tblGrid>
      <w:tr>
        <w:trPr/>
        <w:tc>
          <w:tcPr>
            <w:tcW w:w="603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Number of shares of Series C Non-Voting Preferred Stock to be Converted: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25" w:name="z75115a1aab2a4822bdfa241e5a26a06c"/>
      <w:bookmarkStart w:id="826" w:name="z75115a1aab2a4822bdfa241e5a26a06c"/>
      <w:bookmarkEnd w:id="826"/>
    </w:p>
    <w:tbl>
      <w:tblPr>
        <w:tblW w:w="4055" w:type="dxa"/>
        <w:jc w:val="left"/>
        <w:tblInd w:w="0" w:type="dxa"/>
        <w:tblLayout w:type="fixed"/>
        <w:tblCellMar>
          <w:top w:w="0" w:type="dxa"/>
          <w:left w:w="0" w:type="dxa"/>
          <w:bottom w:w="0" w:type="dxa"/>
          <w:right w:w="0" w:type="dxa"/>
        </w:tblCellMar>
      </w:tblPr>
      <w:tblGrid>
        <w:gridCol w:w="3995"/>
        <w:gridCol w:w="60"/>
      </w:tblGrid>
      <w:tr>
        <w:trPr/>
        <w:tc>
          <w:tcPr>
            <w:tcW w:w="39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Number of shares of Common Stock to be Issued: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27" w:name="zd63e12f543254a43ad0947111fe0808f"/>
      <w:bookmarkStart w:id="828" w:name="zd63e12f543254a43ad0947111fe0808f"/>
      <w:bookmarkEnd w:id="828"/>
    </w:p>
    <w:tbl>
      <w:tblPr>
        <w:tblW w:w="3650" w:type="dxa"/>
        <w:jc w:val="left"/>
        <w:tblInd w:w="0" w:type="dxa"/>
        <w:tblLayout w:type="fixed"/>
        <w:tblCellMar>
          <w:top w:w="0" w:type="dxa"/>
          <w:left w:w="0" w:type="dxa"/>
          <w:bottom w:w="0" w:type="dxa"/>
          <w:right w:w="0" w:type="dxa"/>
        </w:tblCellMar>
      </w:tblPr>
      <w:tblGrid>
        <w:gridCol w:w="3590"/>
        <w:gridCol w:w="60"/>
      </w:tblGrid>
      <w:tr>
        <w:trPr/>
        <w:tc>
          <w:tcPr>
            <w:tcW w:w="35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Address for delivery of physical certificates: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shares are to be issued in book entry form, please so indicate by checking the following box: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DWAC Delivery, please provide the following:</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29" w:name="z736c03675af34cd0897864feba235e10"/>
      <w:bookmarkStart w:id="830" w:name="z736c03675af34cd0897864feba235e10"/>
      <w:bookmarkEnd w:id="830"/>
    </w:p>
    <w:tbl>
      <w:tblPr>
        <w:tblW w:w="1025" w:type="dxa"/>
        <w:jc w:val="left"/>
        <w:tblInd w:w="0" w:type="dxa"/>
        <w:tblLayout w:type="fixed"/>
        <w:tblCellMar>
          <w:top w:w="0" w:type="dxa"/>
          <w:left w:w="0" w:type="dxa"/>
          <w:bottom w:w="0" w:type="dxa"/>
          <w:right w:w="0" w:type="dxa"/>
        </w:tblCellMar>
      </w:tblPr>
      <w:tblGrid>
        <w:gridCol w:w="965"/>
        <w:gridCol w:w="60"/>
      </w:tblGrid>
      <w:tr>
        <w:trPr/>
        <w:tc>
          <w:tcPr>
            <w:tcW w:w="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Broker No.:</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31" w:name="zec3d34d278ba44209bdfc9ec9f0367eb"/>
      <w:bookmarkStart w:id="832" w:name="zec3d34d278ba44209bdfc9ec9f0367eb"/>
      <w:bookmarkEnd w:id="832"/>
    </w:p>
    <w:tbl>
      <w:tblPr>
        <w:tblW w:w="1160" w:type="dxa"/>
        <w:jc w:val="left"/>
        <w:tblInd w:w="0" w:type="dxa"/>
        <w:tblLayout w:type="fixed"/>
        <w:tblCellMar>
          <w:top w:w="0" w:type="dxa"/>
          <w:left w:w="0" w:type="dxa"/>
          <w:bottom w:w="0" w:type="dxa"/>
          <w:right w:w="0" w:type="dxa"/>
        </w:tblCellMar>
      </w:tblPr>
      <w:tblGrid>
        <w:gridCol w:w="1100"/>
        <w:gridCol w:w="60"/>
      </w:tblGrid>
      <w:tr>
        <w:trPr/>
        <w:tc>
          <w:tcPr>
            <w:tcW w:w="1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Account No.:</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33" w:name="z33f097d59d5a4a3fb26e89f135f79b51"/>
      <w:bookmarkStart w:id="834" w:name="z33f097d59d5a4a3fb26e89f135f79b51"/>
      <w:bookmarkEnd w:id="834"/>
    </w:p>
    <w:tbl>
      <w:tblPr>
        <w:tblW w:w="979" w:type="dxa"/>
        <w:jc w:val="left"/>
        <w:tblInd w:w="0" w:type="dxa"/>
        <w:tblLayout w:type="fixed"/>
        <w:tblCellMar>
          <w:top w:w="0" w:type="dxa"/>
          <w:left w:w="0" w:type="dxa"/>
          <w:bottom w:w="0" w:type="dxa"/>
          <w:right w:w="0" w:type="dxa"/>
        </w:tblCellMar>
      </w:tblPr>
      <w:tblGrid>
        <w:gridCol w:w="818"/>
        <w:gridCol w:w="101"/>
        <w:gridCol w:w="60"/>
      </w:tblGrid>
      <w:tr>
        <w:trPr/>
        <w:tc>
          <w:tcPr>
            <w:tcW w:w="91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[HOLDER]</w:t>
            </w:r>
          </w:p>
        </w:tc>
        <w:tc>
          <w:tcPr>
            <w:tcW w:w="60"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35" w:name="ef20082158_ex10-1.htm"/>
      <w:bookmarkStart w:id="836" w:name="ksef20082158_ex101"/>
      <w:bookmarkStart w:id="837" w:name="ef20082158_ex10-1.htm"/>
      <w:bookmarkStart w:id="838" w:name="ksef20082158_ex101"/>
      <w:bookmarkEnd w:id="837"/>
      <w:bookmarkEnd w:id="83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Registration Rights Agreement (this “</w:t>
      </w:r>
      <w:r>
        <w:rPr>
          <w:rFonts w:ascii="Times New Roman" w:hAnsi="Times New Roman"/>
          <w:b/>
          <w:color w:val="000000"/>
          <w:sz w:val="20"/>
        </w:rPr>
        <w:t>Agreement</w:t>
      </w:r>
      <w:r>
        <w:rPr>
          <w:rFonts w:ascii="Times New Roman" w:hAnsi="Times New Roman"/>
          <w:color w:val="000000"/>
          <w:sz w:val="20"/>
        </w:rPr>
        <w:t>”) is dated as of September 17, 2026, by and between Lisata Therapeutics, Inc., a Delaware corporation (the “</w:t>
      </w:r>
      <w:r>
        <w:rPr>
          <w:rFonts w:ascii="Times New Roman" w:hAnsi="Times New Roman"/>
          <w:b/>
          <w:color w:val="000000"/>
          <w:sz w:val="20"/>
        </w:rPr>
        <w:t>Company</w:t>
      </w:r>
      <w:r>
        <w:rPr>
          <w:rFonts w:ascii="Times New Roman" w:hAnsi="Times New Roman"/>
          <w:color w:val="000000"/>
          <w:sz w:val="20"/>
        </w:rPr>
        <w:t>”), and the undersigned signatories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Agreement is made in connection with that Agreement and Plan of Merger, dated as of the date hereof, by and among the Company, Marea Therapeutics, Inc., a Delaware corporation (“</w:t>
      </w:r>
      <w:r>
        <w:rPr>
          <w:rFonts w:ascii="Times New Roman" w:hAnsi="Times New Roman"/>
          <w:b/>
          <w:color w:val="000000"/>
          <w:sz w:val="20"/>
        </w:rPr>
        <w:t>Marea</w:t>
      </w:r>
      <w:r>
        <w:rPr>
          <w:rFonts w:ascii="Times New Roman" w:hAnsi="Times New Roman"/>
          <w:color w:val="000000"/>
          <w:sz w:val="20"/>
        </w:rPr>
        <w:t>”), Mariner Merger Sub I, Inc., a Delaware corporation and wholly owned subsidiary of the Company (“</w:t>
      </w:r>
      <w:r>
        <w:rPr>
          <w:rFonts w:ascii="Times New Roman" w:hAnsi="Times New Roman"/>
          <w:b/>
          <w:color w:val="000000"/>
          <w:sz w:val="20"/>
        </w:rPr>
        <w:t>First Merger Sub</w:t>
      </w:r>
      <w:r>
        <w:rPr>
          <w:rFonts w:ascii="Times New Roman" w:hAnsi="Times New Roman"/>
          <w:color w:val="000000"/>
          <w:sz w:val="20"/>
        </w:rPr>
        <w:t>”), and Mariner Merger Sub II, LLC, a Delaware limited liability company and wholly owned subsidiary of the Company (“</w:t>
      </w:r>
      <w:r>
        <w:rPr>
          <w:rFonts w:ascii="Times New Roman" w:hAnsi="Times New Roman"/>
          <w:b/>
          <w:color w:val="000000"/>
          <w:sz w:val="20"/>
        </w:rPr>
        <w:t>Second Merger Sub</w:t>
      </w:r>
      <w:r>
        <w:rPr>
          <w:rFonts w:ascii="Times New Roman" w:hAnsi="Times New Roman"/>
          <w:color w:val="000000"/>
          <w:sz w:val="20"/>
        </w:rPr>
        <w:t>”) (as amended, restated, supplemented or otherwise modified from time to time, the “</w:t>
      </w:r>
      <w:r>
        <w:rPr>
          <w:rFonts w:ascii="Times New Roman" w:hAnsi="Times New Roman"/>
          <w:b/>
          <w:color w:val="000000"/>
          <w:sz w:val="20"/>
        </w:rPr>
        <w:t>Merger Agreement</w:t>
      </w:r>
      <w:r>
        <w:rPr>
          <w:rFonts w:ascii="Times New Roman" w:hAnsi="Times New Roman"/>
          <w:color w:val="000000"/>
          <w:sz w:val="20"/>
        </w:rPr>
        <w:t>”), pursuant to which the Company has agreed to issue shares of the Company’s Series C Non-Voting Convertible Preferred Stock, par value $0.01 per share (the “</w:t>
      </w:r>
      <w:r>
        <w:rPr>
          <w:rFonts w:ascii="Times New Roman" w:hAnsi="Times New Roman"/>
          <w:b/>
          <w:color w:val="000000"/>
          <w:sz w:val="20"/>
        </w:rPr>
        <w:t>Preferred Shares</w:t>
      </w:r>
      <w:r>
        <w:rPr>
          <w:rFonts w:ascii="Times New Roman" w:hAnsi="Times New Roman"/>
          <w:color w:val="000000"/>
          <w:sz w:val="20"/>
        </w:rPr>
        <w:t>”) and/or shares of Common Stock (as defined below, and collectively with the Preferred Shares, the “</w:t>
      </w:r>
      <w:r>
        <w:rPr>
          <w:rFonts w:ascii="Times New Roman" w:hAnsi="Times New Roman"/>
          <w:b/>
          <w:color w:val="000000"/>
          <w:sz w:val="20"/>
        </w:rPr>
        <w:t>Shares</w:t>
      </w:r>
      <w:r>
        <w:rPr>
          <w:rFonts w:ascii="Times New Roman" w:hAnsi="Times New Roman"/>
          <w:color w:val="000000"/>
          <w:sz w:val="20"/>
        </w:rPr>
        <w:t>”), to the equityholders of Marea as consideration for the transactions contemplated by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mutual covenants contained in this Agreement and for other good and valuable consideration, the receipt and adequacy of which are hereby acknowledged, the Company and the Holders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 Capitalized terms used but not otherwise defined herein shall have the respective meanings set forth in the Merger Agreement. As used in this Agreement, the following terms shall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       “</w:t>
      </w:r>
      <w:r>
        <w:rPr>
          <w:rFonts w:ascii="Times New Roman" w:hAnsi="Times New Roman"/>
          <w:b/>
          <w:color w:val="000000"/>
          <w:sz w:val="20"/>
        </w:rPr>
        <w:t>Affiliate</w:t>
      </w:r>
      <w:r>
        <w:rPr>
          <w:rFonts w:ascii="Times New Roman" w:hAnsi="Times New Roman"/>
          <w:color w:val="000000"/>
          <w:sz w:val="20"/>
        </w:rPr>
        <w:t>” means, with respect to any specified Person, any other Person who or which, directly or indirectly, controls, is controlled by, or is under common control with such specified Person, including, without limitation, any partner, member, officer, director, trustee or employee of such specified Person and any venture capital fund or other investment fund now or hereafter existing that is controlled by or under common control with one or more general partners, managing members or investment advisers of, or shares the same management company or investment adviser with, such specified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1.2         “</w:t>
      </w:r>
      <w:r>
        <w:rPr>
          <w:rFonts w:ascii="Times New Roman" w:hAnsi="Times New Roman"/>
          <w:b/>
          <w:color w:val="000000"/>
          <w:sz w:val="20"/>
        </w:rPr>
        <w:t>Board of Directors</w:t>
      </w:r>
      <w:r>
        <w:rPr>
          <w:rFonts w:ascii="Times New Roman" w:hAnsi="Times New Roman"/>
          <w:color w:val="000000"/>
          <w:sz w:val="20"/>
        </w:rPr>
        <w:t>” means the Company’s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1.3        “</w:t>
      </w:r>
      <w:r>
        <w:rPr>
          <w:rFonts w:ascii="Times New Roman" w:hAnsi="Times New Roman"/>
          <w:b/>
          <w:color w:val="000000"/>
          <w:sz w:val="20"/>
        </w:rPr>
        <w:t>Business Day</w:t>
      </w:r>
      <w:r>
        <w:rPr>
          <w:rFonts w:ascii="Times New Roman" w:hAnsi="Times New Roman"/>
          <w:color w:val="000000"/>
          <w:sz w:val="20"/>
        </w:rPr>
        <w:t>” means any day other than Saturday, Sunday, or other day on which commercial banks in the Commonwealth of Massachusetts are authorized or required by law to remain closed.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1.4        “</w:t>
      </w:r>
      <w:r>
        <w:rPr>
          <w:rFonts w:ascii="Times New Roman" w:hAnsi="Times New Roman"/>
          <w:b/>
          <w:color w:val="000000"/>
          <w:sz w:val="20"/>
        </w:rPr>
        <w:t>Common Stock</w:t>
      </w:r>
      <w:r>
        <w:rPr>
          <w:rFonts w:ascii="Times New Roman" w:hAnsi="Times New Roman"/>
          <w:color w:val="000000"/>
          <w:sz w:val="20"/>
        </w:rPr>
        <w:t>” means shares of the Company’s common stock, par value $0.001 per share, and any other capital stock of the Company into which such common stock is reclassified or reconstituted.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1.5         “</w:t>
      </w:r>
      <w:r>
        <w:rPr>
          <w:rFonts w:ascii="Times New Roman" w:hAnsi="Times New Roman"/>
          <w:b/>
          <w:color w:val="000000"/>
          <w:sz w:val="20"/>
        </w:rPr>
        <w:t>Damages</w:t>
      </w:r>
      <w:r>
        <w:rPr>
          <w:rFonts w:ascii="Times New Roman" w:hAnsi="Times New Roman"/>
          <w:color w:val="000000"/>
          <w:sz w:val="20"/>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1.7        “</w:t>
      </w:r>
      <w:r>
        <w:rPr>
          <w:rFonts w:ascii="Times New Roman" w:hAnsi="Times New Roman"/>
          <w:b/>
          <w:color w:val="000000"/>
          <w:sz w:val="20"/>
        </w:rPr>
        <w:t>Exchange Act</w:t>
      </w:r>
      <w:r>
        <w:rPr>
          <w:rFonts w:ascii="Times New Roman" w:hAnsi="Times New Roman"/>
          <w:color w:val="000000"/>
          <w:sz w:val="20"/>
        </w:rPr>
        <w:t>” means the Securities Exchange Act of 1934, as amended, and the rules and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1.6        “</w:t>
      </w:r>
      <w:r>
        <w:rPr>
          <w:rFonts w:ascii="Times New Roman" w:hAnsi="Times New Roman"/>
          <w:b/>
          <w:color w:val="000000"/>
          <w:sz w:val="20"/>
        </w:rPr>
        <w:t>Excluded Registration</w:t>
      </w:r>
      <w:r>
        <w:rPr>
          <w:rFonts w:ascii="Times New Roman" w:hAnsi="Times New Roman"/>
          <w:color w:val="000000"/>
          <w:sz w:val="20"/>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1.8        “</w:t>
      </w:r>
      <w:r>
        <w:rPr>
          <w:rFonts w:ascii="Times New Roman" w:hAnsi="Times New Roman"/>
          <w:b/>
          <w:color w:val="000000"/>
          <w:sz w:val="20"/>
        </w:rPr>
        <w:t>Form S-1</w:t>
      </w:r>
      <w:r>
        <w:rPr>
          <w:rFonts w:ascii="Times New Roman" w:hAnsi="Times New Roman"/>
          <w:color w:val="000000"/>
          <w:sz w:val="20"/>
        </w:rPr>
        <w:t>” means such form under the Securities Act as in effect on the date hereof or any successor registration form under the Securities Act subsequently adopted by the SEC.</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1.9        “</w:t>
      </w:r>
      <w:r>
        <w:rPr>
          <w:rFonts w:ascii="Times New Roman" w:hAnsi="Times New Roman"/>
          <w:b/>
          <w:color w:val="000000"/>
          <w:sz w:val="20"/>
        </w:rPr>
        <w:t>Form S-3</w:t>
      </w:r>
      <w:r>
        <w:rPr>
          <w:rFonts w:ascii="Times New Roman" w:hAnsi="Times New Roman"/>
          <w:color w:val="000000"/>
          <w:sz w:val="20"/>
        </w:rPr>
        <w:t>” means such form under the Securities Act as in effect on the date hereof, any successor registration form under the Securities Act subsequently adopted by the SEC or any other registration form under the Securities Act adopted by the SEC that permits incorporation of substantial information by reference to other documents filed by the Company with the SEC.</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1.10       “</w:t>
      </w:r>
      <w:r>
        <w:rPr>
          <w:rFonts w:ascii="Times New Roman" w:hAnsi="Times New Roman"/>
          <w:b/>
          <w:color w:val="000000"/>
          <w:sz w:val="20"/>
        </w:rPr>
        <w:t>Holder</w:t>
      </w:r>
      <w:r>
        <w:rPr>
          <w:rFonts w:ascii="Times New Roman" w:hAnsi="Times New Roman"/>
          <w:color w:val="000000"/>
          <w:sz w:val="20"/>
        </w:rPr>
        <w:t>” means any holder of Registrable Securities who is a party to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1.11     “</w:t>
      </w:r>
      <w:r>
        <w:rPr>
          <w:rFonts w:ascii="Times New Roman" w:hAnsi="Times New Roman"/>
          <w:b/>
          <w:color w:val="000000"/>
          <w:sz w:val="20"/>
        </w:rPr>
        <w:t>Immediate Family Member</w:t>
      </w:r>
      <w:r>
        <w:rPr>
          <w:rFonts w:ascii="Times New Roman" w:hAnsi="Times New Roman"/>
          <w:color w:val="000000"/>
          <w:sz w:val="20"/>
        </w:rPr>
        <w:t>” means a child, stepchild, grandchild, parent, stepparent, grandparent, spouse, life partner or similar statutorily recognized domestic partner, sibling, mother-in-law, father-in-law, son-in-law, daughter-in-law, brother-in-law, or sister-in-law, including, adoptive relationships, of a natural person referred to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1.12      “</w:t>
      </w:r>
      <w:r>
        <w:rPr>
          <w:rFonts w:ascii="Times New Roman" w:hAnsi="Times New Roman"/>
          <w:b/>
          <w:color w:val="000000"/>
          <w:sz w:val="20"/>
        </w:rPr>
        <w:t>Initiating Holders</w:t>
      </w:r>
      <w:r>
        <w:rPr>
          <w:rFonts w:ascii="Times New Roman" w:hAnsi="Times New Roman"/>
          <w:color w:val="000000"/>
          <w:sz w:val="20"/>
        </w:rPr>
        <w:t>” means, collectively, Holders who properly initiate a registration request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1.13      “</w:t>
      </w:r>
      <w:r>
        <w:rPr>
          <w:rFonts w:ascii="Times New Roman" w:hAnsi="Times New Roman"/>
          <w:b/>
          <w:color w:val="000000"/>
          <w:sz w:val="20"/>
        </w:rPr>
        <w:t>Misstatement</w:t>
      </w:r>
      <w:r>
        <w:rPr>
          <w:rFonts w:ascii="Times New Roman" w:hAnsi="Times New Roman"/>
          <w:color w:val="000000"/>
          <w:sz w:val="20"/>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1.14      “</w:t>
      </w:r>
      <w:r>
        <w:rPr>
          <w:rFonts w:ascii="Times New Roman" w:hAnsi="Times New Roman"/>
          <w:b/>
          <w:color w:val="000000"/>
          <w:sz w:val="20"/>
        </w:rPr>
        <w:t>Person</w:t>
      </w:r>
      <w:r>
        <w:rPr>
          <w:rFonts w:ascii="Times New Roman" w:hAnsi="Times New Roman"/>
          <w:color w:val="000000"/>
          <w:sz w:val="20"/>
        </w:rPr>
        <w:t>” means an individual, partnership, corporation, limited liability company, business trust, joint stock company, trust, unincorporated association, joint venture, other entity or organization, governmental agency, or government or political subdivision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1.15      “</w:t>
      </w:r>
      <w:r>
        <w:rPr>
          <w:rFonts w:ascii="Times New Roman" w:hAnsi="Times New Roman"/>
          <w:b/>
          <w:color w:val="000000"/>
          <w:sz w:val="20"/>
        </w:rPr>
        <w:t>Registrable Securities</w:t>
      </w:r>
      <w:r>
        <w:rPr>
          <w:rFonts w:ascii="Times New Roman" w:hAnsi="Times New Roman"/>
          <w:color w:val="000000"/>
          <w:sz w:val="20"/>
        </w:rPr>
        <w:t xml:space="preserve">” means (i) the Shares; (ii) shares of Common Stock issuable or issued upon conversion of the Preferred Shares; and (iii) any securities of the Company issued with respect to the securities referenced in clauses (i) and (ii) (A) by way of any stock dividend or stock split or (B) in connection with any merger, combination, recapitalization, share exchange, consolidation, reorganization or other similar transaction, excluding in all cases, however, any Registrable Securities sold by a Person in a transaction in which the applicable rights under this Agreement are not assigned pursuant to </w:t>
      </w:r>
      <w:r>
        <w:rPr>
          <w:rFonts w:ascii="Times New Roman" w:hAnsi="Times New Roman"/>
          <w:color w:val="000000"/>
          <w:sz w:val="20"/>
          <w:u w:val="single"/>
        </w:rPr>
        <w:t>Section 3.1</w:t>
      </w:r>
      <w:r>
        <w:rPr>
          <w:rFonts w:ascii="Times New Roman" w:hAnsi="Times New Roman"/>
          <w:color w:val="000000"/>
          <w:sz w:val="20"/>
        </w:rPr>
        <w:t>. Registrable Securities shall cease to be Registrable Securities (and the Company shall not be required to maintain the effectiveness of any, or file another, registration statement hereunder with respect thereto) upon the earliest to occur of (A) the date on which the Holder shall have resold such Registrable Securities covered by a registration statement, (B) such Registrable Securities having been previously sold by such Investor in accordance with Rule 144, (C) such securities becoming eligible for resale by the Holder without volume or manner of sale restrictions pursuant to Rule 144 and without the requirement for the Company to be in compliance with the current public information requirement under Rule 144 and (D) five years after the date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1.16     “</w:t>
      </w:r>
      <w:r>
        <w:rPr>
          <w:rFonts w:ascii="Times New Roman" w:hAnsi="Times New Roman"/>
          <w:b/>
          <w:color w:val="000000"/>
          <w:sz w:val="20"/>
        </w:rPr>
        <w:t>Registrable Securities then outstanding</w:t>
      </w:r>
      <w:r>
        <w:rPr>
          <w:rFonts w:ascii="Times New Roman" w:hAnsi="Times New Roman"/>
          <w:color w:val="000000"/>
          <w:sz w:val="20"/>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1.17     “</w:t>
      </w:r>
      <w:r>
        <w:rPr>
          <w:rFonts w:ascii="Times New Roman" w:hAnsi="Times New Roman"/>
          <w:b/>
          <w:color w:val="000000"/>
          <w:sz w:val="20"/>
        </w:rPr>
        <w:t>Registration</w:t>
      </w:r>
      <w:r>
        <w:rPr>
          <w:rFonts w:ascii="Times New Roman" w:hAnsi="Times New Roman"/>
          <w:color w:val="000000"/>
          <w:sz w:val="20"/>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1.18       “</w:t>
      </w:r>
      <w:r>
        <w:rPr>
          <w:rFonts w:ascii="Times New Roman" w:hAnsi="Times New Roman"/>
          <w:b/>
          <w:color w:val="000000"/>
          <w:sz w:val="20"/>
        </w:rPr>
        <w:t>Rule 144</w:t>
      </w:r>
      <w:r>
        <w:rPr>
          <w:rFonts w:ascii="Times New Roman" w:hAnsi="Times New Roman"/>
          <w:color w:val="000000"/>
          <w:sz w:val="20"/>
        </w:rPr>
        <w:t>” means Rule 144 promulgated by the SEC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1.19       “</w:t>
      </w:r>
      <w:r>
        <w:rPr>
          <w:rFonts w:ascii="Times New Roman" w:hAnsi="Times New Roman"/>
          <w:b/>
          <w:color w:val="000000"/>
          <w:sz w:val="20"/>
        </w:rPr>
        <w:t>Rule 415</w:t>
      </w:r>
      <w:r>
        <w:rPr>
          <w:rFonts w:ascii="Times New Roman" w:hAnsi="Times New Roman"/>
          <w:color w:val="000000"/>
          <w:sz w:val="20"/>
        </w:rPr>
        <w:t>” means Rule 415 promulgated by the SEC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1.20       “</w:t>
      </w:r>
      <w:r>
        <w:rPr>
          <w:rFonts w:ascii="Times New Roman" w:hAnsi="Times New Roman"/>
          <w:b/>
          <w:color w:val="000000"/>
          <w:sz w:val="20"/>
        </w:rPr>
        <w:t>SEC</w:t>
      </w:r>
      <w:r>
        <w:rPr>
          <w:rFonts w:ascii="Times New Roman" w:hAnsi="Times New Roman"/>
          <w:color w:val="000000"/>
          <w:sz w:val="20"/>
        </w:rPr>
        <w:t>” means the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1.21      “</w:t>
      </w:r>
      <w:r>
        <w:rPr>
          <w:rFonts w:ascii="Times New Roman" w:hAnsi="Times New Roman"/>
          <w:b/>
          <w:color w:val="000000"/>
          <w:sz w:val="20"/>
        </w:rPr>
        <w:t>SEC Guidance</w:t>
      </w:r>
      <w:r>
        <w:rPr>
          <w:rFonts w:ascii="Times New Roman" w:hAnsi="Times New Roman"/>
          <w:color w:val="000000"/>
          <w:sz w:val="20"/>
        </w:rPr>
        <w:t>” means (i) any publicly-available written or oral guidance of the SEC staff, or any comments, requirements or requests of the SEC staff (whether or not publicly available) under the Securities Act; provided, that any such oral guidance, comments, requirements or requests are reduced to writing by the SEC; and (ii)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1.22       “</w:t>
      </w:r>
      <w:r>
        <w:rPr>
          <w:rFonts w:ascii="Times New Roman" w:hAnsi="Times New Roman"/>
          <w:b/>
          <w:color w:val="000000"/>
          <w:sz w:val="20"/>
        </w:rPr>
        <w:t>Securities Act</w:t>
      </w:r>
      <w:r>
        <w:rPr>
          <w:rFonts w:ascii="Times New Roman" w:hAnsi="Times New Roman"/>
          <w:color w:val="000000"/>
          <w:sz w:val="20"/>
        </w:rPr>
        <w:t>” means the Securities Act of 1933, as amended, and the rules and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1.23      “</w:t>
      </w:r>
      <w:r>
        <w:rPr>
          <w:rFonts w:ascii="Times New Roman" w:hAnsi="Times New Roman"/>
          <w:b/>
          <w:color w:val="000000"/>
          <w:sz w:val="20"/>
        </w:rPr>
        <w:t>Selling Expenses</w:t>
      </w:r>
      <w:r>
        <w:rPr>
          <w:rFonts w:ascii="Times New Roman" w:hAnsi="Times New Roman"/>
          <w:color w:val="000000"/>
          <w:sz w:val="20"/>
        </w:rPr>
        <w:t xml:space="preserve">” means all underwriting discounts selling commissions applicable to the sale of Registrable Securities and all similar fees and commissions relating to a Holder’s disposition of its Registrable Securities, except for the fees and disbursements of the Selling Holder Counsel borne and paid by the Company as provided in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Registration Rights</w:t>
      </w:r>
      <w:r>
        <w:rPr>
          <w:rFonts w:ascii="Times New Roman" w:hAnsi="Times New Roman"/>
          <w:color w:val="000000"/>
          <w:sz w:val="20"/>
        </w:rPr>
        <w:t>. The Company covenants and agrees as follows: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2.1         </w:t>
      </w:r>
      <w:r>
        <w:rPr>
          <w:rFonts w:ascii="Times New Roman" w:hAnsi="Times New Roman"/>
          <w:color w:val="000000"/>
          <w:sz w:val="20"/>
          <w:u w:val="single"/>
        </w:rPr>
        <w:t>Mandatory Registration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The Company shall, as promptly as reasonably practicable and in any event no later than the later of (x) 45 days after the Closing Date and (y) the date upon which the Company shall have filed a current report on Form 8-K/A containing the financial statements of Marea and pro forma financial information required to be filed with the SEC in connection with the Merger (which Form 8-K/A shall be filed in any event no later than November 12, 2026) (the “</w:t>
      </w:r>
      <w:r>
        <w:rPr>
          <w:rFonts w:ascii="Times New Roman" w:hAnsi="Times New Roman"/>
          <w:b/>
          <w:color w:val="000000"/>
          <w:sz w:val="20"/>
        </w:rPr>
        <w:t>Filing Deadline</w:t>
      </w:r>
      <w:r>
        <w:rPr>
          <w:rFonts w:ascii="Times New Roman" w:hAnsi="Times New Roman"/>
          <w:color w:val="000000"/>
          <w:sz w:val="20"/>
        </w:rPr>
        <w:t>”), prepare and file with the SEC an initial registration statement (the “</w:t>
      </w:r>
      <w:r>
        <w:rPr>
          <w:rFonts w:ascii="Times New Roman" w:hAnsi="Times New Roman"/>
          <w:b/>
          <w:color w:val="000000"/>
          <w:sz w:val="20"/>
        </w:rPr>
        <w:t>Initial Registration Statement</w:t>
      </w:r>
      <w:r>
        <w:rPr>
          <w:rFonts w:ascii="Times New Roman" w:hAnsi="Times New Roman"/>
          <w:color w:val="000000"/>
          <w:sz w:val="20"/>
        </w:rPr>
        <w:t xml:space="preserve">”) covering the resale of all Registrable Securities.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Times New Roman" w:hAnsi="Times New Roman"/>
          <w:color w:val="000000"/>
          <w:sz w:val="20"/>
          <w:u w:val="single"/>
        </w:rPr>
        <w:t>Section 2.1(e)</w:t>
      </w:r>
      <w:r>
        <w:rPr>
          <w:rFonts w:ascii="Times New Roman" w:hAnsi="Times New Roman"/>
          <w:color w:val="000000"/>
          <w:sz w:val="20"/>
        </w:rPr>
        <w:t xml:space="preserve">. Notwithstanding the registration obligations set forth in this </w:t>
      </w:r>
      <w:r>
        <w:rPr>
          <w:rFonts w:ascii="Times New Roman" w:hAnsi="Times New Roman"/>
          <w:color w:val="000000"/>
          <w:sz w:val="20"/>
          <w:u w:val="single"/>
        </w:rPr>
        <w:t>Section 2.1</w:t>
      </w:r>
      <w:r>
        <w:rPr>
          <w:rFonts w:ascii="Times New Roman" w:hAnsi="Times New Roman"/>
          <w:color w:val="000000"/>
          <w:sz w:val="20"/>
        </w:rPr>
        <w:t>, in the event the SEC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SEC and/or (ii) withdraw the Initial Registration Statement and file a new registration statement (a “</w:t>
      </w:r>
      <w:r>
        <w:rPr>
          <w:rFonts w:ascii="Times New Roman" w:hAnsi="Times New Roman"/>
          <w:b/>
          <w:color w:val="000000"/>
          <w:sz w:val="20"/>
        </w:rPr>
        <w:t>New Registration Statement</w:t>
      </w:r>
      <w:r>
        <w:rPr>
          <w:rFonts w:ascii="Times New Roman" w:hAnsi="Times New Roman"/>
          <w:color w:val="000000"/>
          <w:sz w:val="20"/>
        </w:rPr>
        <w:t xml:space="preserve">”), in either case covering the maximum number of Registrable Securities permitted to be registered by the SEC, on Form S-3 or, if the Company is ineligible to register the Registrable Securities on Form S-3, such other form available to register for resale the Registrable Securities for sale by the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prior to filing such amendment or New Registration Statement, the Company shall be obligated to use its commercially reasonable efforts to advocate with the SEC for the registration of all of the Registrable Securities as a secondary offering in accordance with the SEC Guidance. Notwithstanding any other provision of this Agreement, if the SEC or any SEC Guidance sets forth a limitation of the number of Registrable Securities permitted to be registered on a particular registration statement (and notwithstanding that the Company used diligent efforts to advocate with the SEC for the registration of all or a greater number of Registrable Securities), unless otherwise directed in writing by a Holder as to its Registrable Securities, the number of Registrable Securities to be registered on such registration statement will be reduced in proportion (as nearly as practicable) to the number of Registrable Securities owned by each Holder, subject to a determination by the SEC that certain Holders must be reduced first based on the number of Registrable Securities held by such Holders. In the event of a cutback hereunder, the Company shall notify the Holder in writing as soon as practicable, and in any event within (1) Business Day of such determination, together with the calculations as to such Holder’s allotment. In the event the Company amends the Initial Registration Statement or files a New Registration Statement, as the case may be, in accordance with the foregoing, the Company will use its commercially reasonable efforts to file with the SEC, as promptly as allowed by the SEC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or the New Registration Statement. No Holder shall be named as an “underwriter” in any registration statement without such Holder’s prior written consent.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The Company shall use commercially reasonable efforts to have the Initial Registration Statement and any amendment thereto declared effective by the SEC at the earliest possible date but no later than the earlier of (x) the 60th calendar day following the earlier of (i) the initial filing date of the Initial Registration Statement and (ii) the Filing Deadline, if the SEC notifies the Company that it will “review” the Initial Registration Statement and (y) the fifth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color w:val="000000"/>
          <w:sz w:val="20"/>
        </w:rPr>
        <w:t>Effectiveness Deadline</w:t>
      </w:r>
      <w:r>
        <w:rPr>
          <w:rFonts w:ascii="Times New Roman" w:hAnsi="Times New Roman"/>
          <w:color w:val="000000"/>
          <w:sz w:val="20"/>
        </w:rPr>
        <w:t>”). The Company shall notify the Holders by e-mail as promptly as practicable, and in any event, within 24 hours, after the Initial Registration Statement is declared effective or is supplemented and shall provide the Holders with copies of any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Holders of all of the Registrable Securities covered thereby at all times until the earliest to occur of the following events: (i) the date on which the Holders shall have resold all the Registrable Securities covered thereby (whether pursuant to Rule 144, the registration statement or otherwise); (ii) the date on which the Registrable Securities may be resold by the Holders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and (iii) five years after the date of this Agreement (the “</w:t>
      </w:r>
      <w:r>
        <w:rPr>
          <w:rFonts w:ascii="Times New Roman" w:hAnsi="Times New Roman"/>
          <w:b/>
          <w:color w:val="000000"/>
          <w:sz w:val="20"/>
        </w:rPr>
        <w:t>Registration Period</w:t>
      </w:r>
      <w:r>
        <w:rPr>
          <w:rFonts w:ascii="Times New Roman" w:hAnsi="Times New Roman"/>
          <w:color w:val="000000"/>
          <w:sz w:val="20"/>
        </w:rPr>
        <w:t>”). The Company shall promptly notify the Holders via e-mail of the effectiveness of a registration statement or any post-effective amendment thereto on the same Business Day that the Company telephonically confirms effectiveness with the SEC, which date of confirmation shall initially be the date requested for effectiveness of such registration statement. The Company shall, by 9:30 a.m. New York City time on the first Business Day after the effective date of such registration, file a final prospectus with the SEC as required by Rule 424(b) and provide the Holders with copies of the final prospectus to be used in connection with the sale or other disposition of the securities covered thereby. The Company shall promptly inform each Holder in writing if, at any time during the Registration Period, the Company does not satisfy the conditions specified in Rule 172 and, as a result thereof, the Holder is required to deliver a prospectus in connection with any disposition of Registrable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(c)        On no more than two occasions in any 12 month period for not more than 30 consecutive days or for a total of not more than 60 days, the Company may delay the effectiveness of the Initial Registration Statement or any other Registration Statement, or suspend the use of any prospectus, in the event that the Company or Board of Directors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color w:val="000000"/>
          <w:sz w:val="20"/>
        </w:rPr>
        <w:t>Allowed Delay</w:t>
      </w:r>
      <w:r>
        <w:rPr>
          <w:rFonts w:ascii="Times New Roman" w:hAnsi="Times New Roman"/>
          <w:color w:val="000000"/>
          <w:sz w:val="20"/>
        </w:rPr>
        <w:t>”); provided, that the Company shall promptly (a) notify each Holder in writing of the commencement of an Allowed Delay, but shall not (without the prior written consent of an Investor) disclose to such Investor any material non-public information giving rise to an Allowed Delay, (b) advise the Holders in writing to cease all sales under the applicable Registration Statement until the end of the Allowed Delay and (c) use commercially reasonable efforts to terminate an Allowed Delay as promptly as practicable.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(d)         Each Holder of Registrable Securities to be sold agrees to furnish to the Company a completed form of questionnaire in the form attached hereto as </w:t>
      </w:r>
      <w:r>
        <w:rPr>
          <w:rFonts w:ascii="Times New Roman" w:hAnsi="Times New Roman"/>
          <w:color w:val="000000"/>
          <w:sz w:val="20"/>
          <w:u w:val="single"/>
        </w:rPr>
        <w:t>Exhibit A</w:t>
      </w:r>
      <w:r>
        <w:rPr>
          <w:rFonts w:ascii="Times New Roman" w:hAnsi="Times New Roman"/>
          <w:color w:val="000000"/>
          <w:sz w:val="20"/>
        </w:rPr>
        <w:t>, or equivalent information, provided to the Company in connection with the preparation of a registration statement (the “</w:t>
      </w:r>
      <w:r>
        <w:rPr>
          <w:rFonts w:ascii="Times New Roman" w:hAnsi="Times New Roman"/>
          <w:b/>
          <w:color w:val="000000"/>
          <w:sz w:val="20"/>
        </w:rPr>
        <w:t>Selling Shareholder Questionnaire</w:t>
      </w:r>
      <w:r>
        <w:rPr>
          <w:rFonts w:ascii="Times New Roman" w:hAnsi="Times New Roman"/>
          <w:color w:val="000000"/>
          <w:sz w:val="20"/>
        </w:rPr>
        <w:t xml:space="preserve">”) not less than five (5) Business Days prior to the anticipated filing date of such registration statement. Each Holder further agrees that it shall not be entitled to be named as a selling securityholder in the registration statement or use the prospectus for offers and resales of Registrable Securities at any time, unless such Holder has provided such information to the Company and responded to any reasonable requests for further information. Each Holder acknowledges and agrees that the information in the Selling Shareholder Questionnaire or any request for further information as described in this </w:t>
      </w:r>
      <w:r>
        <w:rPr>
          <w:rFonts w:ascii="Times New Roman" w:hAnsi="Times New Roman"/>
          <w:color w:val="000000"/>
          <w:sz w:val="20"/>
          <w:u w:val="single"/>
        </w:rPr>
        <w:t>Section 2.1(d)</w:t>
      </w:r>
      <w:r>
        <w:rPr>
          <w:rFonts w:ascii="Times New Roman" w:hAnsi="Times New Roman"/>
          <w:color w:val="000000"/>
          <w:sz w:val="20"/>
        </w:rPr>
        <w:t xml:space="preserve"> will be used by the Company in the preparation of the registration statement and hereby consents to the inclusion of such information in the registration statement (subject to such Holder’s right to timely review the registration statement as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(e)         In the event that Form S-3 ceases to be available for the registration of the resale of Registrable Securities hereunder, the Company shall (i) register the resale of the Registrable Securities on another appropriate form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(f)       Registrations effected by the Company pursuant to this </w:t>
      </w:r>
      <w:r>
        <w:rPr>
          <w:rFonts w:ascii="Times New Roman" w:hAnsi="Times New Roman"/>
          <w:color w:val="000000"/>
          <w:sz w:val="20"/>
          <w:u w:val="single"/>
        </w:rPr>
        <w:t>Section 2.1</w:t>
      </w:r>
      <w:r>
        <w:rPr>
          <w:rFonts w:ascii="Times New Roman" w:hAnsi="Times New Roman"/>
          <w:color w:val="000000"/>
          <w:sz w:val="20"/>
        </w:rPr>
        <w:t xml:space="preserve"> shall not be counted as demand registrations effected pursuant to </w:t>
      </w:r>
      <w:r>
        <w:rPr>
          <w:rFonts w:ascii="Times New Roman" w:hAnsi="Times New Roman"/>
          <w:color w:val="000000"/>
          <w:sz w:val="20"/>
          <w:u w:val="single"/>
        </w:rPr>
        <w:t>Section 2.2</w:t>
      </w:r>
      <w:r>
        <w:rPr>
          <w:rFonts w:ascii="Times New Roman" w:hAnsi="Times New Roman"/>
          <w:color w:val="000000"/>
          <w:sz w:val="20"/>
        </w:rPr>
        <w:t xml:space="preserve">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2.2         </w:t>
      </w:r>
      <w:r>
        <w:rPr>
          <w:rFonts w:ascii="Times New Roman" w:hAnsi="Times New Roman"/>
          <w:color w:val="000000"/>
          <w:sz w:val="20"/>
          <w:u w:val="single"/>
        </w:rPr>
        <w:t>Demand Registration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Form S-1 Demand</w:t>
      </w:r>
      <w:r>
        <w:rPr>
          <w:rFonts w:ascii="Times New Roman" w:hAnsi="Times New Roman"/>
          <w:color w:val="000000"/>
          <w:sz w:val="20"/>
        </w:rPr>
        <w:t>. If, at any time after March 15, 2027, the Company is not eligible to use a Form S-3 registration statement and the Company receives a request from Holders of at least ten percent (10%) of the Registrable Securities then outstanding that the Company file a Form S-1 registration statement with respect to outstanding Registrable Securities of such Holders having an anticipated aggregate offering price, net of Selling Expenses, of at least five million dollars ($5,000,000), then the Company shall (x) within ten (10) days after the date such request is given, give notice thereof (the “</w:t>
      </w:r>
      <w:r>
        <w:rPr>
          <w:rFonts w:ascii="Times New Roman" w:hAnsi="Times New Roman"/>
          <w:b/>
          <w:color w:val="000000"/>
          <w:sz w:val="20"/>
        </w:rPr>
        <w:t>Demand Notice</w:t>
      </w:r>
      <w:r>
        <w:rPr>
          <w:rFonts w:ascii="Times New Roman" w:hAnsi="Times New Roman"/>
          <w:color w:val="000000"/>
          <w:sz w:val="20"/>
        </w:rPr>
        <w:t xml:space="preserve">”) to all Holders other than the Initiating Holders; and (y) as soon as practicable, and in any event within sixty (60) days after the date such request is given by the Initiating Holders, file a Form S-1 registration statement under the Securities Act covering the resale of all Registrable Securities that the Initiating Holders requested to be registered and, if applicable,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hAnsi="Times New Roman"/>
          <w:color w:val="000000"/>
          <w:sz w:val="20"/>
          <w:u w:val="single"/>
        </w:rPr>
        <w:t>Sections 2.2(c)</w:t>
      </w:r>
      <w:r>
        <w:rPr>
          <w:rFonts w:ascii="Times New Roman" w:hAnsi="Times New Roman"/>
          <w:color w:val="000000"/>
          <w:sz w:val="20"/>
        </w:rPr>
        <w:t xml:space="preserve"> and </w:t>
      </w:r>
      <w:r>
        <w:rPr>
          <w:rFonts w:ascii="Times New Roman" w:hAnsi="Times New Roman"/>
          <w:color w:val="000000"/>
          <w:sz w:val="20"/>
          <w:u w:val="single"/>
        </w:rPr>
        <w:t>2.4</w:t>
      </w:r>
      <w:r>
        <w:rPr>
          <w:rFonts w:ascii="Times New Roman" w:hAnsi="Times New Roman"/>
          <w:color w:val="000000"/>
          <w:sz w:val="20"/>
        </w:rPr>
        <w:t>. The Company shall use its commercially reasonable efforts to cause such registration statement to become effective as soon as practicable after filing, but no later than the earlier of (i) forty-five (45) calendar days after the filing of such registration statement (or seventy-five (75) calendar days after the filing of such registration statement if the SEC notifies the Company that it will “review” such registration statement) and (ii) five (5) Business Days after the Company is notified (orally or in writing, whichever is earlier) by the SEC that such registration statement will not be “reviewed” or will not be subject to further review.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Form S-3 Demand</w:t>
      </w:r>
      <w:r>
        <w:rPr>
          <w:rFonts w:ascii="Times New Roman" w:hAnsi="Times New Roman"/>
          <w:color w:val="000000"/>
          <w:sz w:val="20"/>
        </w:rPr>
        <w:t xml:space="preserve">. If, at any time after March 15, 2027, the Company is eligible to use a Form S-3 registration statement and the Company receives a request from Holders of the Registrable Securities then outstanding that the Company file a Form S-3 registration statement with respect to outstanding Registrable Securities of such Holders having an anticipated aggregate offering price, net of Selling Expenses, of at least one million dollars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the resale of all Registrable Securities that the Initiating Holders requested to be registered and, if applicable,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hAnsi="Times New Roman"/>
          <w:color w:val="000000"/>
          <w:sz w:val="20"/>
          <w:u w:val="single"/>
        </w:rPr>
        <w:t>Sections 2.2(c)</w:t>
      </w:r>
      <w:r>
        <w:rPr>
          <w:rFonts w:ascii="Times New Roman" w:hAnsi="Times New Roman"/>
          <w:color w:val="000000"/>
          <w:sz w:val="20"/>
        </w:rPr>
        <w:t xml:space="preserve"> and </w:t>
      </w:r>
      <w:r>
        <w:rPr>
          <w:rFonts w:ascii="Times New Roman" w:hAnsi="Times New Roman"/>
          <w:color w:val="000000"/>
          <w:sz w:val="20"/>
          <w:u w:val="single"/>
        </w:rPr>
        <w:t>2.4</w:t>
      </w:r>
      <w:r>
        <w:rPr>
          <w:rFonts w:ascii="Times New Roman" w:hAnsi="Times New Roman"/>
          <w:color w:val="000000"/>
          <w:sz w:val="20"/>
        </w:rPr>
        <w:t>. The Company shall use its commercially reasonable efforts to cause such registration statement to become effective as soon as practicable after filing, but no later than the earlier of (i) forty-five (45) calendar days after the filing of such registration statement (or seventy-five (75) calendar days after the filing of such registration statement if the SEC notifies the Company that it will “review” such registration statement) and (ii) five (5) Business Days after the Company is notified (orally or in writing, whichever is earlier) by the SEC that such registration statement will not be “reviewed” or will not be subject to further review.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(c)         Notwithstanding the foregoing obligations, if the Company furnishes to Holders requesting a registration pursuant to this </w:t>
      </w:r>
      <w:r>
        <w:rPr>
          <w:rFonts w:ascii="Times New Roman" w:hAnsi="Times New Roman"/>
          <w:color w:val="000000"/>
          <w:sz w:val="20"/>
          <w:u w:val="single"/>
        </w:rPr>
        <w:t>Section 2.2</w:t>
      </w:r>
      <w:r>
        <w:rPr>
          <w:rFonts w:ascii="Times New Roman" w:hAnsi="Times New Roman"/>
          <w:color w:val="000000"/>
          <w:sz w:val="20"/>
        </w:rPr>
        <w:t xml:space="preserve"> a certificate signed by the Company’s chief executive officer or other most senior executive officer then in office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for any registration pursuant to </w:t>
      </w:r>
      <w:r>
        <w:rPr>
          <w:rFonts w:ascii="Times New Roman" w:hAnsi="Times New Roman"/>
          <w:color w:val="000000"/>
          <w:sz w:val="20"/>
          <w:u w:val="single"/>
        </w:rPr>
        <w:t>Section 2.2(a)</w:t>
      </w:r>
      <w:r>
        <w:rPr>
          <w:rFonts w:ascii="Times New Roman" w:hAnsi="Times New Roman"/>
          <w:color w:val="000000"/>
          <w:sz w:val="20"/>
        </w:rPr>
        <w:t xml:space="preserve">, or not more than sixty (60) days after the request of the Initiating Holders is given for any registration pursuant to </w:t>
      </w:r>
      <w:r>
        <w:rPr>
          <w:rFonts w:ascii="Times New Roman" w:hAnsi="Times New Roman"/>
          <w:color w:val="000000"/>
          <w:sz w:val="20"/>
          <w:u w:val="single"/>
        </w:rPr>
        <w:t>Section 2.2(b)</w:t>
      </w:r>
      <w:r>
        <w:rPr>
          <w:rFonts w:ascii="Times New Roman" w:hAnsi="Times New Roman"/>
          <w:color w:val="000000"/>
          <w:sz w:val="20"/>
        </w:rPr>
        <w:t>; provided, however, that the Company may not invoke this right more than twice in any twelve (12) month period; and provided further that the Company shall not register any securities for its own account or that of any other stockholder during such ninety (90) day or sixty (60) day periods, other than an Excluded Registration.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(d)       The Company shall not be obligated to effect, or to take any action to effect, any registration pursuant to </w:t>
      </w:r>
      <w:r>
        <w:rPr>
          <w:rFonts w:ascii="Times New Roman" w:hAnsi="Times New Roman"/>
          <w:color w:val="000000"/>
          <w:sz w:val="20"/>
          <w:u w:val="single"/>
        </w:rPr>
        <w:t>Section 2.2(a)</w:t>
      </w:r>
      <w:r>
        <w:rPr>
          <w:rFonts w:ascii="Times New Roman" w:hAnsi="Times New Roman"/>
          <w:color w:val="000000"/>
          <w:sz w:val="20"/>
        </w:rPr>
        <w:t xml:space="preserve">: (i) during the period that is sixty (60)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(ii) after the Company has effected two (2) registrations pursuant to </w:t>
      </w:r>
      <w:r>
        <w:rPr>
          <w:rFonts w:ascii="Times New Roman" w:hAnsi="Times New Roman"/>
          <w:color w:val="000000"/>
          <w:sz w:val="20"/>
          <w:u w:val="single"/>
        </w:rPr>
        <w:t>Section 2.2(a)</w:t>
      </w:r>
      <w:r>
        <w:rPr>
          <w:rFonts w:ascii="Times New Roman" w:hAnsi="Times New Roman"/>
          <w:color w:val="000000"/>
          <w:sz w:val="20"/>
        </w:rPr>
        <w:t xml:space="preserve">; or (iii) if the Initiating Holders propose to dispose of Registrable Securities that may be immediately registered on Form S-3 pursuant to a request made pursuant to </w:t>
      </w:r>
      <w:r>
        <w:rPr>
          <w:rFonts w:ascii="Times New Roman" w:hAnsi="Times New Roman"/>
          <w:color w:val="000000"/>
          <w:sz w:val="20"/>
          <w:u w:val="single"/>
        </w:rPr>
        <w:t>Section 2.2(b)</w:t>
      </w:r>
      <w:r>
        <w:rPr>
          <w:rFonts w:ascii="Times New Roman" w:hAnsi="Times New Roman"/>
          <w:color w:val="000000"/>
          <w:sz w:val="20"/>
        </w:rPr>
        <w:t xml:space="preserve">. The Company shall not be obligated to effect, or to take any action to effect, any registration pursuant to </w:t>
      </w:r>
      <w:r>
        <w:rPr>
          <w:rFonts w:ascii="Times New Roman" w:hAnsi="Times New Roman"/>
          <w:color w:val="000000"/>
          <w:sz w:val="20"/>
          <w:u w:val="single"/>
        </w:rPr>
        <w:t>Section 2.2(b)</w:t>
      </w:r>
      <w:r>
        <w:rPr>
          <w:rFonts w:ascii="Times New Roman" w:hAnsi="Times New Roman"/>
          <w:color w:val="000000"/>
          <w:sz w:val="20"/>
        </w:rPr>
        <w:t xml:space="preserve">: (x)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(y) if the Company has effected two (2) registrations pursuant </w:t>
      </w:r>
      <w:r>
        <w:rPr>
          <w:rFonts w:ascii="Times New Roman" w:hAnsi="Times New Roman"/>
          <w:color w:val="000000"/>
          <w:sz w:val="20"/>
          <w:u w:val="single"/>
        </w:rPr>
        <w:t>to Section 2.2(b)</w:t>
      </w:r>
      <w:r>
        <w:rPr>
          <w:rFonts w:ascii="Times New Roman" w:hAnsi="Times New Roman"/>
          <w:color w:val="000000"/>
          <w:sz w:val="20"/>
        </w:rPr>
        <w:t xml:space="preserve">. A registration shall not be counted as “effected” for purposes of this </w:t>
      </w:r>
      <w:r>
        <w:rPr>
          <w:rFonts w:ascii="Times New Roman" w:hAnsi="Times New Roman"/>
          <w:color w:val="000000"/>
          <w:sz w:val="20"/>
          <w:u w:val="single"/>
        </w:rPr>
        <w:t>Section 2.2(d)</w:t>
      </w:r>
      <w:r>
        <w:rPr>
          <w:rFonts w:ascii="Times New Roman" w:hAnsi="Times New Roman"/>
          <w:color w:val="000000"/>
          <w:sz w:val="20"/>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hAnsi="Times New Roman"/>
          <w:color w:val="000000"/>
          <w:sz w:val="20"/>
          <w:u w:val="single"/>
        </w:rPr>
        <w:t>Section 2.8</w:t>
      </w:r>
      <w:r>
        <w:rPr>
          <w:rFonts w:ascii="Times New Roman" w:hAnsi="Times New Roman"/>
          <w:color w:val="000000"/>
          <w:sz w:val="20"/>
        </w:rPr>
        <w:t xml:space="preserve">, in which case such withdrawn registration statement shall be counted as “effected” for purposes of this </w:t>
      </w:r>
      <w:r>
        <w:rPr>
          <w:rFonts w:ascii="Times New Roman" w:hAnsi="Times New Roman"/>
          <w:color w:val="000000"/>
          <w:sz w:val="20"/>
          <w:u w:val="single"/>
        </w:rPr>
        <w:t>Section 2.2(d)</w:t>
      </w:r>
      <w:r>
        <w:rPr>
          <w:rFonts w:ascii="Times New Roman" w:hAnsi="Times New Roman"/>
          <w:color w:val="000000"/>
          <w:sz w:val="20"/>
        </w:rPr>
        <w:t xml:space="preserve">; provided that if such withdrawal is during a period the Company has deferred taking action pursuant to </w:t>
      </w:r>
      <w:r>
        <w:rPr>
          <w:rFonts w:ascii="Times New Roman" w:hAnsi="Times New Roman"/>
          <w:color w:val="000000"/>
          <w:sz w:val="20"/>
          <w:u w:val="single"/>
        </w:rPr>
        <w:t>Section 2.2(c)</w:t>
      </w:r>
      <w:r>
        <w:rPr>
          <w:rFonts w:ascii="Times New Roman" w:hAnsi="Times New Roman"/>
          <w:color w:val="000000"/>
          <w:sz w:val="20"/>
        </w:rPr>
        <w:t xml:space="preserve"> then the Initiating Holders may withdraw their request for registration and such registration will not be counted as “effected” for purposes of this </w:t>
      </w:r>
      <w:r>
        <w:rPr>
          <w:rFonts w:ascii="Times New Roman" w:hAnsi="Times New Roman"/>
          <w:color w:val="000000"/>
          <w:sz w:val="20"/>
          <w:u w:val="single"/>
        </w:rPr>
        <w:t>Section 2.2(d)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2.3       </w:t>
      </w:r>
      <w:r>
        <w:rPr>
          <w:rFonts w:ascii="Times New Roman" w:hAnsi="Times New Roman"/>
          <w:color w:val="000000"/>
          <w:sz w:val="20"/>
          <w:u w:val="single"/>
        </w:rPr>
        <w:t>Company Registration</w:t>
      </w:r>
      <w:r>
        <w:rPr>
          <w:rFonts w:ascii="Times New Roman" w:hAnsi="Times New Roman"/>
          <w:color w:val="000000"/>
          <w:sz w:val="20"/>
        </w:rPr>
        <w:t>. If the Company proposes to file a registration statement under the Securities Act with respect to an offering of Common Stock for cash (other than a registration statement on Form S-4 or Form S-8, or a registration relating solely to an at-the-market offering or employee benefit plans), or to conduct an underwritten offering pursuant to any such registration statement, then the Company shall give each Holder written notice of such proposal and, upon the written request of any such Holder given within 5 Business Days after such notice, the Company shall include in such registration or offering the Registrable Securities requested to be included therein. The right of any Holder to include its Registrable Securities in such a registration shall be conditioned upon such Holder’s participation in the underwriting (if applicable) and the inclusion of such Holder’s Registrable Securities in the underwriting to the extent provided herein. All Holders proposing to sell any Registrable Securities through such underwriting shall enter into an underwriting agreement in customary form with the underwriter selected for such underwriting. Notwithstanding anything herein to the contrary, if the underwriter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(other than Holders who failed to timely elect to include their Registrable Securities in such underwriting or who indicated their decision not to do so), and indicate to each such Holder the number of Registrable Securities that may be included in such registration and underwriting, if any. The number of Registrable Securities to be included in such registration and underwriting shall be allocated first (i) to the Company, then (ii) to (A) Holders who have requested to sell in the registration and (B) selling shareholders who possess piggyback registration rights pursuant to that certain Registration Rights Agreement, dated on or about the date hereof, by and among the Company and the Investors signatory thereto (the “</w:t>
      </w:r>
      <w:r>
        <w:rPr>
          <w:rFonts w:ascii="Times New Roman" w:hAnsi="Times New Roman"/>
          <w:b/>
          <w:color w:val="000000"/>
          <w:sz w:val="20"/>
        </w:rPr>
        <w:t>Lisata RRA</w:t>
      </w:r>
      <w:r>
        <w:rPr>
          <w:rFonts w:ascii="Times New Roman" w:hAnsi="Times New Roman"/>
          <w:color w:val="000000"/>
          <w:sz w:val="20"/>
        </w:rPr>
        <w:t xml:space="preserve">”), who have requested to sell in the registration, in each case of (A) and (B) on a pro rata basis according to the number of Registrable Securities (as defined in this Agreement and in the Lisata RRA) requested to be included therein, and then (iii) to all other selling shareholders. If any Holder disapproves of the terms of any such underwriting, such Holder may elect to withdraw such Holder’s Registrable Securities therefrom by delivering a written notice to the Company and the underwriter. A Holder whose Registrable Securities are included in any registration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 The Company shall have the right to terminate or withdraw any registration initiated by it before the effective date of such registration, whether or not any Holder has elected to include Registrable Securities in such registration. Notwithstanding the foregoing, the Company shall not be required to register any Registrable Securities pursuant to this </w:t>
      </w:r>
      <w:r>
        <w:rPr>
          <w:rFonts w:ascii="Times New Roman" w:hAnsi="Times New Roman"/>
          <w:color w:val="000000"/>
          <w:sz w:val="20"/>
          <w:u w:val="single"/>
        </w:rPr>
        <w:t>Section 2.3</w:t>
      </w:r>
      <w:r>
        <w:rPr>
          <w:rFonts w:ascii="Times New Roman" w:hAnsi="Times New Roman"/>
          <w:color w:val="000000"/>
          <w:sz w:val="20"/>
        </w:rPr>
        <w:t xml:space="preserve"> that are eligible for resale pursuant to Rule 144 without restriction (other than Registrable Securities held by a Holder that is, or may reasonably be deemed to be, an affiliate of the Company) or that are the subject of a then-effective Registration Statement. The Company may postpone or withdraw the filing or effectiveness of any registration contemplated by this </w:t>
      </w:r>
      <w:r>
        <w:rPr>
          <w:rFonts w:ascii="Times New Roman" w:hAnsi="Times New Roman"/>
          <w:color w:val="000000"/>
          <w:sz w:val="20"/>
          <w:u w:val="single"/>
        </w:rPr>
        <w:t>Section 2.3</w:t>
      </w:r>
      <w:r>
        <w:rPr>
          <w:rFonts w:ascii="Times New Roman" w:hAnsi="Times New Roman"/>
          <w:color w:val="000000"/>
          <w:sz w:val="20"/>
        </w:rPr>
        <w:t xml:space="preserve"> at any time in its sole discretion; provided that if the Company postpones or withdraws a registration or offering in which any Holder has elected to include Registrable Securities, the rights of the Holders under this Section shall continue to apply to any subsequent registration or offering.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2.4         </w:t>
      </w:r>
      <w:r>
        <w:rPr>
          <w:rFonts w:ascii="Times New Roman" w:hAnsi="Times New Roman"/>
          <w:color w:val="000000"/>
          <w:sz w:val="20"/>
          <w:u w:val="single"/>
        </w:rPr>
        <w:t>Underwriting Requirements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If, pursuant to </w:t>
      </w:r>
      <w:r>
        <w:rPr>
          <w:rFonts w:ascii="Times New Roman" w:hAnsi="Times New Roman"/>
          <w:color w:val="000000"/>
          <w:sz w:val="20"/>
          <w:u w:val="single"/>
        </w:rPr>
        <w:t>Section 2.2</w:t>
      </w:r>
      <w:r>
        <w:rPr>
          <w:rFonts w:ascii="Times New Roman" w:hAnsi="Times New Roman"/>
          <w:color w:val="000000"/>
          <w:sz w:val="20"/>
        </w:rPr>
        <w:t xml:space="preserve">, the Initiating Holders intend to distribute the Registrable Securities covered by their request by means of an underwriting, they shall so advise the Company as a part of their request made pursuant to </w:t>
      </w:r>
      <w:r>
        <w:rPr>
          <w:rFonts w:ascii="Times New Roman" w:hAnsi="Times New Roman"/>
          <w:color w:val="000000"/>
          <w:sz w:val="20"/>
          <w:u w:val="single"/>
        </w:rPr>
        <w:t>Section 2.2</w:t>
      </w:r>
      <w:r>
        <w:rPr>
          <w:rFonts w:ascii="Times New Roman" w:hAnsi="Times New Roman"/>
          <w:color w:val="000000"/>
          <w:sz w:val="20"/>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hAnsi="Times New Roman"/>
          <w:color w:val="000000"/>
          <w:sz w:val="20"/>
          <w:u w:val="single"/>
        </w:rPr>
        <w:t>Section 2.5(e)</w:t>
      </w:r>
      <w:r>
        <w:rPr>
          <w:rFonts w:ascii="Times New Roman" w:hAnsi="Times New Roman"/>
          <w:color w:val="000000"/>
          <w:sz w:val="20"/>
        </w:rPr>
        <w:t xml:space="preserve">) enter into an underwriting agreement in customary form with the underwriter(s) selected for such underwriting; provided, however,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 w:hAnsi="Times New Roman"/>
          <w:color w:val="000000"/>
          <w:sz w:val="20"/>
          <w:u w:val="single"/>
        </w:rPr>
        <w:t>Section 2.4</w:t>
      </w:r>
      <w:r>
        <w:rPr>
          <w:rFonts w:ascii="Times New Roman" w:hAnsi="Times New Roman"/>
          <w:color w:val="000000"/>
          <w:sz w:val="20"/>
        </w:rPr>
        <w:t xml:space="preserve">, if the managing underwriter advises the Initiating Holders in writing that marketing factors require a limitation on the maximum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such Holder (or in such other proportion as shall mutually be agreed to by all such selling Holders); provided, however, that the number of Registrable Securities held by the Holders to be included in such underwriting shall not be reduced unless all other securities are first entirely excluded from the underwriting. To facilitate the allocation of shares in accordance with this </w:t>
      </w:r>
      <w:r>
        <w:rPr>
          <w:rFonts w:ascii="Times New Roman" w:hAnsi="Times New Roman"/>
          <w:color w:val="000000"/>
          <w:sz w:val="20"/>
          <w:u w:val="single"/>
        </w:rPr>
        <w:t>Section 2.4(a)</w:t>
      </w:r>
      <w:r>
        <w:rPr>
          <w:rFonts w:ascii="Times New Roman" w:hAnsi="Times New Roman"/>
          <w:color w:val="000000"/>
          <w:sz w:val="20"/>
        </w:rPr>
        <w:t>, the Company or the underwriters may round the number of shares allocated to any Holder to the nearest one hundred (100) shares.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In connection with any offering involving an underwriting of shares of the Company’s capital stock pursuant to </w:t>
      </w:r>
      <w:r>
        <w:rPr>
          <w:rFonts w:ascii="Times New Roman" w:hAnsi="Times New Roman"/>
          <w:color w:val="000000"/>
          <w:sz w:val="20"/>
          <w:u w:val="single"/>
        </w:rPr>
        <w:t>Section 2.2</w:t>
      </w:r>
      <w:r>
        <w:rPr>
          <w:rFonts w:ascii="Times New Roman" w:hAnsi="Times New Roman"/>
          <w:color w:val="000000"/>
          <w:sz w:val="20"/>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the number of Registrable Securities included in the offering be reduced below thirty-three percent (33%) of the total number of securities included in such offering.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2.5        </w:t>
      </w:r>
      <w:r>
        <w:rPr>
          <w:rFonts w:ascii="Times New Roman" w:hAnsi="Times New Roman"/>
          <w:color w:val="000000"/>
          <w:sz w:val="20"/>
          <w:u w:val="single"/>
        </w:rPr>
        <w:t>Obligations of the Company.</w:t>
      </w:r>
      <w:r>
        <w:rPr>
          <w:rFonts w:ascii="Times New Roman" w:hAnsi="Times New Roman"/>
          <w:color w:val="000000"/>
          <w:sz w:val="20"/>
        </w:rPr>
        <w:t xml:space="preserve"> Whenever required under this </w:t>
      </w:r>
      <w:r>
        <w:rPr>
          <w:rFonts w:ascii="Times New Roman" w:hAnsi="Times New Roman"/>
          <w:color w:val="000000"/>
          <w:sz w:val="20"/>
          <w:u w:val="single"/>
        </w:rPr>
        <w:t>Section 2</w:t>
      </w:r>
      <w:r>
        <w:rPr>
          <w:rFonts w:ascii="Times New Roman" w:hAnsi="Times New Roman"/>
          <w:color w:val="000000"/>
          <w:sz w:val="20"/>
        </w:rPr>
        <w:t xml:space="preserve"> to effect the registration of any Registrable Securities, the Company shall, as expeditiously as reasonably possible: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provided, however,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(c)         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(d)        use its commercially reasonable efforts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(e)       in the event of any underwritten public offering, enter into and perform its obligations under an underwriting agreement, in usual and customary form, with the underwriter(s) of such offering;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(f)          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(g)         provide a transfer agent and registrar for all Registrable Securities registered pursuant to this Agreement and provide a CUSIP number for all such Registrable Securities, in each case not later than the effective date of such registration;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(h)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notify each selling Holder, promptly after the Company receives notice thereof, of the time when such registration statement has been declared effective or a supplement to any prospectus forming a part of such registration statement has been filed;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(j)        after such registration statement becomes effective, notify each selling Holder of any request by the SEC that the Company amend or supplement such registration statement or prospectus;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(k)         promptly advise each selling Holder of Registrable Securities after it shall receive notice or obtain knowledge thereof, of the issuance of any stop order by the SEC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(l)         notify each of the Holders in writing if a registration statement or prospectus contains a Misstatement. and promptly prepare and file any required supplement or amendment correcting any Misstatement promptly after the time of such notice and, if necessary, request the immediate effectiveness thereof;</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(m)      obtain a “cold comfort” letter from the Company’s independent registered public accountants in the event of an underwritten offering,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(n)       on the date the Registrable Securities are delivered for sale pursuant to a registration statement, in the event of an underwritten offering, obtain an opinion, dated such date, of counsel representing the Company for the purposes of such registration of Registrable Securities, addressed to the underwriter(s), covering such legal matters with respect to the registration of the Registrable Securities in respect of which such opinion is being given as the underwriter(s) may reasonably request and as are customarily included in such opinions and negative assurance letters;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(o)        if a registration of Registrable Securities, including an underwritten offering, involves the registration of Registrable Securities with anticipated gross proceeds in excess of $1,000,000, use its reasonable efforts to make available senior executives of the Company to participate in customary “road show” presentations that may be reasonably requested by the underwriter(s) in any underwritten offering.</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2.6       </w:t>
      </w:r>
      <w:r>
        <w:rPr>
          <w:rFonts w:ascii="Times New Roman" w:hAnsi="Times New Roman"/>
          <w:color w:val="000000"/>
          <w:sz w:val="20"/>
          <w:u w:val="single"/>
        </w:rPr>
        <w:t>Furnish Information.</w:t>
      </w:r>
      <w:r>
        <w:rPr>
          <w:rFonts w:ascii="Times New Roman" w:hAnsi="Times New Roman"/>
          <w:color w:val="000000"/>
          <w:sz w:val="20"/>
        </w:rPr>
        <w:t xml:space="preserve"> It shall be a condition precedent to the obligations of the Company to take any action pursuant to this </w:t>
      </w:r>
      <w:r>
        <w:rPr>
          <w:rFonts w:ascii="Times New Roman" w:hAnsi="Times New Roman"/>
          <w:color w:val="000000"/>
          <w:sz w:val="20"/>
          <w:u w:val="single"/>
        </w:rPr>
        <w:t>Section 2</w:t>
      </w:r>
      <w:r>
        <w:rPr>
          <w:rFonts w:ascii="Times New Roman" w:hAnsi="Times New Roman"/>
          <w:color w:val="000000"/>
          <w:sz w:val="20"/>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2.7       </w:t>
      </w:r>
      <w:r>
        <w:rPr>
          <w:rFonts w:ascii="Times New Roman" w:hAnsi="Times New Roman"/>
          <w:color w:val="000000"/>
          <w:sz w:val="20"/>
          <w:u w:val="single"/>
        </w:rPr>
        <w:t>Expenses of Registration</w:t>
      </w:r>
      <w:r>
        <w:rPr>
          <w:rFonts w:ascii="Times New Roman" w:hAnsi="Times New Roman"/>
          <w:color w:val="000000"/>
          <w:sz w:val="20"/>
        </w:rPr>
        <w:t xml:space="preserve">. All expenses (other than Selling Expenses) incurred in connection with registrations, filings or qualifications pursuant to </w:t>
      </w:r>
      <w:r>
        <w:rPr>
          <w:rFonts w:ascii="Times New Roman" w:hAnsi="Times New Roman"/>
          <w:color w:val="000000"/>
          <w:sz w:val="20"/>
          <w:u w:val="single"/>
        </w:rPr>
        <w:t>Section 2</w:t>
      </w:r>
      <w:r>
        <w:rPr>
          <w:rFonts w:ascii="Times New Roman" w:hAnsi="Times New Roman"/>
          <w:color w:val="000000"/>
          <w:sz w:val="20"/>
        </w:rPr>
        <w:t>, including all registration, filing, and qualification fees; printers’ and accounting fees; fees and disbursements of counsel for the Company; and the reasonable fees and disbursements, not to exceed fifty thousand dollars ($50,000), of one (1) counsel for the selling Holders (“</w:t>
      </w:r>
      <w:r>
        <w:rPr>
          <w:rFonts w:ascii="Times New Roman" w:hAnsi="Times New Roman"/>
          <w:b/>
          <w:color w:val="000000"/>
          <w:sz w:val="20"/>
        </w:rPr>
        <w:t>Selling Holder Counsel</w:t>
      </w:r>
      <w:r>
        <w:rPr>
          <w:rFonts w:ascii="Times New Roman" w:hAnsi="Times New Roman"/>
          <w:color w:val="000000"/>
          <w:sz w:val="20"/>
        </w:rPr>
        <w:t xml:space="preserve">”), selected by the Holders of a majority in interest of the Registrable Securities, shall be borne and paid by the Company; provided, however, that the Company shall not be required to pay for any expenses of any registration proceeding begun pursuant to </w:t>
      </w:r>
      <w:r>
        <w:rPr>
          <w:rFonts w:ascii="Times New Roman" w:hAnsi="Times New Roman"/>
          <w:color w:val="000000"/>
          <w:sz w:val="20"/>
          <w:u w:val="single"/>
        </w:rPr>
        <w:t>Section 2.2</w:t>
      </w:r>
      <w:r>
        <w:rPr>
          <w:rFonts w:ascii="Times New Roman" w:hAnsi="Times New Roman"/>
          <w:color w:val="000000"/>
          <w:sz w:val="20"/>
        </w:rPr>
        <w:t xml:space="preserve"> if the registration request is subsequently withdrawn at the request of the Holders of a majority in interest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hAnsi="Times New Roman"/>
          <w:color w:val="000000"/>
          <w:sz w:val="20"/>
          <w:u w:val="single"/>
        </w:rPr>
        <w:t>Sections 2.2(a)</w:t>
      </w:r>
      <w:r>
        <w:rPr>
          <w:rFonts w:ascii="Times New Roman" w:hAnsi="Times New Roman"/>
          <w:color w:val="000000"/>
          <w:sz w:val="20"/>
        </w:rPr>
        <w:t xml:space="preserve"> or </w:t>
      </w:r>
      <w:r>
        <w:rPr>
          <w:rFonts w:ascii="Times New Roman" w:hAnsi="Times New Roman"/>
          <w:color w:val="000000"/>
          <w:sz w:val="20"/>
          <w:u w:val="single"/>
        </w:rPr>
        <w:t>2.2(b)</w:t>
      </w:r>
      <w:r>
        <w:rPr>
          <w:rFonts w:ascii="Times New Roman" w:hAnsi="Times New Roman"/>
          <w:color w:val="000000"/>
          <w:sz w:val="20"/>
        </w:rPr>
        <w:t xml:space="preserve">, as the case may be; provided further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hAnsi="Times New Roman"/>
          <w:color w:val="000000"/>
          <w:sz w:val="20"/>
          <w:u w:val="single"/>
        </w:rPr>
        <w:t>Sections 2.2(a)</w:t>
      </w:r>
      <w:r>
        <w:rPr>
          <w:rFonts w:ascii="Times New Roman" w:hAnsi="Times New Roman"/>
          <w:color w:val="000000"/>
          <w:sz w:val="20"/>
        </w:rPr>
        <w:t xml:space="preserve"> or 2.2(b), as the case may be. All Selling Expenses set forth in clause (a) of the definition of Selling Expenses relating to Registrable Securities registered pursuant to this </w:t>
      </w:r>
      <w:r>
        <w:rPr>
          <w:rFonts w:ascii="Times New Roman" w:hAnsi="Times New Roman"/>
          <w:color w:val="000000"/>
          <w:sz w:val="20"/>
          <w:u w:val="single"/>
        </w:rPr>
        <w:t>Section 2</w:t>
      </w:r>
      <w:r>
        <w:rPr>
          <w:rFonts w:ascii="Times New Roman" w:hAnsi="Times New Roman"/>
          <w:color w:val="000000"/>
          <w:sz w:val="20"/>
        </w:rPr>
        <w:t xml:space="preserve"> shall be borne and paid by the Holders pro rata on the basis of the number of Registrable Securities registered on their behalf. The obligations of the Company and Holders under this </w:t>
      </w:r>
      <w:r>
        <w:rPr>
          <w:rFonts w:ascii="Times New Roman" w:hAnsi="Times New Roman"/>
          <w:color w:val="000000"/>
          <w:sz w:val="20"/>
          <w:u w:val="single"/>
        </w:rPr>
        <w:t>Section 2.7</w:t>
      </w:r>
      <w:r>
        <w:rPr>
          <w:rFonts w:ascii="Times New Roman" w:hAnsi="Times New Roman"/>
          <w:color w:val="000000"/>
          <w:sz w:val="20"/>
        </w:rPr>
        <w:t xml:space="preserve"> shall survive the completion of any offering of Registrable Securities in a Registration under this </w:t>
      </w:r>
      <w:r>
        <w:rPr>
          <w:rFonts w:ascii="Times New Roman" w:hAnsi="Times New Roman"/>
          <w:color w:val="000000"/>
          <w:sz w:val="20"/>
          <w:u w:val="single"/>
        </w:rPr>
        <w:t>Section 2</w:t>
      </w:r>
      <w:r>
        <w:rPr>
          <w:rFonts w:ascii="Times New Roman" w:hAnsi="Times New Roman"/>
          <w:color w:val="000000"/>
          <w:sz w:val="20"/>
        </w:rPr>
        <w:t>, and otherwise shall survive the termination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2.8      </w:t>
      </w:r>
      <w:r>
        <w:rPr>
          <w:rFonts w:ascii="Times New Roman" w:hAnsi="Times New Roman"/>
          <w:color w:val="000000"/>
          <w:sz w:val="20"/>
          <w:u w:val="single"/>
        </w:rPr>
        <w:t>Delay of Registration</w:t>
      </w:r>
      <w:r>
        <w:rPr>
          <w:rFonts w:ascii="Times New Roman" w:hAnsi="Times New Roman"/>
          <w:color w:val="000000"/>
          <w:sz w:val="20"/>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hAnsi="Times New Roman"/>
          <w:color w:val="000000"/>
          <w:sz w:val="20"/>
          <w:u w:val="single"/>
        </w:rPr>
        <w:t>Section 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2.9         </w:t>
      </w:r>
      <w:r>
        <w:rPr>
          <w:rFonts w:ascii="Times New Roman" w:hAnsi="Times New Roman"/>
          <w:color w:val="000000"/>
          <w:sz w:val="20"/>
          <w:u w:val="single"/>
        </w:rPr>
        <w:t>Indemnification.</w:t>
      </w:r>
      <w:r>
        <w:rPr>
          <w:rFonts w:ascii="Times New Roman" w:hAnsi="Times New Roman"/>
          <w:color w:val="000000"/>
          <w:sz w:val="20"/>
        </w:rPr>
        <w:t xml:space="preserve"> If any Registrable Securities are included in a registration statement under this </w:t>
      </w:r>
      <w:r>
        <w:rPr>
          <w:rFonts w:ascii="Times New Roman" w:hAnsi="Times New Roman"/>
          <w:color w:val="000000"/>
          <w:sz w:val="20"/>
          <w:u w:val="single"/>
        </w:rPr>
        <w:t>Section 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provided, however, that the indemnity agreement contained in this </w:t>
      </w:r>
      <w:r>
        <w:rPr>
          <w:rFonts w:ascii="Times New Roman" w:hAnsi="Times New Roman"/>
          <w:color w:val="000000"/>
          <w:sz w:val="20"/>
          <w:u w:val="single"/>
        </w:rPr>
        <w:t>Section 2.9(a)</w:t>
      </w:r>
      <w:r>
        <w:rPr>
          <w:rFonts w:ascii="Times New Roman" w:hAnsi="Times New Roman"/>
          <w:color w:val="000000"/>
          <w:sz w:val="20"/>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or concurrently with the sale of Registrable Securities to the Person asserting the claim.</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has not been corrected in a subsequent writing prior to or concurrently with the sale of Registrable Securities to the Person asserting the claim; and each such selling Holder will pay to the Company and each other aforementioned Person any legal or other expenses reasonably incurred thereby in connection with investigating or defending any claim or proceeding from which Damages may result, as such expenses are incurred; provided, however, that the indemnity agreement contained in this </w:t>
      </w:r>
      <w:r>
        <w:rPr>
          <w:rFonts w:ascii="Times New Roman" w:hAnsi="Times New Roman"/>
          <w:color w:val="000000"/>
          <w:sz w:val="20"/>
          <w:u w:val="single"/>
        </w:rPr>
        <w:t>Section 2.9(b)</w:t>
      </w:r>
      <w:r>
        <w:rPr>
          <w:rFonts w:ascii="Times New Roman" w:hAnsi="Times New Roman"/>
          <w:color w:val="000000"/>
          <w:sz w:val="20"/>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w:t>
      </w:r>
      <w:r>
        <w:rPr>
          <w:rFonts w:ascii="Times New Roman" w:hAnsi="Times New Roman"/>
          <w:color w:val="000000"/>
          <w:sz w:val="20"/>
          <w:u w:val="single"/>
        </w:rPr>
        <w:t>Sections 2.9(b)</w:t>
      </w:r>
      <w:r>
        <w:rPr>
          <w:rFonts w:ascii="Times New Roman" w:hAnsi="Times New Roman"/>
          <w:color w:val="000000"/>
          <w:sz w:val="20"/>
        </w:rPr>
        <w:t xml:space="preserve"> and </w:t>
      </w:r>
      <w:r>
        <w:rPr>
          <w:rFonts w:ascii="Times New Roman" w:hAnsi="Times New Roman"/>
          <w:color w:val="000000"/>
          <w:sz w:val="20"/>
          <w:u w:val="single"/>
        </w:rPr>
        <w:t>2.9(d)</w:t>
      </w:r>
      <w:r>
        <w:rPr>
          <w:rFonts w:ascii="Times New Roman" w:hAnsi="Times New Roman"/>
          <w:color w:val="000000"/>
          <w:sz w:val="20"/>
        </w:rPr>
        <w:t xml:space="preserve"> exceed the proceeds from the offering received by such Holder (net of any Selling Expenses paid by such Holder), except in the case of fraud or willful misconduct by such Holder.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(c)        Promptly after receipt by an indemnified party under this </w:t>
      </w:r>
      <w:r>
        <w:rPr>
          <w:rFonts w:ascii="Times New Roman" w:hAnsi="Times New Roman"/>
          <w:color w:val="000000"/>
          <w:sz w:val="20"/>
          <w:u w:val="single"/>
        </w:rPr>
        <w:t>Section 2.9</w:t>
      </w:r>
      <w:r>
        <w:rPr>
          <w:rFonts w:ascii="Times New Roman" w:hAnsi="Times New Roman"/>
          <w:color w:val="000000"/>
          <w:sz w:val="20"/>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hAnsi="Times New Roman"/>
          <w:color w:val="000000"/>
          <w:sz w:val="20"/>
          <w:u w:val="single"/>
        </w:rPr>
        <w:t>Section 2.9</w:t>
      </w:r>
      <w:r>
        <w:rPr>
          <w:rFonts w:ascii="Times New Roman" w:hAnsi="Times New Roman"/>
          <w:color w:val="000000"/>
          <w:sz w:val="20"/>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hAnsi="Times New Roman"/>
          <w:color w:val="000000"/>
          <w:sz w:val="20"/>
          <w:u w:val="single"/>
        </w:rPr>
        <w:t>Section 2.9</w:t>
      </w:r>
      <w:r>
        <w:rPr>
          <w:rFonts w:ascii="Times New Roman" w:hAnsi="Times New Roman"/>
          <w:color w:val="000000"/>
          <w:sz w:val="20"/>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hAnsi="Times New Roman"/>
          <w:color w:val="000000"/>
          <w:sz w:val="20"/>
          <w:u w:val="single"/>
        </w:rPr>
        <w:t>Section 2.9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(d)         To provide for just and equitable contribution to joint liability under the Securities Act in any case in which either: (i) any party otherwise entitled to indemnification hereunder makes a claim for indemnification pursuant to this </w:t>
      </w:r>
      <w:r>
        <w:rPr>
          <w:rFonts w:ascii="Times New Roman" w:hAnsi="Times New Roman"/>
          <w:color w:val="000000"/>
          <w:sz w:val="20"/>
          <w:u w:val="single"/>
        </w:rPr>
        <w:t>Section 2.9</w:t>
      </w:r>
      <w:r>
        <w:rPr>
          <w:rFonts w:ascii="Times New Roman" w:hAnsi="Times New Roman"/>
          <w:color w:val="000000"/>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hAnsi="Times New Roman"/>
          <w:color w:val="000000"/>
          <w:sz w:val="20"/>
          <w:u w:val="single"/>
        </w:rPr>
        <w:t>Section 2.9</w:t>
      </w:r>
      <w:r>
        <w:rPr>
          <w:rFonts w:ascii="Times New Roman" w:hAnsi="Times New Roman"/>
          <w:color w:val="000000"/>
          <w:sz w:val="20"/>
        </w:rPr>
        <w:t xml:space="preserve"> provides for indemnification in such case, or (ii) contribution under the Securities Act may be required on the part of any party hereto for which indemnification is provided under this </w:t>
      </w:r>
      <w:r>
        <w:rPr>
          <w:rFonts w:ascii="Times New Roman" w:hAnsi="Times New Roman"/>
          <w:color w:val="000000"/>
          <w:sz w:val="20"/>
          <w:u w:val="single"/>
        </w:rPr>
        <w:t>Section 2.9</w:t>
      </w:r>
      <w:r>
        <w:rPr>
          <w:rFonts w:ascii="Times New Roman" w:hAnsi="Times New Roman"/>
          <w:color w:val="000000"/>
          <w:sz w:val="20"/>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provided, however,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w:t>
      </w:r>
      <w:r>
        <w:rPr>
          <w:rFonts w:ascii="Times New Roman" w:hAnsi="Times New Roman"/>
          <w:color w:val="000000"/>
          <w:sz w:val="20"/>
          <w:u w:val="single"/>
        </w:rPr>
        <w:t>Section 2.9(d)</w:t>
      </w:r>
      <w:r>
        <w:rPr>
          <w:rFonts w:ascii="Times New Roman" w:hAnsi="Times New Roman"/>
          <w:color w:val="000000"/>
          <w:sz w:val="20"/>
        </w:rPr>
        <w:t xml:space="preserve">, when combined with the amounts paid or payable by such Holder pursuant to </w:t>
      </w:r>
      <w:r>
        <w:rPr>
          <w:rFonts w:ascii="Times New Roman" w:hAnsi="Times New Roman"/>
          <w:color w:val="000000"/>
          <w:sz w:val="20"/>
          <w:u w:val="single"/>
        </w:rPr>
        <w:t>Section 2.9(b)</w:t>
      </w:r>
      <w:r>
        <w:rPr>
          <w:rFonts w:ascii="Times New Roman" w:hAnsi="Times New Roman"/>
          <w:color w:val="000000"/>
          <w:sz w:val="20"/>
        </w:rPr>
        <w:t>, exceed the proceeds from the offering received by such Holder (net of any Selling Expenses paid by such Holder), except in the case of willful misconduct or fraud by such Holder.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(f)        Unless otherwise superseded by an underwriting agreement entered into in connection with an underwritten public offering, the obligations of the Company and Holders under this </w:t>
      </w:r>
      <w:r>
        <w:rPr>
          <w:rFonts w:ascii="Times New Roman" w:hAnsi="Times New Roman"/>
          <w:color w:val="000000"/>
          <w:sz w:val="20"/>
          <w:u w:val="single"/>
        </w:rPr>
        <w:t>Section 2.9</w:t>
      </w:r>
      <w:r>
        <w:rPr>
          <w:rFonts w:ascii="Times New Roman" w:hAnsi="Times New Roman"/>
          <w:color w:val="000000"/>
          <w:sz w:val="20"/>
        </w:rPr>
        <w:t xml:space="preserve"> shall survive the completion of any offering of Registrable Securities in a registration under this </w:t>
      </w:r>
      <w:r>
        <w:rPr>
          <w:rFonts w:ascii="Times New Roman" w:hAnsi="Times New Roman"/>
          <w:color w:val="000000"/>
          <w:sz w:val="20"/>
          <w:u w:val="single"/>
        </w:rPr>
        <w:t>Section 2</w:t>
      </w:r>
      <w:r>
        <w:rPr>
          <w:rFonts w:ascii="Times New Roman" w:hAnsi="Times New Roman"/>
          <w:color w:val="000000"/>
          <w:sz w:val="20"/>
        </w:rPr>
        <w:t>, and otherwise shall survive the termination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2.10      </w:t>
      </w:r>
      <w:r>
        <w:rPr>
          <w:rFonts w:ascii="Times New Roman" w:hAnsi="Times New Roman"/>
          <w:color w:val="000000"/>
          <w:sz w:val="20"/>
          <w:u w:val="single"/>
        </w:rPr>
        <w:t>Reporting Obligations</w:t>
      </w:r>
      <w:r>
        <w:rPr>
          <w:rFonts w:ascii="Times New Roman" w:hAnsi="Times New Roman"/>
          <w:color w:val="000000"/>
          <w:sz w:val="20"/>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upon request, promptly furnish the Holders with true and complete copies of all such filings. The Company further covenants that it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SEC), including using commercially reasonable efforts to provide any legal opinions (including any opinion of outside counsel to the Company), instruction letters and certificates to the Company’s transfer agent (i) in connection with a sale of such Holder’s Registrable Securities in compliance with the requirements of Rule 144, and (ii) as soon as reasonably practicable and legally permissible to do so, removing any restrictive legends from such Holder’s Registrable Securities and facilitating the transfer of such securities to a brokerage account. Upon the request of any Holder, the Company shall deliver to such Holder a written certification of a duly authorized officer as to whether it has complied with such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2.11       </w:t>
      </w:r>
      <w:r>
        <w:rPr>
          <w:rFonts w:ascii="Times New Roman" w:hAnsi="Times New Roman"/>
          <w:color w:val="000000"/>
          <w:sz w:val="20"/>
          <w:u w:val="single"/>
        </w:rPr>
        <w:t>Limitations on Registration Rights</w:t>
      </w:r>
      <w:r>
        <w:rPr>
          <w:rFonts w:ascii="Times New Roman" w:hAnsi="Times New Roman"/>
          <w:color w:val="000000"/>
          <w:sz w:val="20"/>
        </w:rPr>
        <w:t>. As of the date hereof, neither the Company nor any of its subsidiaries has entered into any agreement with respect to its securities that would have the effect of impairing the rights granted to the Holders in this Agreement or otherwise conflicts with the provisions hereof. The Company shall not hereafter enter into any agreement with respect to its securities which is inconsistent with or violates the rights granted to the Holders in this Agreement, and in the event of any conflict between any such agreement or agreements and this Agreement, the terms of this Agreement shall prevail.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Miscellaneous.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3.1         </w:t>
      </w:r>
      <w:r>
        <w:rPr>
          <w:rFonts w:ascii="Times New Roman" w:hAnsi="Times New Roman"/>
          <w:color w:val="000000"/>
          <w:sz w:val="20"/>
          <w:u w:val="single"/>
        </w:rPr>
        <w:t>Successors and Assigns</w:t>
      </w:r>
      <w:r>
        <w:rPr>
          <w:rFonts w:ascii="Times New Roman" w:hAnsi="Times New Roman"/>
          <w:color w:val="000000"/>
          <w:sz w:val="20"/>
        </w:rPr>
        <w:t xml:space="preserve">. The rights under this Agreement may be assigned (but only with all related obligations) by a Holder to a transferee of Registrable Securities that (i) is an Affiliate, member, retired partner, retired member or stockholder of a Holder; (ii) is a Holder’s Immediate Family Member or trust for the benefit of an individual Holder or one or more of such Holder’s Immediate Family Members; or (iii) after such transfer, holds at least 2,312,247 shares of Registrable Securities (subject to appropriate adjustment for stock splits, stock dividends, combinations, and other recapitalizations);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hAnsi="Times New Roman"/>
          <w:color w:val="000000"/>
          <w:sz w:val="20"/>
          <w:u w:val="single"/>
        </w:rPr>
        <w:t>Section 2.11</w:t>
      </w:r>
      <w:r>
        <w:rPr>
          <w:rFonts w:ascii="Times New Roman" w:hAnsi="Times New Roman"/>
          <w:color w:val="000000"/>
          <w:sz w:val="20"/>
        </w:rPr>
        <w:t>. For the purposes of determining the number of shares of Registrable Securities held by a transferee, the holdings of a transferee (1) that is an Affiliate, limited partner, retired partner, member, retired member or stockholder of a Holder; (2) who is a Holder’s Immediate Family Member; or (3) that is a trust for the benefit of an individual Holder or such Holder’s Immediate Family Member shall be aggregated together and with those of the transferring Holder and its Affiliates; provided further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including without limitation, the Investor’s Affiliates.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3.2         </w:t>
      </w:r>
      <w:r>
        <w:rPr>
          <w:rFonts w:ascii="Times New Roman" w:hAnsi="Times New Roman"/>
          <w:color w:val="000000"/>
          <w:sz w:val="20"/>
          <w:u w:val="single"/>
        </w:rPr>
        <w:t>Governing Law</w:t>
      </w:r>
      <w:r>
        <w:rPr>
          <w:rFonts w:ascii="Times New Roman" w:hAnsi="Times New Roman"/>
          <w:color w:val="000000"/>
          <w:sz w:val="20"/>
        </w:rPr>
        <w:t>. This Agreement shall be governed by the internal laws of the State of Delaware, without regard to conflict of law principles that would result in the application of any law other than the law of the State of Delaware.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3.3        </w:t>
      </w:r>
      <w:r>
        <w:rPr>
          <w:rFonts w:ascii="Times New Roman" w:hAnsi="Times New Roman"/>
          <w:color w:val="000000"/>
          <w:sz w:val="20"/>
          <w:u w:val="single"/>
        </w:rPr>
        <w:t>Counterparts</w:t>
      </w:r>
      <w:r>
        <w:rPr>
          <w:rFonts w:ascii="Times New Roman" w:hAnsi="Times New Roman"/>
          <w:color w:val="000000"/>
          <w:sz w:val="20"/>
        </w:rPr>
        <w:t xml:space="preserve">.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i/>
          <w:color w:val="000000"/>
          <w:sz w:val="20"/>
        </w:rPr>
        <w:t>e.g.</w:t>
      </w:r>
      <w:r>
        <w:rPr>
          <w:rFonts w:ascii="Times New Roman" w:hAnsi="Times New Roman"/>
          <w:color w:val="000000"/>
          <w:sz w:val="20"/>
        </w:rPr>
        <w:t>, www.docusign.com) or other transmission method and any counterpart so delivered shall be deemed to have been duly and validly delivered and be valid and effective for all purposes.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3.4        </w:t>
      </w:r>
      <w:r>
        <w:rPr>
          <w:rFonts w:ascii="Times New Roman" w:hAnsi="Times New Roman"/>
          <w:color w:val="000000"/>
          <w:sz w:val="20"/>
          <w:u w:val="single"/>
        </w:rPr>
        <w:t>Titles and Subtitles</w:t>
      </w:r>
      <w:r>
        <w:rPr>
          <w:rFonts w:ascii="Times New Roman" w:hAnsi="Times New Roman"/>
          <w:color w:val="000000"/>
          <w:sz w:val="20"/>
        </w:rPr>
        <w:t>. The titles and subtitles used in this Agreement are for convenience only and are not to be considered in construing or interpreting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3.5         </w:t>
      </w:r>
      <w:r>
        <w:rPr>
          <w:rFonts w:ascii="Times New Roman" w:hAnsi="Times New Roman"/>
          <w:color w:val="000000"/>
          <w:sz w:val="20"/>
          <w:u w:val="single"/>
        </w:rPr>
        <w:t>Notices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All notices and other communications given or made pursuant to this Agreement shall be in writing and shall be deemed effectively given: (i) upon personal delivery to the party to be notified; (ii) when sent, if sent by confirmed electronic mail and sent during normal business hours of the recipient, and if not so confirmed, then on the next Business Day; (iii) five (5) days after having been sent by registered or certified mail, return receipt requested, postage prepaid; or (iv) one (1) Business Day after the Business Day of deposit with a nationally recognized overnight courier, freight prepaid, specifying next Business Day delivery, with written verification of receipt. All communications shall be sent to the respective parties at their addresses as set forth on the signature pages hereto, or to the principal office of the Company and to the attention of the Chief Executive Officer, in the case of the Company, or to such email address or address as subsequently modified by written notice given in accordance with this </w:t>
      </w:r>
      <w:r>
        <w:rPr>
          <w:rFonts w:ascii="Times New Roman" w:hAnsi="Times New Roman"/>
          <w:color w:val="000000"/>
          <w:sz w:val="20"/>
          <w:u w:val="single"/>
        </w:rPr>
        <w:t>Section 3.5</w:t>
      </w:r>
      <w:r>
        <w:rPr>
          <w:rFonts w:ascii="Times New Roman" w:hAnsi="Times New Roman"/>
          <w:color w:val="000000"/>
          <w:sz w:val="20"/>
        </w:rPr>
        <w:t>. If notice is given to the Company, a copy, which shall not constitute notice, shall also be sent to Maggie Wong at Goodwin Procter LLP, 525 Market Street, San Francisco CA 94105.</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Consent to Electronic Notice</w:t>
      </w:r>
      <w:r>
        <w:rPr>
          <w:rFonts w:ascii="Times New Roman" w:hAnsi="Times New Roman"/>
          <w:color w:val="000000"/>
          <w:sz w:val="20"/>
        </w:rPr>
        <w:t>. Each Holder consents to the delivery of any stockholder notice pursuant to the Delaware General Corporation Law (the “DGCL”), as amended or superseded from time to time, by electronic transmission pursuant to Section 232 of the DGCL (or any successor thereto) at the electronic mail address set forth below such Holder’s name on such Holder’s signature page hereto, as updated from time to time by notice to the Company or as on the books of the Company. Each Holder agrees to promptly notify the Company of any change in its electronic mail address, and that failure to do so shall not affect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3.6        </w:t>
      </w:r>
      <w:r>
        <w:rPr>
          <w:rFonts w:ascii="Times New Roman" w:hAnsi="Times New Roman"/>
          <w:color w:val="000000"/>
          <w:sz w:val="20"/>
          <w:u w:val="single"/>
        </w:rPr>
        <w:t>Amendments and Waivers</w:t>
      </w:r>
      <w:r>
        <w:rPr>
          <w:rFonts w:ascii="Times New Roman" w:hAnsi="Times New Roman"/>
          <w:color w:val="000000"/>
          <w:sz w:val="20"/>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 majority of the Registrable Securities then outstanding; provided that any provision hereof may be waived by a why waiving party on such party’s own behalf, without the consent of any other party. Notwithstanding the foregoing, this Agreement may not be amended, modified or terminated and the observance of any term hereof may not be waived with respect to any Holder without the written consent of such Holder, unless such amendment, modification, termination, or waiver applies to all Holders in the same fashion. Any amendment, modification, termination, or waiver effected in accordance with this </w:t>
      </w:r>
      <w:r>
        <w:rPr>
          <w:rFonts w:ascii="Times New Roman" w:hAnsi="Times New Roman"/>
          <w:color w:val="000000"/>
          <w:sz w:val="20"/>
          <w:u w:val="single"/>
        </w:rPr>
        <w:t>Section 3.6</w:t>
      </w:r>
      <w:r>
        <w:rPr>
          <w:rFonts w:ascii="Times New Roman" w:hAnsi="Times New Roman"/>
          <w:color w:val="000000"/>
          <w:sz w:val="20"/>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3.7        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3.8         </w:t>
      </w:r>
      <w:r>
        <w:rPr>
          <w:rFonts w:ascii="Times New Roman" w:hAnsi="Times New Roman"/>
          <w:color w:val="000000"/>
          <w:sz w:val="20"/>
          <w:u w:val="single"/>
        </w:rPr>
        <w:t>Aggregation of Stock</w:t>
      </w:r>
      <w:r>
        <w:rPr>
          <w:rFonts w:ascii="Times New Roman" w:hAnsi="Times New Roman"/>
          <w:color w:val="000000"/>
          <w:sz w:val="20"/>
        </w:rPr>
        <w:t>. All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3.9         </w:t>
      </w:r>
      <w:r>
        <w:rPr>
          <w:rFonts w:ascii="Times New Roman" w:hAnsi="Times New Roman"/>
          <w:color w:val="000000"/>
          <w:sz w:val="20"/>
          <w:u w:val="single"/>
        </w:rPr>
        <w:t>Confidentiality</w:t>
      </w:r>
      <w:r>
        <w:rPr>
          <w:rFonts w:ascii="Times New Roman" w:hAnsi="Times New Roman"/>
          <w:color w:val="000000"/>
          <w:sz w:val="20"/>
        </w:rPr>
        <w:t>. Pending any required public disclosure and subject to applicable legal requirements, the parties will maintain appropriate confidentiality of their discussions and any notifications regarding a prospective Registration or offering of Registrable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3.10       </w:t>
      </w:r>
      <w:r>
        <w:rPr>
          <w:rFonts w:ascii="Times New Roman" w:hAnsi="Times New Roman"/>
          <w:color w:val="000000"/>
          <w:sz w:val="20"/>
          <w:u w:val="single"/>
        </w:rPr>
        <w:t>Entire Agreement</w:t>
      </w:r>
      <w:r>
        <w:rPr>
          <w:rFonts w:ascii="Times New Roman" w:hAnsi="Times New Roman"/>
          <w:color w:val="000000"/>
          <w:sz w:val="20"/>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3.11       </w:t>
      </w:r>
      <w:r>
        <w:rPr>
          <w:rFonts w:ascii="Times New Roman" w:hAnsi="Times New Roman"/>
          <w:color w:val="000000"/>
          <w:sz w:val="20"/>
          <w:u w:val="single"/>
        </w:rPr>
        <w:t>Dispute Resolution</w:t>
      </w:r>
      <w:r>
        <w:rPr>
          <w:rFonts w:ascii="Times New Roman" w:hAnsi="Times New Roman"/>
          <w:color w:val="000000"/>
          <w:sz w:val="20"/>
        </w:rPr>
        <w:t xml:space="preserve">. In any action of proceeding between any of the parties arising out of or relating to this Agreement, each of the parties (a) hereby irrevocably and unconditionally consent and submit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 that all claims in respect of such action or proceeding shall be heard and determined exclusively in accordance with clause (a) of this </w:t>
      </w:r>
      <w:r>
        <w:rPr>
          <w:rFonts w:ascii="Times New Roman" w:hAnsi="Times New Roman"/>
          <w:color w:val="000000"/>
          <w:sz w:val="20"/>
          <w:u w:val="single"/>
        </w:rPr>
        <w:t>Section 3.11</w:t>
      </w:r>
      <w:r>
        <w:rPr>
          <w:rFonts w:ascii="Times New Roman" w:hAnsi="Times New Roman"/>
          <w:color w:val="000000"/>
          <w:sz w:val="20"/>
        </w:rPr>
        <w:t>,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before="0" w:after="0"/>
        <w:jc w:val="left"/>
        <w:rPr>
          <w:color w:val="000000"/>
        </w:rPr>
      </w:pPr>
      <w:r>
        <w:rPr>
          <w:color w:val="000000"/>
        </w:rPr>
        <w:t> </w:t>
      </w:r>
    </w:p>
    <w:p>
      <w:pPr>
        <w:pStyle w:val="TextBody"/>
        <w:bidi w:val="0"/>
        <w:spacing w:before="0" w:after="0"/>
        <w:ind w:left="720" w:right="720" w:hanging="0"/>
        <w:jc w:val="both"/>
        <w:rPr>
          <w:rFonts w:ascii="Times New Roman" w:hAnsi="Times New Roman"/>
          <w:color w:val="000000"/>
          <w:sz w:val="20"/>
        </w:rPr>
      </w:pPr>
      <w:r>
        <w:rPr>
          <w:rFonts w:ascii="Times New Roman" w:hAnsi="Times New Roman"/>
          <w:color w:val="000000"/>
          <w:sz w:val="20"/>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3.12     </w:t>
      </w:r>
      <w:r>
        <w:rPr>
          <w:rFonts w:ascii="Times New Roman" w:hAnsi="Times New Roman"/>
          <w:color w:val="000000"/>
          <w:sz w:val="20"/>
          <w:u w:val="single"/>
        </w:rPr>
        <w:t>Delays or Omissions</w:t>
      </w:r>
      <w:r>
        <w:rPr>
          <w:rFonts w:ascii="Times New Roman" w:hAnsi="Times New Roman"/>
          <w:color w:val="000000"/>
          <w:sz w:val="20"/>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have executed this Registration Rights Agreement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9" w:name="z2616227a68bc42bab6cba47c34037a05"/>
      <w:bookmarkStart w:id="840" w:name="z2616227a68bc42bab6cba47c34037a05"/>
      <w:bookmarkEnd w:id="840"/>
    </w:p>
    <w:tbl>
      <w:tblPr>
        <w:tblW w:w="3619" w:type="dxa"/>
        <w:jc w:val="left"/>
        <w:tblInd w:w="0" w:type="dxa"/>
        <w:tblLayout w:type="fixed"/>
        <w:tblCellMar>
          <w:top w:w="0" w:type="dxa"/>
          <w:left w:w="0" w:type="dxa"/>
          <w:bottom w:w="0" w:type="dxa"/>
          <w:right w:w="0" w:type="dxa"/>
        </w:tblCellMar>
      </w:tblPr>
      <w:tblGrid>
        <w:gridCol w:w="2973"/>
        <w:gridCol w:w="586"/>
        <w:gridCol w:w="60"/>
      </w:tblGrid>
      <w:tr>
        <w:trPr/>
        <w:tc>
          <w:tcPr>
            <w:tcW w:w="3559" w:type="dxa"/>
            <w:gridSpan w:val="2"/>
            <w:tcBorders/>
            <w:vAlign w:val="center"/>
          </w:tcPr>
          <w:p>
            <w:pPr>
              <w:pStyle w:val="TableContents"/>
              <w:bidi w:val="0"/>
              <w:spacing w:before="0" w:after="0"/>
              <w:jc w:val="both"/>
              <w:rPr>
                <w:b/>
              </w:rPr>
            </w:pPr>
            <w:r>
              <w:rPr>
                <w:b/>
              </w:rPr>
              <w:t>COMPANY:</w:t>
            </w:r>
          </w:p>
        </w:tc>
        <w:tc>
          <w:tcPr>
            <w:tcW w:w="60" w:type="dxa"/>
            <w:tcBorders/>
            <w:vAlign w:val="center"/>
          </w:tcPr>
          <w:p>
            <w:pPr>
              <w:pStyle w:val="TableContents"/>
              <w:bidi w:val="0"/>
              <w:spacing w:before="0" w:after="283"/>
              <w:jc w:val="left"/>
              <w:rPr/>
            </w:pPr>
            <w:r>
              <w:rPr/>
              <w:t> </w:t>
            </w:r>
          </w:p>
        </w:tc>
      </w:tr>
      <w:tr>
        <w:trPr/>
        <w:tc>
          <w:tcPr>
            <w:tcW w:w="3559" w:type="dxa"/>
            <w:gridSpan w:val="2"/>
            <w:tcBorders/>
            <w:vAlign w:val="center"/>
          </w:tcPr>
          <w:p>
            <w:pPr>
              <w:pStyle w:val="TableContents"/>
              <w:bidi w:val="0"/>
              <w:spacing w:before="0" w:after="0"/>
              <w:jc w:val="both"/>
              <w:rPr>
                <w:b/>
              </w:rPr>
            </w:pPr>
            <w:r>
              <w:rPr>
                <w:b/>
              </w:rPr>
              <w:t>LISATA THERAPEUTICS. INC.</w:t>
            </w:r>
          </w:p>
        </w:tc>
        <w:tc>
          <w:tcPr>
            <w:tcW w:w="60" w:type="dxa"/>
            <w:tcBorders/>
            <w:vAlign w:val="center"/>
          </w:tcPr>
          <w:p>
            <w:pPr>
              <w:pStyle w:val="TableContents"/>
              <w:bidi w:val="0"/>
              <w:spacing w:before="0" w:after="283"/>
              <w:jc w:val="left"/>
              <w:rPr/>
            </w:pPr>
            <w:r>
              <w:rPr/>
              <w:t> </w:t>
            </w:r>
          </w:p>
        </w:tc>
      </w:tr>
      <w:tr>
        <w:trPr/>
        <w:tc>
          <w:tcPr>
            <w:tcW w:w="35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73" w:type="dxa"/>
            <w:tcBorders/>
            <w:vAlign w:val="center"/>
          </w:tcPr>
          <w:p>
            <w:pPr>
              <w:pStyle w:val="TableContents"/>
              <w:bidi w:val="0"/>
              <w:spacing w:before="0" w:after="0"/>
              <w:jc w:val="both"/>
              <w:rPr/>
            </w:pPr>
            <w:r>
              <w:rPr/>
              <w:t>By:</w:t>
            </w:r>
          </w:p>
        </w:tc>
        <w:tc>
          <w:tcPr>
            <w:tcW w:w="58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59" w:type="dxa"/>
            <w:gridSpan w:val="2"/>
            <w:tcBorders/>
            <w:vAlign w:val="center"/>
          </w:tcPr>
          <w:p>
            <w:pPr>
              <w:pStyle w:val="TableContents"/>
              <w:bidi w:val="0"/>
              <w:spacing w:before="0" w:after="0"/>
              <w:jc w:val="both"/>
              <w:rPr/>
            </w:pPr>
            <w:r>
              <w:rPr/>
              <w:t>Name:</w:t>
            </w:r>
          </w:p>
        </w:tc>
        <w:tc>
          <w:tcPr>
            <w:tcW w:w="60" w:type="dxa"/>
            <w:tcBorders/>
            <w:vAlign w:val="center"/>
          </w:tcPr>
          <w:p>
            <w:pPr>
              <w:pStyle w:val="TableContents"/>
              <w:bidi w:val="0"/>
              <w:spacing w:before="0" w:after="283"/>
              <w:jc w:val="left"/>
              <w:rPr/>
            </w:pPr>
            <w:r>
              <w:rPr/>
              <w:t> </w:t>
            </w:r>
          </w:p>
        </w:tc>
      </w:tr>
      <w:tr>
        <w:trPr/>
        <w:tc>
          <w:tcPr>
            <w:tcW w:w="3559" w:type="dxa"/>
            <w:gridSpan w:val="2"/>
            <w:tcBorders/>
            <w:vAlign w:val="center"/>
          </w:tcPr>
          <w:p>
            <w:pPr>
              <w:pStyle w:val="TableContents"/>
              <w:bidi w:val="0"/>
              <w:spacing w:before="0" w:after="0"/>
              <w:jc w:val="both"/>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Registration Rights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have executed this Registration Rights Agreement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1" w:name="z1358f60b6d0a4790a58b5290fc03d635"/>
      <w:bookmarkStart w:id="842" w:name="z1358f60b6d0a4790a58b5290fc03d635"/>
      <w:bookmarkEnd w:id="842"/>
    </w:p>
    <w:tbl>
      <w:tblPr>
        <w:tblW w:w="2794" w:type="dxa"/>
        <w:jc w:val="left"/>
        <w:tblInd w:w="0" w:type="dxa"/>
        <w:tblLayout w:type="fixed"/>
        <w:tblCellMar>
          <w:top w:w="0" w:type="dxa"/>
          <w:left w:w="0" w:type="dxa"/>
          <w:bottom w:w="0" w:type="dxa"/>
          <w:right w:w="0" w:type="dxa"/>
        </w:tblCellMar>
      </w:tblPr>
      <w:tblGrid>
        <w:gridCol w:w="2288"/>
        <w:gridCol w:w="431"/>
        <w:gridCol w:w="75"/>
      </w:tblGrid>
      <w:tr>
        <w:trPr/>
        <w:tc>
          <w:tcPr>
            <w:tcW w:w="2719" w:type="dxa"/>
            <w:gridSpan w:val="2"/>
            <w:tcBorders/>
            <w:vAlign w:val="center"/>
          </w:tcPr>
          <w:p>
            <w:pPr>
              <w:pStyle w:val="TableContents"/>
              <w:bidi w:val="0"/>
              <w:spacing w:before="0" w:after="0"/>
              <w:jc w:val="both"/>
              <w:rPr>
                <w:b/>
              </w:rPr>
            </w:pPr>
            <w:r>
              <w:rPr>
                <w:b/>
              </w:rPr>
              <w:t>HOLDER:</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0"/>
              <w:jc w:val="both"/>
              <w:rPr>
                <w:b/>
              </w:rPr>
            </w:pPr>
            <w:r>
              <w:rPr>
                <w:b/>
              </w:rPr>
              <w:t>[NAME]</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8" w:type="dxa"/>
            <w:tcBorders/>
            <w:vAlign w:val="center"/>
          </w:tcPr>
          <w:p>
            <w:pPr>
              <w:pStyle w:val="TableContents"/>
              <w:bidi w:val="0"/>
              <w:spacing w:before="0" w:after="0"/>
              <w:jc w:val="both"/>
              <w:rPr/>
            </w:pPr>
            <w:r>
              <w:rPr/>
              <w:t>By:</w:t>
            </w:r>
          </w:p>
        </w:tc>
        <w:tc>
          <w:tcPr>
            <w:tcW w:w="431"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0"/>
              <w:jc w:val="both"/>
              <w:rPr/>
            </w:pPr>
            <w:r>
              <w:rPr/>
              <w:t>Name:</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0"/>
              <w:jc w:val="both"/>
              <w:rPr/>
            </w:pPr>
            <w:r>
              <w:rPr/>
              <w:t>Title:</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0"/>
              <w:jc w:val="both"/>
              <w:rPr/>
            </w:pPr>
            <w:r>
              <w:rPr/>
              <w:t>ADDRESS FOR NOTICE: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Registration Rights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SELLING SECURITY HOLDER QUESTIONNAIRE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provides the following information to the Company and represents and warrants that such information is accurate: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QUESTIONNAIRE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3" w:name="ze7bd1c322fd741e9b89aa6426653a83c"/>
      <w:bookmarkStart w:id="844" w:name="ze7bd1c322fd741e9b89aa6426653a83c"/>
      <w:bookmarkEnd w:id="844"/>
    </w:p>
    <w:tbl>
      <w:tblPr>
        <w:tblW w:w="910" w:type="dxa"/>
        <w:jc w:val="left"/>
        <w:tblInd w:w="0" w:type="dxa"/>
        <w:tblLayout w:type="fixed"/>
        <w:tblCellMar>
          <w:top w:w="0" w:type="dxa"/>
          <w:left w:w="0" w:type="dxa"/>
          <w:bottom w:w="0" w:type="dxa"/>
          <w:right w:w="0" w:type="dxa"/>
        </w:tblCellMar>
      </w:tblPr>
      <w:tblGrid>
        <w:gridCol w:w="215"/>
        <w:gridCol w:w="695"/>
      </w:tblGrid>
      <w:tr>
        <w:trPr/>
        <w:tc>
          <w:tcPr>
            <w:tcW w:w="215" w:type="dxa"/>
            <w:tcBorders/>
            <w:vAlign w:val="center"/>
          </w:tcPr>
          <w:p>
            <w:pPr>
              <w:pStyle w:val="TableContents"/>
              <w:bidi w:val="0"/>
              <w:spacing w:before="0" w:after="283"/>
              <w:jc w:val="left"/>
              <w:rPr>
                <w:b/>
              </w:rPr>
            </w:pPr>
            <w:r>
              <w:rPr>
                <w:b/>
              </w:rPr>
              <w:t>1.</w:t>
            </w:r>
          </w:p>
        </w:tc>
        <w:tc>
          <w:tcPr>
            <w:tcW w:w="695" w:type="dxa"/>
            <w:tcBorders/>
            <w:vAlign w:val="center"/>
          </w:tcPr>
          <w:p>
            <w:pPr>
              <w:pStyle w:val="TableContents"/>
              <w:bidi w:val="0"/>
              <w:spacing w:before="0" w:after="0"/>
              <w:jc w:val="left"/>
              <w:rPr>
                <w:b/>
              </w:rPr>
            </w:pPr>
            <w:r>
              <w:rPr>
                <w:b/>
              </w:rPr>
              <w:t>Name.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5" w:name="z10d50a093b314e399828ac398be2e84f"/>
      <w:bookmarkStart w:id="846" w:name="z10d50a093b314e399828ac398be2e84f"/>
      <w:bookmarkEnd w:id="846"/>
    </w:p>
    <w:tbl>
      <w:tblPr>
        <w:tblW w:w="3033" w:type="dxa"/>
        <w:jc w:val="left"/>
        <w:tblInd w:w="0" w:type="dxa"/>
        <w:tblLayout w:type="fixed"/>
        <w:tblCellMar>
          <w:top w:w="0" w:type="dxa"/>
          <w:left w:w="0" w:type="dxa"/>
          <w:bottom w:w="0" w:type="dxa"/>
          <w:right w:w="0" w:type="dxa"/>
        </w:tblCellMar>
      </w:tblPr>
      <w:tblGrid>
        <w:gridCol w:w="38"/>
        <w:gridCol w:w="275"/>
        <w:gridCol w:w="272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2720" w:type="dxa"/>
            <w:tcBorders/>
            <w:vAlign w:val="center"/>
          </w:tcPr>
          <w:p>
            <w:pPr>
              <w:pStyle w:val="TableContents"/>
              <w:bidi w:val="0"/>
              <w:spacing w:before="0" w:after="0"/>
              <w:jc w:val="both"/>
              <w:rPr/>
            </w:pPr>
            <w:r>
              <w:rPr/>
              <w:t>Full Legal Name of Investor</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847" w:name="z70eab178f0db41bfa88c7a0eee76c7f5"/>
      <w:bookmarkStart w:id="848" w:name="z70eab178f0db41bfa88c7a0eee76c7f5"/>
      <w:bookmarkEnd w:id="848"/>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849" w:name="zac24a6c98513460fa85d4c82fd08dd69"/>
      <w:bookmarkStart w:id="850" w:name="zac24a6c98513460fa85d4c82fd08dd69"/>
      <w:bookmarkEnd w:id="850"/>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0"/>
              <w:jc w:val="both"/>
              <w:rPr/>
            </w:pPr>
            <w:r>
              <w:rPr/>
              <w:t>Full Legal Name of Registered Holder (if not the same as (a) above) through which Registrable Securities are held:</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851" w:name="zebabe7e77488455cb847cbff3466f823"/>
      <w:bookmarkStart w:id="852" w:name="zebabe7e77488455cb847cbff3466f823"/>
      <w:bookmarkEnd w:id="852"/>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853" w:name="z5be7771363cc44e4af1cec609c438c3b"/>
      <w:bookmarkStart w:id="854" w:name="z5be7771363cc44e4af1cec609c438c3b"/>
      <w:bookmarkEnd w:id="854"/>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0"/>
              <w:jc w:val="both"/>
              <w:rPr/>
            </w:pPr>
            <w:r>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855" w:name="z9e6084c4f3474dd59f9b76cae485dd15"/>
      <w:bookmarkStart w:id="856" w:name="z9e6084c4f3474dd59f9b76cae485dd15"/>
      <w:bookmarkEnd w:id="856"/>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857" w:name="zc9f601a66752448996a3eb3d44e5fa43"/>
      <w:bookmarkStart w:id="858" w:name="zc9f601a66752448996a3eb3d44e5fa43"/>
      <w:bookmarkEnd w:id="858"/>
    </w:p>
    <w:tbl>
      <w:tblPr>
        <w:tblW w:w="3475" w:type="dxa"/>
        <w:jc w:val="left"/>
        <w:tblInd w:w="0" w:type="dxa"/>
        <w:tblLayout w:type="fixed"/>
        <w:tblCellMar>
          <w:top w:w="0" w:type="dxa"/>
          <w:left w:w="0" w:type="dxa"/>
          <w:bottom w:w="0" w:type="dxa"/>
          <w:right w:w="0" w:type="dxa"/>
        </w:tblCellMar>
      </w:tblPr>
      <w:tblGrid>
        <w:gridCol w:w="215"/>
        <w:gridCol w:w="3260"/>
      </w:tblGrid>
      <w:tr>
        <w:trPr/>
        <w:tc>
          <w:tcPr>
            <w:tcW w:w="215" w:type="dxa"/>
            <w:tcBorders/>
            <w:vAlign w:val="center"/>
          </w:tcPr>
          <w:p>
            <w:pPr>
              <w:pStyle w:val="TableContents"/>
              <w:bidi w:val="0"/>
              <w:spacing w:before="0" w:after="0"/>
              <w:jc w:val="left"/>
              <w:rPr>
                <w:b/>
              </w:rPr>
            </w:pPr>
            <w:r>
              <w:rPr>
                <w:b/>
              </w:rPr>
              <w:t>2.</w:t>
            </w:r>
          </w:p>
        </w:tc>
        <w:tc>
          <w:tcPr>
            <w:tcW w:w="3260" w:type="dxa"/>
            <w:tcBorders/>
            <w:vAlign w:val="center"/>
          </w:tcPr>
          <w:p>
            <w:pPr>
              <w:pStyle w:val="TableContents"/>
              <w:bidi w:val="0"/>
              <w:spacing w:before="0" w:after="0"/>
              <w:ind w:left="1440" w:right="0" w:hanging="1440"/>
              <w:jc w:val="left"/>
              <w:rPr>
                <w:b/>
              </w:rPr>
            </w:pPr>
            <w:r>
              <w:rPr>
                <w:b/>
              </w:rPr>
              <w:t>Address for Notices to Investor: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9" w:name="zb73ec11f88014d28bdf24bb47613d94c"/>
      <w:bookmarkStart w:id="860" w:name="zb73ec11f88014d28bdf24bb47613d94c"/>
      <w:bookmarkEnd w:id="860"/>
    </w:p>
    <w:tbl>
      <w:tblPr>
        <w:tblW w:w="1115" w:type="dxa"/>
        <w:jc w:val="left"/>
        <w:tblInd w:w="0" w:type="dxa"/>
        <w:tblLayout w:type="fixed"/>
        <w:tblCellMar>
          <w:top w:w="0" w:type="dxa"/>
          <w:left w:w="0" w:type="dxa"/>
          <w:bottom w:w="28" w:type="dxa"/>
          <w:right w:w="0" w:type="dxa"/>
        </w:tblCellMar>
      </w:tblPr>
      <w:tblGrid>
        <w:gridCol w:w="1115"/>
      </w:tblGrid>
      <w:tr>
        <w:trPr/>
        <w:tc>
          <w:tcPr>
            <w:tcW w:w="1115" w:type="dxa"/>
            <w:tcBorders>
              <w:bottom w:val="single" w:sz="12" w:space="0" w:color="000000"/>
            </w:tcBorders>
            <w:vAlign w:val="center"/>
          </w:tcPr>
          <w:p>
            <w:pPr>
              <w:pStyle w:val="TableContents"/>
              <w:bidi w:val="0"/>
              <w:spacing w:before="0" w:after="283"/>
              <w:jc w:val="left"/>
              <w:rPr/>
            </w:pPr>
            <w:r>
              <w:rPr/>
              <w:t> </w:t>
            </w:r>
          </w:p>
        </w:tc>
      </w:tr>
      <w:tr>
        <w:trPr/>
        <w:tc>
          <w:tcPr>
            <w:tcW w:w="1115" w:type="dxa"/>
            <w:tcBorders>
              <w:bottom w:val="single" w:sz="12" w:space="0" w:color="000000"/>
            </w:tcBorders>
            <w:vAlign w:val="center"/>
          </w:tcPr>
          <w:p>
            <w:pPr>
              <w:pStyle w:val="TableContents"/>
              <w:bidi w:val="0"/>
              <w:spacing w:before="0" w:after="283"/>
              <w:jc w:val="left"/>
              <w:rPr/>
            </w:pPr>
            <w:r>
              <w:rPr/>
              <w:t> </w:t>
            </w:r>
          </w:p>
        </w:tc>
      </w:tr>
      <w:tr>
        <w:trPr/>
        <w:tc>
          <w:tcPr>
            <w:tcW w:w="1115" w:type="dxa"/>
            <w:tcBorders>
              <w:bottom w:val="single" w:sz="12" w:space="0" w:color="000000"/>
            </w:tcBorders>
            <w:vAlign w:val="center"/>
          </w:tcPr>
          <w:p>
            <w:pPr>
              <w:pStyle w:val="TableContents"/>
              <w:bidi w:val="0"/>
              <w:spacing w:before="0" w:after="283"/>
              <w:jc w:val="left"/>
              <w:rPr/>
            </w:pPr>
            <w:r>
              <w:rPr/>
              <w:t> </w:t>
            </w:r>
          </w:p>
        </w:tc>
      </w:tr>
      <w:tr>
        <w:trPr/>
        <w:tc>
          <w:tcPr>
            <w:tcW w:w="1115" w:type="dxa"/>
            <w:tcBorders/>
            <w:tcMar>
              <w:bottom w:w="0" w:type="dxa"/>
            </w:tcMar>
            <w:vAlign w:val="center"/>
          </w:tcPr>
          <w:p>
            <w:pPr>
              <w:pStyle w:val="TableContents"/>
              <w:bidi w:val="0"/>
              <w:spacing w:before="0" w:after="0"/>
              <w:jc w:val="left"/>
              <w:rPr/>
            </w:pPr>
            <w:r>
              <w:rPr/>
              <w:t>Telephone:</w:t>
            </w:r>
          </w:p>
        </w:tc>
      </w:tr>
      <w:tr>
        <w:trPr/>
        <w:tc>
          <w:tcPr>
            <w:tcW w:w="111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1" w:name="z9994981a82b34ca9a97e1dfa8321c405"/>
      <w:bookmarkStart w:id="862" w:name="z9994981a82b34ca9a97e1dfa8321c405"/>
      <w:bookmarkEnd w:id="862"/>
    </w:p>
    <w:tbl>
      <w:tblPr>
        <w:tblW w:w="1519" w:type="dxa"/>
        <w:jc w:val="left"/>
        <w:tblInd w:w="0" w:type="dxa"/>
        <w:tblLayout w:type="fixed"/>
        <w:tblCellMar>
          <w:top w:w="0" w:type="dxa"/>
          <w:left w:w="0" w:type="dxa"/>
          <w:bottom w:w="0" w:type="dxa"/>
          <w:right w:w="0" w:type="dxa"/>
        </w:tblCellMar>
      </w:tblPr>
      <w:tblGrid>
        <w:gridCol w:w="1321"/>
        <w:gridCol w:w="99"/>
        <w:gridCol w:w="99"/>
      </w:tblGrid>
      <w:tr>
        <w:trPr/>
        <w:tc>
          <w:tcPr>
            <w:tcW w:w="1321" w:type="dxa"/>
            <w:tcBorders/>
            <w:vAlign w:val="center"/>
          </w:tcPr>
          <w:p>
            <w:pPr>
              <w:pStyle w:val="TableContents"/>
              <w:bidi w:val="0"/>
              <w:spacing w:before="0" w:after="0"/>
              <w:jc w:val="left"/>
              <w:rPr/>
            </w:pPr>
            <w:r>
              <w:rPr/>
              <w:t xml:space="preserve">E-Mail: </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519" w:type="dxa"/>
            <w:gridSpan w:val="3"/>
            <w:tcBorders/>
            <w:vAlign w:val="center"/>
          </w:tcPr>
          <w:p>
            <w:pPr>
              <w:pStyle w:val="TableContents"/>
              <w:bidi w:val="0"/>
              <w:spacing w:before="0" w:after="283"/>
              <w:jc w:val="left"/>
              <w:rPr/>
            </w:pPr>
            <w:r>
              <w:rPr/>
              <w:t> </w:t>
            </w:r>
          </w:p>
        </w:tc>
      </w:tr>
      <w:tr>
        <w:trPr/>
        <w:tc>
          <w:tcPr>
            <w:tcW w:w="1519" w:type="dxa"/>
            <w:gridSpan w:val="3"/>
            <w:tcBorders/>
            <w:vAlign w:val="center"/>
          </w:tcPr>
          <w:p>
            <w:pPr>
              <w:pStyle w:val="TableContents"/>
              <w:bidi w:val="0"/>
              <w:spacing w:before="0" w:after="0"/>
              <w:jc w:val="left"/>
              <w:rPr/>
            </w:pPr>
            <w:r>
              <w:rPr/>
              <w:t>Contact Person:</w:t>
            </w:r>
          </w:p>
        </w:tc>
      </w:tr>
      <w:tr>
        <w:trPr/>
        <w:tc>
          <w:tcPr>
            <w:tcW w:w="1519" w:type="dxa"/>
            <w:gridSpan w:val="3"/>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63" w:name="z585289ac46f74bebbf09134af1a41b75"/>
      <w:bookmarkStart w:id="864" w:name="z585289ac46f74bebbf09134af1a41b75"/>
      <w:bookmarkEnd w:id="864"/>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0"/>
              <w:jc w:val="left"/>
              <w:rPr>
                <w:b/>
              </w:rPr>
            </w:pPr>
            <w:r>
              <w:rPr>
                <w:b/>
              </w:rPr>
              <w:t>3.</w:t>
            </w:r>
          </w:p>
        </w:tc>
        <w:tc>
          <w:tcPr>
            <w:tcW w:w="2285" w:type="dxa"/>
            <w:tcBorders/>
            <w:vAlign w:val="center"/>
          </w:tcPr>
          <w:p>
            <w:pPr>
              <w:pStyle w:val="TableContents"/>
              <w:bidi w:val="0"/>
              <w:spacing w:before="0" w:after="0"/>
              <w:ind w:left="1440" w:right="0" w:hanging="1440"/>
              <w:jc w:val="left"/>
              <w:rPr>
                <w:b/>
              </w:rPr>
            </w:pPr>
            <w:r>
              <w:rPr>
                <w:b/>
              </w:rPr>
              <w:t>Broker-Dealer Status: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5" w:name="za2972978c5be4f83a6648940aef34e95"/>
      <w:bookmarkStart w:id="866" w:name="za2972978c5be4f83a6648940aef34e95"/>
      <w:bookmarkEnd w:id="866"/>
    </w:p>
    <w:tbl>
      <w:tblPr>
        <w:tblW w:w="2718" w:type="dxa"/>
        <w:jc w:val="left"/>
        <w:tblInd w:w="0" w:type="dxa"/>
        <w:tblLayout w:type="fixed"/>
        <w:tblCellMar>
          <w:top w:w="0" w:type="dxa"/>
          <w:left w:w="0" w:type="dxa"/>
          <w:bottom w:w="0" w:type="dxa"/>
          <w:right w:w="0" w:type="dxa"/>
        </w:tblCellMar>
      </w:tblPr>
      <w:tblGrid>
        <w:gridCol w:w="38"/>
        <w:gridCol w:w="275"/>
        <w:gridCol w:w="24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2405" w:type="dxa"/>
            <w:tcBorders/>
            <w:vAlign w:val="center"/>
          </w:tcPr>
          <w:p>
            <w:pPr>
              <w:pStyle w:val="TableContents"/>
              <w:bidi w:val="0"/>
              <w:spacing w:before="0" w:after="0"/>
              <w:jc w:val="both"/>
              <w:rPr/>
            </w:pPr>
            <w:r>
              <w:rPr/>
              <w:t>Are you a broker-dealer?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7" w:name="z8aa3ab9b9e7f4fa7becdbf9f7d82507d"/>
      <w:bookmarkStart w:id="868" w:name="z8aa3ab9b9e7f4fa7becdbf9f7d82507d"/>
      <w:bookmarkEnd w:id="868"/>
    </w:p>
    <w:tbl>
      <w:tblPr>
        <w:tblW w:w="1375" w:type="dxa"/>
        <w:jc w:val="center"/>
        <w:tblInd w:w="0" w:type="dxa"/>
        <w:tblLayout w:type="fixed"/>
        <w:tblCellMar>
          <w:top w:w="0" w:type="dxa"/>
          <w:left w:w="0" w:type="dxa"/>
          <w:bottom w:w="0" w:type="dxa"/>
          <w:right w:w="0" w:type="dxa"/>
        </w:tblCellMar>
      </w:tblPr>
      <w:tblGrid>
        <w:gridCol w:w="725"/>
        <w:gridCol w:w="650"/>
      </w:tblGrid>
      <w:tr>
        <w:trPr/>
        <w:tc>
          <w:tcPr>
            <w:tcW w:w="725" w:type="dxa"/>
            <w:tcBorders/>
            <w:vAlign w:val="center"/>
          </w:tcPr>
          <w:p>
            <w:pPr>
              <w:pStyle w:val="TableContents"/>
              <w:bidi w:val="0"/>
              <w:spacing w:before="0" w:after="0"/>
              <w:jc w:val="both"/>
              <w:rPr/>
            </w:pPr>
            <w:r>
              <w:rPr/>
              <w:t>Yes  ☐</w:t>
            </w:r>
          </w:p>
        </w:tc>
        <w:tc>
          <w:tcPr>
            <w:tcW w:w="650"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9" w:name="zea8851581f684a0f8fd2fa77e72246c4"/>
      <w:bookmarkStart w:id="870" w:name="zea8851581f684a0f8fd2fa77e72246c4"/>
      <w:bookmarkEnd w:id="870"/>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both"/>
              <w:rPr/>
            </w:pPr>
            <w:r>
              <w:rPr/>
              <w:t>If “yes” to Section 3(a), did you receive your Registrable Securities as compensation for investment banking services to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1" w:name="z41642378038d4dc9bf7e62c8d4eea2c5"/>
      <w:bookmarkStart w:id="872" w:name="z41642378038d4dc9bf7e62c8d4eea2c5"/>
      <w:bookmarkEnd w:id="872"/>
    </w:p>
    <w:tbl>
      <w:tblPr>
        <w:tblW w:w="1405" w:type="dxa"/>
        <w:jc w:val="center"/>
        <w:tblInd w:w="0" w:type="dxa"/>
        <w:tblLayout w:type="fixed"/>
        <w:tblCellMar>
          <w:top w:w="0" w:type="dxa"/>
          <w:left w:w="0" w:type="dxa"/>
          <w:bottom w:w="0" w:type="dxa"/>
          <w:right w:w="0" w:type="dxa"/>
        </w:tblCellMar>
      </w:tblPr>
      <w:tblGrid>
        <w:gridCol w:w="740"/>
        <w:gridCol w:w="665"/>
      </w:tblGrid>
      <w:tr>
        <w:trPr/>
        <w:tc>
          <w:tcPr>
            <w:tcW w:w="740" w:type="dxa"/>
            <w:tcBorders/>
            <w:vAlign w:val="center"/>
          </w:tcPr>
          <w:p>
            <w:pPr>
              <w:pStyle w:val="TableContents"/>
              <w:bidi w:val="0"/>
              <w:spacing w:before="0" w:after="0"/>
              <w:jc w:val="both"/>
              <w:rPr/>
            </w:pPr>
            <w:r>
              <w:rPr/>
              <w:t>Yes  ☐</w:t>
            </w:r>
          </w:p>
        </w:tc>
        <w:tc>
          <w:tcPr>
            <w:tcW w:w="665"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3" w:name="z274b0cd5905f4e39a968c958bfd2f45e"/>
      <w:bookmarkStart w:id="874" w:name="z274b0cd5905f4e39a968c958bfd2f45e"/>
      <w:bookmarkEnd w:id="874"/>
    </w:p>
    <w:tbl>
      <w:tblPr>
        <w:tblW w:w="10205" w:type="dxa"/>
        <w:jc w:val="left"/>
        <w:tblInd w:w="0" w:type="dxa"/>
        <w:tblLayout w:type="fixed"/>
        <w:tblCellMar>
          <w:top w:w="0" w:type="dxa"/>
          <w:left w:w="0" w:type="dxa"/>
          <w:bottom w:w="0" w:type="dxa"/>
          <w:right w:w="0" w:type="dxa"/>
        </w:tblCellMar>
      </w:tblPr>
      <w:tblGrid>
        <w:gridCol w:w="38"/>
        <w:gridCol w:w="527"/>
        <w:gridCol w:w="9640"/>
      </w:tblGrid>
      <w:tr>
        <w:trPr/>
        <w:tc>
          <w:tcPr>
            <w:tcW w:w="38" w:type="dxa"/>
            <w:tcBorders/>
            <w:vAlign w:val="center"/>
          </w:tcPr>
          <w:p>
            <w:pPr>
              <w:pStyle w:val="TableContents"/>
              <w:bidi w:val="0"/>
              <w:spacing w:before="0" w:after="283"/>
              <w:jc w:val="left"/>
              <w:rPr/>
            </w:pPr>
            <w:r>
              <w:rPr/>
            </w:r>
          </w:p>
        </w:tc>
        <w:tc>
          <w:tcPr>
            <w:tcW w:w="527" w:type="dxa"/>
            <w:tcBorders/>
            <w:vAlign w:val="center"/>
          </w:tcPr>
          <w:p>
            <w:pPr>
              <w:pStyle w:val="TableContents"/>
              <w:bidi w:val="0"/>
              <w:spacing w:before="0" w:after="283"/>
              <w:jc w:val="left"/>
              <w:rPr/>
            </w:pPr>
            <w:r>
              <w:rPr/>
              <w:t>Note:</w:t>
            </w:r>
          </w:p>
        </w:tc>
        <w:tc>
          <w:tcPr>
            <w:tcW w:w="9640" w:type="dxa"/>
            <w:tcBorders/>
            <w:vAlign w:val="center"/>
          </w:tcPr>
          <w:p>
            <w:pPr>
              <w:pStyle w:val="TableContents"/>
              <w:bidi w:val="0"/>
              <w:spacing w:before="0" w:after="0"/>
              <w:jc w:val="both"/>
              <w:rPr/>
            </w:pPr>
            <w:r>
              <w:rPr/>
              <w:t>If “no” to Section 3(b), the Commission’s staff has indicated that you should be identified as an underwriter in the Registration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5" w:name="z3d972a3ad20d464bacc48b751a6d9989"/>
      <w:bookmarkStart w:id="876" w:name="z3d972a3ad20d464bacc48b751a6d9989"/>
      <w:bookmarkEnd w:id="876"/>
    </w:p>
    <w:tbl>
      <w:tblPr>
        <w:tblW w:w="4023" w:type="dxa"/>
        <w:jc w:val="left"/>
        <w:tblInd w:w="0" w:type="dxa"/>
        <w:tblLayout w:type="fixed"/>
        <w:tblCellMar>
          <w:top w:w="0" w:type="dxa"/>
          <w:left w:w="0" w:type="dxa"/>
          <w:bottom w:w="0" w:type="dxa"/>
          <w:right w:w="0" w:type="dxa"/>
        </w:tblCellMar>
      </w:tblPr>
      <w:tblGrid>
        <w:gridCol w:w="38"/>
        <w:gridCol w:w="275"/>
        <w:gridCol w:w="371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3710" w:type="dxa"/>
            <w:tcBorders/>
            <w:vAlign w:val="center"/>
          </w:tcPr>
          <w:p>
            <w:pPr>
              <w:pStyle w:val="TableContents"/>
              <w:bidi w:val="0"/>
              <w:spacing w:before="0" w:after="0"/>
              <w:jc w:val="both"/>
              <w:rPr/>
            </w:pPr>
            <w:r>
              <w:rPr/>
              <w:t>Are you an affiliate of a broker-dealer?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7" w:name="z9b704af32c4548c3884b83588217f98b"/>
      <w:bookmarkStart w:id="878" w:name="z9b704af32c4548c3884b83588217f98b"/>
      <w:bookmarkEnd w:id="878"/>
    </w:p>
    <w:tbl>
      <w:tblPr>
        <w:tblW w:w="1405" w:type="dxa"/>
        <w:jc w:val="center"/>
        <w:tblInd w:w="0" w:type="dxa"/>
        <w:tblLayout w:type="fixed"/>
        <w:tblCellMar>
          <w:top w:w="0" w:type="dxa"/>
          <w:left w:w="0" w:type="dxa"/>
          <w:bottom w:w="0" w:type="dxa"/>
          <w:right w:w="0" w:type="dxa"/>
        </w:tblCellMar>
      </w:tblPr>
      <w:tblGrid>
        <w:gridCol w:w="740"/>
        <w:gridCol w:w="665"/>
      </w:tblGrid>
      <w:tr>
        <w:trPr/>
        <w:tc>
          <w:tcPr>
            <w:tcW w:w="740" w:type="dxa"/>
            <w:tcBorders/>
            <w:vAlign w:val="center"/>
          </w:tcPr>
          <w:p>
            <w:pPr>
              <w:pStyle w:val="TableContents"/>
              <w:bidi w:val="0"/>
              <w:spacing w:before="0" w:after="0"/>
              <w:jc w:val="both"/>
              <w:rPr/>
            </w:pPr>
            <w:r>
              <w:rPr/>
              <w:t>Yes  ☐</w:t>
            </w:r>
          </w:p>
        </w:tc>
        <w:tc>
          <w:tcPr>
            <w:tcW w:w="665"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9" w:name="zb3a7558fca2047e382395e9a0b6996e1"/>
      <w:bookmarkStart w:id="880" w:name="zb3a7558fca2047e382395e9a0b6996e1"/>
      <w:bookmarkEnd w:id="880"/>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0"/>
              <w:jc w:val="both"/>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1" w:name="z83315dfa33be4509bd847c073c951801"/>
      <w:bookmarkStart w:id="882" w:name="z83315dfa33be4509bd847c073c951801"/>
      <w:bookmarkEnd w:id="882"/>
    </w:p>
    <w:tbl>
      <w:tblPr>
        <w:tblW w:w="1405" w:type="dxa"/>
        <w:jc w:val="center"/>
        <w:tblInd w:w="0" w:type="dxa"/>
        <w:tblLayout w:type="fixed"/>
        <w:tblCellMar>
          <w:top w:w="0" w:type="dxa"/>
          <w:left w:w="0" w:type="dxa"/>
          <w:bottom w:w="0" w:type="dxa"/>
          <w:right w:w="0" w:type="dxa"/>
        </w:tblCellMar>
      </w:tblPr>
      <w:tblGrid>
        <w:gridCol w:w="740"/>
        <w:gridCol w:w="665"/>
      </w:tblGrid>
      <w:tr>
        <w:trPr/>
        <w:tc>
          <w:tcPr>
            <w:tcW w:w="740" w:type="dxa"/>
            <w:tcBorders/>
            <w:vAlign w:val="center"/>
          </w:tcPr>
          <w:p>
            <w:pPr>
              <w:pStyle w:val="TableContents"/>
              <w:bidi w:val="0"/>
              <w:spacing w:before="0" w:after="0"/>
              <w:jc w:val="both"/>
              <w:rPr/>
            </w:pPr>
            <w:r>
              <w:rPr/>
              <w:t>Yes  ☐</w:t>
            </w:r>
          </w:p>
        </w:tc>
        <w:tc>
          <w:tcPr>
            <w:tcW w:w="665"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3" w:name="z4b181c86f0ba413ba5f616509898a96f"/>
      <w:bookmarkStart w:id="884" w:name="z4b181c86f0ba413ba5f616509898a96f"/>
      <w:bookmarkEnd w:id="884"/>
    </w:p>
    <w:tbl>
      <w:tblPr>
        <w:tblW w:w="10205" w:type="dxa"/>
        <w:jc w:val="left"/>
        <w:tblInd w:w="0" w:type="dxa"/>
        <w:tblLayout w:type="fixed"/>
        <w:tblCellMar>
          <w:top w:w="0" w:type="dxa"/>
          <w:left w:w="0" w:type="dxa"/>
          <w:bottom w:w="0" w:type="dxa"/>
          <w:right w:w="0" w:type="dxa"/>
        </w:tblCellMar>
      </w:tblPr>
      <w:tblGrid>
        <w:gridCol w:w="38"/>
        <w:gridCol w:w="527"/>
        <w:gridCol w:w="9640"/>
      </w:tblGrid>
      <w:tr>
        <w:trPr/>
        <w:tc>
          <w:tcPr>
            <w:tcW w:w="38" w:type="dxa"/>
            <w:tcBorders/>
            <w:vAlign w:val="center"/>
          </w:tcPr>
          <w:p>
            <w:pPr>
              <w:pStyle w:val="TableContents"/>
              <w:bidi w:val="0"/>
              <w:spacing w:before="0" w:after="283"/>
              <w:jc w:val="left"/>
              <w:rPr/>
            </w:pPr>
            <w:r>
              <w:rPr/>
            </w:r>
          </w:p>
        </w:tc>
        <w:tc>
          <w:tcPr>
            <w:tcW w:w="527" w:type="dxa"/>
            <w:tcBorders/>
            <w:vAlign w:val="center"/>
          </w:tcPr>
          <w:p>
            <w:pPr>
              <w:pStyle w:val="TableContents"/>
              <w:bidi w:val="0"/>
              <w:spacing w:before="0" w:after="283"/>
              <w:jc w:val="left"/>
              <w:rPr/>
            </w:pPr>
            <w:r>
              <w:rPr/>
              <w:t>Note:</w:t>
            </w:r>
          </w:p>
        </w:tc>
        <w:tc>
          <w:tcPr>
            <w:tcW w:w="9640" w:type="dxa"/>
            <w:tcBorders/>
            <w:vAlign w:val="center"/>
          </w:tcPr>
          <w:p>
            <w:pPr>
              <w:pStyle w:val="TableContents"/>
              <w:bidi w:val="0"/>
              <w:spacing w:before="0" w:after="0"/>
              <w:jc w:val="both"/>
              <w:rPr/>
            </w:pPr>
            <w:r>
              <w:rPr/>
              <w:t>If “no” to Section 3(d), the Commission’s staff has indicated that you should be identified as an underwriter in the Registration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5" w:name="zd3ff1a073c2643578a3b775c773e84c4"/>
      <w:bookmarkStart w:id="886" w:name="zd3ff1a073c2643578a3b775c773e84c4"/>
      <w:bookmarkEnd w:id="886"/>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0"/>
              <w:jc w:val="left"/>
              <w:rPr>
                <w:b/>
              </w:rPr>
            </w:pPr>
            <w:r>
              <w:rPr>
                <w:b/>
              </w:rPr>
              <w:t>4.</w:t>
            </w:r>
          </w:p>
        </w:tc>
        <w:tc>
          <w:tcPr>
            <w:tcW w:w="7640" w:type="dxa"/>
            <w:tcBorders/>
            <w:vAlign w:val="center"/>
          </w:tcPr>
          <w:p>
            <w:pPr>
              <w:pStyle w:val="TableContents"/>
              <w:bidi w:val="0"/>
              <w:spacing w:before="0" w:after="0"/>
              <w:ind w:left="1440" w:right="0" w:hanging="1440"/>
              <w:jc w:val="left"/>
              <w:rPr>
                <w:b/>
              </w:rPr>
            </w:pPr>
            <w:r>
              <w:rPr>
                <w:b/>
              </w:rPr>
              <w:t>Beneficial Ownership of Securities of the Company Owned by the Investor.</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i/>
          <w:color w:val="000000"/>
          <w:sz w:val="20"/>
        </w:rPr>
      </w:pPr>
      <w:r>
        <w:rPr>
          <w:rFonts w:ascii="Times New Roman" w:hAnsi="Times New Roman"/>
          <w:i/>
          <w:color w:val="000000"/>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7" w:name="z5589416d9621423e8cdbc8f044f30218"/>
      <w:bookmarkStart w:id="888" w:name="z5589416d9621423e8cdbc8f044f30218"/>
      <w:bookmarkEnd w:id="888"/>
    </w:p>
    <w:tbl>
      <w:tblPr>
        <w:tblW w:w="7203" w:type="dxa"/>
        <w:jc w:val="left"/>
        <w:tblInd w:w="0" w:type="dxa"/>
        <w:tblLayout w:type="fixed"/>
        <w:tblCellMar>
          <w:top w:w="0" w:type="dxa"/>
          <w:left w:w="0" w:type="dxa"/>
          <w:bottom w:w="0" w:type="dxa"/>
          <w:right w:w="0" w:type="dxa"/>
        </w:tblCellMar>
      </w:tblPr>
      <w:tblGrid>
        <w:gridCol w:w="38"/>
        <w:gridCol w:w="275"/>
        <w:gridCol w:w="689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6890" w:type="dxa"/>
            <w:tcBorders/>
            <w:vAlign w:val="center"/>
          </w:tcPr>
          <w:p>
            <w:pPr>
              <w:pStyle w:val="TableContents"/>
              <w:bidi w:val="0"/>
              <w:spacing w:before="0" w:after="0"/>
              <w:jc w:val="both"/>
              <w:rPr/>
            </w:pPr>
            <w:r>
              <w:rPr/>
              <w:t>Type and Amount of other securities beneficially owned by the Investor:</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889" w:name="zdfde21852cc0449d936faaa1e0b6fd2a"/>
      <w:bookmarkStart w:id="890" w:name="zdfde21852cc0449d936faaa1e0b6fd2a"/>
      <w:bookmarkEnd w:id="890"/>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91" w:name="zefae0fc3eb604e2dac805b3a72dba845"/>
      <w:bookmarkStart w:id="892" w:name="zefae0fc3eb604e2dac805b3a72dba845"/>
      <w:bookmarkEnd w:id="892"/>
    </w:p>
    <w:tbl>
      <w:tblPr>
        <w:tblW w:w="3640" w:type="dxa"/>
        <w:jc w:val="left"/>
        <w:tblInd w:w="0" w:type="dxa"/>
        <w:tblLayout w:type="fixed"/>
        <w:tblCellMar>
          <w:top w:w="0" w:type="dxa"/>
          <w:left w:w="0" w:type="dxa"/>
          <w:bottom w:w="0" w:type="dxa"/>
          <w:right w:w="0" w:type="dxa"/>
        </w:tblCellMar>
      </w:tblPr>
      <w:tblGrid>
        <w:gridCol w:w="215"/>
        <w:gridCol w:w="3425"/>
      </w:tblGrid>
      <w:tr>
        <w:trPr/>
        <w:tc>
          <w:tcPr>
            <w:tcW w:w="215" w:type="dxa"/>
            <w:tcBorders/>
            <w:vAlign w:val="center"/>
          </w:tcPr>
          <w:p>
            <w:pPr>
              <w:pStyle w:val="TableContents"/>
              <w:bidi w:val="0"/>
              <w:spacing w:before="0" w:after="0"/>
              <w:jc w:val="left"/>
              <w:rPr>
                <w:b/>
              </w:rPr>
            </w:pPr>
            <w:r>
              <w:rPr>
                <w:b/>
              </w:rPr>
              <w:t>5.</w:t>
            </w:r>
          </w:p>
        </w:tc>
        <w:tc>
          <w:tcPr>
            <w:tcW w:w="3425" w:type="dxa"/>
            <w:tcBorders/>
            <w:vAlign w:val="center"/>
          </w:tcPr>
          <w:p>
            <w:pPr>
              <w:pStyle w:val="TableContents"/>
              <w:bidi w:val="0"/>
              <w:spacing w:before="0" w:after="0"/>
              <w:ind w:left="1440" w:right="0" w:hanging="1440"/>
              <w:jc w:val="left"/>
              <w:rPr>
                <w:b/>
              </w:rPr>
            </w:pPr>
            <w:r>
              <w:rPr>
                <w:b/>
              </w:rPr>
              <w:t>Relationships with the Company:</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i/>
          <w:color w:val="000000"/>
          <w:sz w:val="20"/>
        </w:rPr>
      </w:pPr>
      <w:r>
        <w:rPr>
          <w:rFonts w:ascii="Times New Roman" w:hAnsi="Times New Roman"/>
          <w:i/>
          <w:color w:val="000000"/>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jc w:val="left"/>
        <w:rPr>
          <w:color w:val="000000"/>
        </w:rPr>
      </w:pPr>
      <w:r>
        <w:rPr>
          <w:color w:val="000000"/>
        </w:rPr>
        <w:t> </w:t>
      </w:r>
    </w:p>
    <w:p>
      <w:pPr>
        <w:pStyle w:val="TextBody"/>
        <w:bidi w:val="0"/>
        <w:spacing w:before="0" w:after="0"/>
        <w:ind w:left="1440" w:right="0" w:hanging="720"/>
        <w:jc w:val="left"/>
        <w:rPr>
          <w:rFonts w:ascii="Times New Roman" w:hAnsi="Times New Roman"/>
          <w:color w:val="000000"/>
          <w:sz w:val="20"/>
        </w:rPr>
      </w:pPr>
      <w:r>
        <w:rPr>
          <w:rFonts w:ascii="Times New Roman" w:hAnsi="Times New Roman"/>
          <w:color w:val="000000"/>
          <w:sz w:val="20"/>
        </w:rPr>
        <w:t>State any exceptions here:</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893" w:name="z3bcb41c6a7a3464ab4fcc4c42945ad79"/>
      <w:bookmarkStart w:id="894" w:name="z3bcb41c6a7a3464ab4fcc4c42945ad79"/>
      <w:bookmarkEnd w:id="894"/>
    </w:p>
    <w:tbl>
      <w:tblPr>
        <w:tblW w:w="90" w:type="dxa"/>
        <w:jc w:val="left"/>
        <w:tblInd w:w="72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undersigned, by authority duly given, has caused this Notice and Questionnaire to be executed and delivered either in person or by its duly authorized agent.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5" w:name="z52e61e045fc64f3995da40e97afbcdfa"/>
      <w:bookmarkStart w:id="896" w:name="z52e61e045fc64f3995da40e97afbcdfa"/>
      <w:bookmarkEnd w:id="896"/>
    </w:p>
    <w:tbl>
      <w:tblPr>
        <w:tblW w:w="2470" w:type="dxa"/>
        <w:jc w:val="left"/>
        <w:tblInd w:w="0" w:type="dxa"/>
        <w:tblLayout w:type="fixed"/>
        <w:tblCellMar>
          <w:top w:w="0" w:type="dxa"/>
          <w:left w:w="0" w:type="dxa"/>
          <w:bottom w:w="0" w:type="dxa"/>
          <w:right w:w="0" w:type="dxa"/>
        </w:tblCellMar>
      </w:tblPr>
      <w:tblGrid>
        <w:gridCol w:w="530"/>
        <w:gridCol w:w="60"/>
        <w:gridCol w:w="60"/>
        <w:gridCol w:w="1760"/>
        <w:gridCol w:w="60"/>
      </w:tblGrid>
      <w:tr>
        <w:trPr/>
        <w:tc>
          <w:tcPr>
            <w:tcW w:w="530" w:type="dxa"/>
            <w:tcBorders/>
            <w:vAlign w:val="center"/>
          </w:tcPr>
          <w:p>
            <w:pPr>
              <w:pStyle w:val="TableContents"/>
              <w:bidi w:val="0"/>
              <w:spacing w:before="0" w:after="0"/>
              <w:jc w:val="left"/>
              <w:rPr/>
            </w:pPr>
            <w:r>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Beneficial Owner:</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97" w:name="z2f40e0eeefcc4e5dac7e56d0dd1570d8"/>
      <w:bookmarkStart w:id="898" w:name="z2f40e0eeefcc4e5dac7e56d0dd1570d8"/>
      <w:bookmarkEnd w:id="898"/>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PLEASE EMAIL A .PDF COPY OF THE COMPLETED AND EXECUTED QUESTIONNAIRE TO: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99" w:name="ef20082158_ex10-2.htm"/>
      <w:bookmarkStart w:id="900" w:name="ksef20082158_ex102"/>
      <w:bookmarkStart w:id="901" w:name="ef20082158_ex10-2.htm"/>
      <w:bookmarkStart w:id="902" w:name="ksef20082158_ex102"/>
      <w:bookmarkEnd w:id="901"/>
      <w:bookmarkEnd w:id="90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PURCHASE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w:t>
      </w:r>
      <w:r>
        <w:rPr>
          <w:rFonts w:ascii="Times New Roman" w:hAnsi="Times New Roman"/>
          <w:b/>
          <w:color w:val="000000"/>
          <w:sz w:val="20"/>
        </w:rPr>
        <w:t>SECURITIES PURCHASE AGREEMENT</w:t>
      </w:r>
      <w:r>
        <w:rPr>
          <w:rFonts w:ascii="Times New Roman" w:hAnsi="Times New Roman"/>
          <w:color w:val="000000"/>
          <w:sz w:val="20"/>
        </w:rPr>
        <w:t xml:space="preserve"> (this “</w:t>
      </w:r>
      <w:r>
        <w:rPr>
          <w:rFonts w:ascii="Times New Roman" w:hAnsi="Times New Roman"/>
          <w:b/>
          <w:color w:val="000000"/>
          <w:sz w:val="20"/>
        </w:rPr>
        <w:t>Agreement</w:t>
      </w:r>
      <w:r>
        <w:rPr>
          <w:rFonts w:ascii="Times New Roman" w:hAnsi="Times New Roman"/>
          <w:color w:val="000000"/>
          <w:sz w:val="20"/>
        </w:rPr>
        <w:t>”) is dated as of September 17, 2026, by and among Lisata Therapeutics, Inc., a Delaware corporation (the “</w:t>
      </w:r>
      <w:r>
        <w:rPr>
          <w:rFonts w:ascii="Times New Roman" w:hAnsi="Times New Roman"/>
          <w:b/>
          <w:color w:val="000000"/>
          <w:sz w:val="20"/>
        </w:rPr>
        <w:t>Company</w:t>
      </w:r>
      <w:r>
        <w:rPr>
          <w:rFonts w:ascii="Times New Roman" w:hAnsi="Times New Roman"/>
          <w:color w:val="000000"/>
          <w:sz w:val="20"/>
        </w:rPr>
        <w:t xml:space="preserve">”), and each of the Persons listed on </w:t>
      </w:r>
      <w:r>
        <w:rPr>
          <w:rFonts w:ascii="Times New Roman" w:hAnsi="Times New Roman"/>
          <w:color w:val="000000"/>
          <w:sz w:val="20"/>
          <w:u w:val="single"/>
        </w:rPr>
        <w:t>Exhibit A</w:t>
      </w:r>
      <w:r>
        <w:rPr>
          <w:rFonts w:ascii="Times New Roman" w:hAnsi="Times New Roman"/>
          <w:color w:val="000000"/>
          <w:sz w:val="20"/>
        </w:rPr>
        <w:t xml:space="preserve"> attached to this Agreement (each, an “</w:t>
      </w:r>
      <w:r>
        <w:rPr>
          <w:rFonts w:ascii="Times New Roman" w:hAnsi="Times New Roman"/>
          <w:b/>
          <w:color w:val="000000"/>
          <w:sz w:val="20"/>
        </w:rPr>
        <w:t>Investor</w:t>
      </w:r>
      <w:r>
        <w:rPr>
          <w:rFonts w:ascii="Times New Roman" w:hAnsi="Times New Roman"/>
          <w:color w:val="000000"/>
          <w:sz w:val="20"/>
        </w:rPr>
        <w:t>” and together, the “</w:t>
      </w:r>
      <w:r>
        <w:rPr>
          <w:rFonts w:ascii="Times New Roman" w:hAnsi="Times New Roman"/>
          <w:b/>
          <w:color w:val="000000"/>
          <w:sz w:val="20"/>
        </w:rPr>
        <w:t>Investors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the Company and the Investors are executing and delivering this Agreement in reliance upon the exemption from securities registration afforded by Section 4(a)(2) of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color w:val="000000"/>
          <w:sz w:val="20"/>
        </w:rPr>
        <w:t>Preferred Shares</w:t>
      </w:r>
      <w:r>
        <w:rPr>
          <w:rFonts w:ascii="Times New Roman" w:hAnsi="Times New Roman"/>
          <w:color w:val="000000"/>
          <w:sz w:val="20"/>
        </w:rPr>
        <w:t>”) of Series C Non-Voting Convertible Preferred Stock, par value $0.01 per share (and including any other class of securities into which the Series C Non-Voting Convertible Preferred Stock may hereafter be reclassified or changed into, the “</w:t>
      </w:r>
      <w:r>
        <w:rPr>
          <w:rFonts w:ascii="Times New Roman" w:hAnsi="Times New Roman"/>
          <w:b/>
          <w:color w:val="000000"/>
          <w:sz w:val="20"/>
        </w:rPr>
        <w:t>Preferred Stock</w:t>
      </w:r>
      <w:r>
        <w:rPr>
          <w:rFonts w:ascii="Times New Roman" w:hAnsi="Times New Roman"/>
          <w:color w:val="000000"/>
          <w:sz w:val="20"/>
        </w:rPr>
        <w:t xml:space="preserve">”) of the Company, having the designation, preferences, conversion or other rights, voting powers, restrictions, limitations as to dividends, qualifications and terms and conditions as specified in the Certificate of Designations attached hereto as </w:t>
      </w:r>
      <w:r>
        <w:rPr>
          <w:rFonts w:ascii="Times New Roman" w:hAnsi="Times New Roman"/>
          <w:color w:val="000000"/>
          <w:sz w:val="20"/>
          <w:u w:val="single"/>
        </w:rPr>
        <w:t>Exhibit B</w:t>
      </w:r>
      <w:r>
        <w:rPr>
          <w:rFonts w:ascii="Times New Roman" w:hAnsi="Times New Roman"/>
          <w:color w:val="000000"/>
          <w:sz w:val="20"/>
        </w:rPr>
        <w:t xml:space="preserve"> (the “</w:t>
      </w:r>
      <w:r>
        <w:rPr>
          <w:rFonts w:ascii="Times New Roman" w:hAnsi="Times New Roman"/>
          <w:b/>
          <w:color w:val="000000"/>
          <w:sz w:val="20"/>
        </w:rPr>
        <w:t>Certificate of Designations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xml:space="preserve">, contemporaneously with the sale of the Preferred Shares, the parties hereto will execute and deliver a Registration Rights Agreement, substantially in the form attached hereto as </w:t>
      </w:r>
      <w:r>
        <w:rPr>
          <w:rFonts w:ascii="Times New Roman" w:hAnsi="Times New Roman"/>
          <w:color w:val="000000"/>
          <w:sz w:val="20"/>
          <w:u w:val="single"/>
        </w:rPr>
        <w:t>Exhibit C</w:t>
      </w:r>
      <w:r>
        <w:rPr>
          <w:rFonts w:ascii="Times New Roman" w:hAnsi="Times New Roman"/>
          <w:color w:val="000000"/>
          <w:sz w:val="20"/>
        </w:rPr>
        <w:t>, pursuant to which the Company will agree to provide certain registration rights in respect of the Conversion Shares (as defined below) under the Securities Act and applicable state securities laws;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the Company is a party to that certain Agreement and Plan of Merger by and among the Company, Marea Therapeutics, Inc., a Delaware corporation (“</w:t>
      </w:r>
      <w:r>
        <w:rPr>
          <w:rFonts w:ascii="Times New Roman" w:hAnsi="Times New Roman"/>
          <w:b/>
          <w:color w:val="000000"/>
          <w:sz w:val="20"/>
        </w:rPr>
        <w:t>Marea</w:t>
      </w:r>
      <w:r>
        <w:rPr>
          <w:rFonts w:ascii="Times New Roman" w:hAnsi="Times New Roman"/>
          <w:color w:val="000000"/>
          <w:sz w:val="20"/>
        </w:rPr>
        <w:t>”), Mariner Merger Sub I, Inc., a Delaware corporation and wholly-owned subsidiary of the Company (“</w:t>
      </w:r>
      <w:r>
        <w:rPr>
          <w:rFonts w:ascii="Times New Roman" w:hAnsi="Times New Roman"/>
          <w:b/>
          <w:color w:val="000000"/>
          <w:sz w:val="20"/>
        </w:rPr>
        <w:t>First Merger Sub</w:t>
      </w:r>
      <w:r>
        <w:rPr>
          <w:rFonts w:ascii="Times New Roman" w:hAnsi="Times New Roman"/>
          <w:color w:val="000000"/>
          <w:sz w:val="20"/>
        </w:rPr>
        <w:t>”), and Mariner Merger Sub II, LLC, a Delaware limited liability company and wholly-owned subsidiary of the Company (“</w:t>
      </w:r>
      <w:r>
        <w:rPr>
          <w:rFonts w:ascii="Times New Roman" w:hAnsi="Times New Roman"/>
          <w:b/>
          <w:color w:val="000000"/>
          <w:sz w:val="20"/>
        </w:rPr>
        <w:t>Second Merger Sub</w:t>
      </w:r>
      <w:r>
        <w:rPr>
          <w:rFonts w:ascii="Times New Roman" w:hAnsi="Times New Roman"/>
          <w:color w:val="000000"/>
          <w:sz w:val="20"/>
        </w:rPr>
        <w:t>”), dated on or around the date hereof (as amended from time to time, the “</w:t>
      </w:r>
      <w:r>
        <w:rPr>
          <w:rFonts w:ascii="Times New Roman" w:hAnsi="Times New Roman"/>
          <w:b/>
          <w:color w:val="000000"/>
          <w:sz w:val="20"/>
        </w:rPr>
        <w:t>Merger Agreement</w:t>
      </w:r>
      <w:r>
        <w:rPr>
          <w:rFonts w:ascii="Times New Roman" w:hAnsi="Times New Roman"/>
          <w:color w:val="000000"/>
          <w:sz w:val="20"/>
        </w:rPr>
        <w:t>”), pursuant to which (i) First Merger Sub will merge with and into Marea, with Marea surviving and becoming a wholly owned subsidiary of the Company, and (ii) Marea will merge with and into Second Merger Sub, with Second Merger Sub being the surviving entity and a wholly-owned subsidiary of the Company ((i) and (ii) together, the “</w:t>
      </w:r>
      <w:r>
        <w:rPr>
          <w:rFonts w:ascii="Times New Roman" w:hAnsi="Times New Roman"/>
          <w:b/>
          <w:color w:val="000000"/>
          <w:sz w:val="20"/>
        </w:rPr>
        <w:t>Merger</w:t>
      </w:r>
      <w:r>
        <w:rPr>
          <w:rFonts w:ascii="Times New Roman" w:hAnsi="Times New Roman"/>
          <w:color w:val="000000"/>
          <w:sz w:val="20"/>
        </w:rPr>
        <w:t>”), and (iii) following that time in accordance with the Merger Agreement, the Company will change its name to “Marea Therapeutics, Inc.”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NOW THEREFORE</w:t>
      </w:r>
      <w:r>
        <w:rPr>
          <w:rFonts w:ascii="Times New Roman" w:hAnsi="Times New Roman"/>
          <w:color w:val="000000"/>
          <w:sz w:val="20"/>
        </w:rPr>
        <w:t>, in consideration of the mutual agreements, representations, warranties and covenants herein contained, the Company and each Investor, severally and not jointly, agree as follows: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 As used in this Agreement, the following terms shall have the following respective meanings: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Affiliate</w:t>
      </w:r>
      <w:r>
        <w:rPr>
          <w:rFonts w:ascii="Times New Roman" w:hAnsi="Times New Roman"/>
          <w:color w:val="000000"/>
          <w:sz w:val="20"/>
        </w:rPr>
        <w:t>” means, with respect to any Person, any other Person that, directly or indirectly through one or more intermediaries, controls, is controlled by or is under common control with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Agreement</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Benefit Plan</w:t>
      </w:r>
      <w:r>
        <w:rPr>
          <w:rFonts w:ascii="Times New Roman" w:hAnsi="Times New Roman"/>
          <w:color w:val="000000"/>
          <w:sz w:val="20"/>
        </w:rPr>
        <w:t>” or “</w:t>
      </w:r>
      <w:r>
        <w:rPr>
          <w:rFonts w:ascii="Times New Roman" w:hAnsi="Times New Roman"/>
          <w:b/>
          <w:color w:val="000000"/>
          <w:sz w:val="20"/>
        </w:rPr>
        <w:t>Benefit Plans</w:t>
      </w:r>
      <w:r>
        <w:rPr>
          <w:rFonts w:ascii="Times New Roman" w:hAnsi="Times New Roman"/>
          <w:color w:val="000000"/>
          <w:sz w:val="20"/>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Board of Directors</w:t>
      </w:r>
      <w:r>
        <w:rPr>
          <w:rFonts w:ascii="Times New Roman" w:hAnsi="Times New Roman"/>
          <w:color w:val="000000"/>
          <w:sz w:val="20"/>
        </w:rPr>
        <w:t>” means the board of directors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Business Day</w:t>
      </w:r>
      <w:r>
        <w:rPr>
          <w:rFonts w:ascii="Times New Roman" w:hAnsi="Times New Roman"/>
          <w:color w:val="000000"/>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Bylaws</w:t>
      </w:r>
      <w:r>
        <w:rPr>
          <w:rFonts w:ascii="Times New Roman" w:hAnsi="Times New Roman"/>
          <w:color w:val="000000"/>
          <w:sz w:val="20"/>
        </w:rPr>
        <w:t>” means the Amended and Restated Bylaws of the Company, as currently in effect and as in effect on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Certificate of Designations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Certificate of Incorporation</w:t>
      </w:r>
      <w:r>
        <w:rPr>
          <w:rFonts w:ascii="Times New Roman" w:hAnsi="Times New Roman"/>
          <w:color w:val="000000"/>
          <w:sz w:val="20"/>
        </w:rPr>
        <w:t>” means the Amended and Restated Certificate of Incorporation of the Company, as currently in effect and as in effect on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Closing</w:t>
      </w:r>
      <w:r>
        <w:rPr>
          <w:rFonts w:ascii="Times New Roman" w:hAnsi="Times New Roman"/>
          <w:color w:val="000000"/>
          <w:sz w:val="20"/>
        </w:rPr>
        <w:t xml:space="preserve">” has the meaning set forth in </w:t>
      </w:r>
      <w:r>
        <w:rPr>
          <w:rFonts w:ascii="Times New Roman" w:hAnsi="Times New Roman"/>
          <w:color w:val="000000"/>
          <w:sz w:val="20"/>
          <w:u w:val="single"/>
        </w:rPr>
        <w:t>Section 2.2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Closing Date</w:t>
      </w:r>
      <w:r>
        <w:rPr>
          <w:rFonts w:ascii="Times New Roman" w:hAnsi="Times New Roman"/>
          <w:color w:val="000000"/>
          <w:sz w:val="20"/>
        </w:rPr>
        <w:t xml:space="preserve">” has the meaning set forth in </w:t>
      </w:r>
      <w:r>
        <w:rPr>
          <w:rFonts w:ascii="Times New Roman" w:hAnsi="Times New Roman"/>
          <w:color w:val="000000"/>
          <w:sz w:val="20"/>
          <w:u w:val="single"/>
        </w:rPr>
        <w:t>Section 2.2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Code</w:t>
      </w:r>
      <w:r>
        <w:rPr>
          <w:rFonts w:ascii="Times New Roman" w:hAnsi="Times New Roman"/>
          <w:color w:val="000000"/>
          <w:sz w:val="20"/>
        </w:rPr>
        <w:t>” means the U.S. Internal Revenue Code of 1986,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Common Stock</w:t>
      </w:r>
      <w:r>
        <w:rPr>
          <w:rFonts w:ascii="Times New Roman" w:hAnsi="Times New Roman"/>
          <w:color w:val="000000"/>
          <w:sz w:val="20"/>
        </w:rPr>
        <w:t>” means the common stock, par value $0.001 per share,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Common Stock Equivalents</w:t>
      </w:r>
      <w:r>
        <w:rPr>
          <w:rFonts w:ascii="Times New Roman" w:hAnsi="Times New Roman"/>
          <w:color w:val="000000"/>
          <w:sz w:val="20"/>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Company</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Confidential Data</w:t>
      </w:r>
      <w:r>
        <w:rPr>
          <w:rFonts w:ascii="Times New Roman" w:hAnsi="Times New Roman"/>
          <w:color w:val="000000"/>
          <w:sz w:val="20"/>
        </w:rPr>
        <w:t xml:space="preserve">” has the meaning set forth in </w:t>
      </w:r>
      <w:r>
        <w:rPr>
          <w:rFonts w:ascii="Times New Roman" w:hAnsi="Times New Roman"/>
          <w:color w:val="000000"/>
          <w:sz w:val="20"/>
          <w:u w:val="single"/>
        </w:rPr>
        <w:t>Section 3.30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Conversion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3.4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Disclosure Document</w:t>
      </w:r>
      <w:r>
        <w:rPr>
          <w:rFonts w:ascii="Times New Roman" w:hAnsi="Times New Roman"/>
          <w:color w:val="000000"/>
          <w:sz w:val="20"/>
        </w:rPr>
        <w:t xml:space="preserve">” has the meaning set forth in </w:t>
      </w:r>
      <w:r>
        <w:rPr>
          <w:rFonts w:ascii="Times New Roman" w:hAnsi="Times New Roman"/>
          <w:color w:val="000000"/>
          <w:sz w:val="20"/>
          <w:u w:val="single"/>
        </w:rPr>
        <w:t>Section 5.3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Disclosure Time</w:t>
      </w:r>
      <w:r>
        <w:rPr>
          <w:rFonts w:ascii="Times New Roman" w:hAnsi="Times New Roman"/>
          <w:color w:val="000000"/>
          <w:sz w:val="20"/>
        </w:rPr>
        <w:t xml:space="preserve">” has the meaning set forth in </w:t>
      </w:r>
      <w:r>
        <w:rPr>
          <w:rFonts w:ascii="Times New Roman" w:hAnsi="Times New Roman"/>
          <w:color w:val="000000"/>
          <w:sz w:val="20"/>
          <w:u w:val="single"/>
        </w:rPr>
        <w:t>Section 5.3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Drug Regulatory Agency</w:t>
      </w:r>
      <w:r>
        <w:rPr>
          <w:rFonts w:ascii="Times New Roman" w:hAnsi="Times New Roman"/>
          <w:color w:val="000000"/>
          <w:sz w:val="20"/>
        </w:rPr>
        <w:t>” means the U.S. Food and Drug Administration (“</w:t>
      </w:r>
      <w:r>
        <w:rPr>
          <w:rFonts w:ascii="Times New Roman" w:hAnsi="Times New Roman"/>
          <w:b/>
          <w:color w:val="000000"/>
          <w:sz w:val="20"/>
        </w:rPr>
        <w:t>FDA</w:t>
      </w:r>
      <w:r>
        <w:rPr>
          <w:rFonts w:ascii="Times New Roman" w:hAnsi="Times New Roman"/>
          <w:color w:val="000000"/>
          <w:sz w:val="20"/>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Environmental Laws</w:t>
      </w:r>
      <w:r>
        <w:rPr>
          <w:rFonts w:ascii="Times New Roman" w:hAnsi="Times New Roman"/>
          <w:color w:val="000000"/>
          <w:sz w:val="20"/>
        </w:rPr>
        <w:t xml:space="preserve">” has the meaning set forth in </w:t>
      </w:r>
      <w:r>
        <w:rPr>
          <w:rFonts w:ascii="Times New Roman" w:hAnsi="Times New Roman"/>
          <w:color w:val="000000"/>
          <w:sz w:val="20"/>
          <w:u w:val="single"/>
        </w:rPr>
        <w:t>Section 3.15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ERISA</w:t>
      </w:r>
      <w:r>
        <w:rPr>
          <w:rFonts w:ascii="Times New Roman" w:hAnsi="Times New Roman"/>
          <w:color w:val="000000"/>
          <w:sz w:val="20"/>
        </w:rPr>
        <w:t>” means the U.S. Employee Retirement Income Security Act of 1974,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Exchange Act</w:t>
      </w:r>
      <w:r>
        <w:rPr>
          <w:rFonts w:ascii="Times New Roman" w:hAnsi="Times New Roman"/>
          <w:color w:val="000000"/>
          <w:sz w:val="20"/>
        </w:rPr>
        <w:t>” means the U.S. Securities Exchange Act of 1934, as amended, and all of the rules and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Financial Statements</w:t>
      </w:r>
      <w:r>
        <w:rPr>
          <w:rFonts w:ascii="Times New Roman" w:hAnsi="Times New Roman"/>
          <w:color w:val="000000"/>
          <w:sz w:val="20"/>
        </w:rPr>
        <w:t xml:space="preserve">” has the meaning set forth in </w:t>
      </w:r>
      <w:r>
        <w:rPr>
          <w:rFonts w:ascii="Times New Roman" w:hAnsi="Times New Roman"/>
          <w:color w:val="000000"/>
          <w:sz w:val="20"/>
          <w:u w:val="single"/>
        </w:rPr>
        <w:t>Section 3.8(b)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Funding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GAAP</w:t>
      </w:r>
      <w:r>
        <w:rPr>
          <w:rFonts w:ascii="Times New Roman" w:hAnsi="Times New Roman"/>
          <w:color w:val="000000"/>
          <w:sz w:val="20"/>
        </w:rPr>
        <w:t xml:space="preserve">” has the meaning set forth in </w:t>
      </w:r>
      <w:r>
        <w:rPr>
          <w:rFonts w:ascii="Times New Roman" w:hAnsi="Times New Roman"/>
          <w:color w:val="000000"/>
          <w:sz w:val="20"/>
          <w:u w:val="single"/>
        </w:rPr>
        <w:t>Section 3.8(b)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GDPR</w:t>
      </w:r>
      <w:r>
        <w:rPr>
          <w:rFonts w:ascii="Times New Roman" w:hAnsi="Times New Roman"/>
          <w:color w:val="000000"/>
          <w:sz w:val="20"/>
        </w:rPr>
        <w:t xml:space="preserve">” has the meaning set forth in </w:t>
      </w:r>
      <w:r>
        <w:rPr>
          <w:rFonts w:ascii="Times New Roman" w:hAnsi="Times New Roman"/>
          <w:color w:val="000000"/>
          <w:sz w:val="20"/>
          <w:u w:val="single"/>
        </w:rPr>
        <w:t>Section 3.31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Governmental Authorizations</w:t>
      </w:r>
      <w:r>
        <w:rPr>
          <w:rFonts w:ascii="Times New Roman" w:hAnsi="Times New Roman"/>
          <w:color w:val="000000"/>
          <w:sz w:val="20"/>
        </w:rPr>
        <w:t xml:space="preserve">” has the meaning set forth in </w:t>
      </w:r>
      <w:r>
        <w:rPr>
          <w:rFonts w:ascii="Times New Roman" w:hAnsi="Times New Roman"/>
          <w:color w:val="000000"/>
          <w:sz w:val="20"/>
          <w:u w:val="single"/>
        </w:rPr>
        <w:t>Section 3.11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Health Care Laws</w:t>
      </w:r>
      <w:r>
        <w:rPr>
          <w:rFonts w:ascii="Times New Roman" w:hAnsi="Times New Roman"/>
          <w:color w:val="000000"/>
          <w:sz w:val="20"/>
        </w:rPr>
        <w:t xml:space="preserve">” has the meaning set forth in </w:t>
      </w:r>
      <w:r>
        <w:rPr>
          <w:rFonts w:ascii="Times New Roman" w:hAnsi="Times New Roman"/>
          <w:color w:val="000000"/>
          <w:sz w:val="20"/>
          <w:u w:val="single"/>
        </w:rPr>
        <w:t>Section 3.21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HIPAA</w:t>
      </w:r>
      <w:r>
        <w:rPr>
          <w:rFonts w:ascii="Times New Roman" w:hAnsi="Times New Roman"/>
          <w:color w:val="000000"/>
          <w:sz w:val="20"/>
        </w:rPr>
        <w:t xml:space="preserve">” has the meaning set forth in </w:t>
      </w:r>
      <w:r>
        <w:rPr>
          <w:rFonts w:ascii="Times New Roman" w:hAnsi="Times New Roman"/>
          <w:color w:val="000000"/>
          <w:sz w:val="20"/>
          <w:u w:val="single"/>
        </w:rPr>
        <w:t>Section 3.30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 xml:space="preserve">Indemnified Person” </w:t>
      </w:r>
      <w:r>
        <w:rPr>
          <w:rFonts w:ascii="Times New Roman" w:hAnsi="Times New Roman"/>
          <w:color w:val="000000"/>
          <w:sz w:val="20"/>
        </w:rPr>
        <w:t xml:space="preserve">has the meaning set forth in </w:t>
      </w:r>
      <w:r>
        <w:rPr>
          <w:rFonts w:ascii="Times New Roman" w:hAnsi="Times New Roman"/>
          <w:color w:val="000000"/>
          <w:sz w:val="20"/>
          <w:u w:val="single"/>
        </w:rPr>
        <w:t>Section 5.10(a)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Intellectual Property</w:t>
      </w:r>
      <w:r>
        <w:rPr>
          <w:rFonts w:ascii="Times New Roman" w:hAnsi="Times New Roman"/>
          <w:color w:val="000000"/>
          <w:sz w:val="20"/>
        </w:rPr>
        <w:t xml:space="preserve">” has the meaning set forth in </w:t>
      </w:r>
      <w:r>
        <w:rPr>
          <w:rFonts w:ascii="Times New Roman" w:hAnsi="Times New Roman"/>
          <w:color w:val="000000"/>
          <w:sz w:val="20"/>
          <w:u w:val="single"/>
        </w:rPr>
        <w:t>Section 3.12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Investor</w:t>
      </w:r>
      <w:r>
        <w:rPr>
          <w:rFonts w:ascii="Times New Roman" w:hAnsi="Times New Roman"/>
          <w:color w:val="000000"/>
          <w:sz w:val="20"/>
        </w:rPr>
        <w:t>” and “</w:t>
      </w:r>
      <w:r>
        <w:rPr>
          <w:rFonts w:ascii="Times New Roman" w:hAnsi="Times New Roman"/>
          <w:b/>
          <w:color w:val="000000"/>
          <w:sz w:val="20"/>
        </w:rPr>
        <w:t>Investors</w:t>
      </w:r>
      <w:r>
        <w:rPr>
          <w:rFonts w:ascii="Times New Roman" w:hAnsi="Times New Roman"/>
          <w:color w:val="000000"/>
          <w:sz w:val="20"/>
        </w:rPr>
        <w:t>” have the meanings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Investor Majority</w:t>
      </w:r>
      <w:r>
        <w:rPr>
          <w:rFonts w:ascii="Times New Roman" w:hAnsi="Times New Roman"/>
          <w:color w:val="000000"/>
          <w:sz w:val="20"/>
        </w:rPr>
        <w:t>” means Investors that agreed to purchase a majority of the Preferred Shares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IT Systems</w:t>
      </w:r>
      <w:r>
        <w:rPr>
          <w:rFonts w:ascii="Times New Roman" w:hAnsi="Times New Roman"/>
          <w:color w:val="000000"/>
          <w:sz w:val="20"/>
        </w:rPr>
        <w:t xml:space="preserve">” has the meaning set forth in </w:t>
      </w:r>
      <w:r>
        <w:rPr>
          <w:rFonts w:ascii="Times New Roman" w:hAnsi="Times New Roman"/>
          <w:color w:val="000000"/>
          <w:sz w:val="20"/>
          <w:u w:val="single"/>
        </w:rPr>
        <w:t>Section 3.30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Material Adverse Effect</w:t>
      </w:r>
      <w:r>
        <w:rPr>
          <w:rFonts w:ascii="Times New Roman" w:hAnsi="Times New Roman"/>
          <w:color w:val="000000"/>
          <w:sz w:val="20"/>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any change generally affecting the economy, financial markets or political, economic or regulatory conditions in the United States or any other geographic region in which the Company conducts business, provided that the Company is not disproportionately affected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(ii)       general financial, credit or capital market conditions, including interest rates or exchange rates, or any changes therein, provided that the Company is not disproportionately affected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(iii)      any change that generally affects industries in which the Company and its subsidiaries conduct business, provided that the Company is not disproportionately affected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is not disproportionately affected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(vi)        material changes in laws after the date of this Agreement;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(vii)       in and of itself, any material failure by the Company to meet any published or internally prepared estimates of drug development timelines,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Nasdaq</w:t>
      </w:r>
      <w:r>
        <w:rPr>
          <w:rFonts w:ascii="Times New Roman" w:hAnsi="Times New Roman"/>
          <w:color w:val="000000"/>
          <w:sz w:val="20"/>
        </w:rPr>
        <w:t>” means the Nasdaq Stock Market LLC.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National Exchange</w:t>
      </w:r>
      <w:r>
        <w:rPr>
          <w:rFonts w:ascii="Times New Roman" w:hAnsi="Times New Roman"/>
          <w:color w:val="000000"/>
          <w:sz w:val="20"/>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Person</w:t>
      </w:r>
      <w:r>
        <w:rPr>
          <w:rFonts w:ascii="Times New Roman" w:hAnsi="Times New Roman"/>
          <w:color w:val="000000"/>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Personal Data</w:t>
      </w:r>
      <w:r>
        <w:rPr>
          <w:rFonts w:ascii="Times New Roman" w:hAnsi="Times New Roman"/>
          <w:color w:val="000000"/>
          <w:sz w:val="20"/>
        </w:rPr>
        <w:t xml:space="preserve">” has the meaning set forth in </w:t>
      </w:r>
      <w:r>
        <w:rPr>
          <w:rFonts w:ascii="Times New Roman" w:hAnsi="Times New Roman"/>
          <w:color w:val="000000"/>
          <w:sz w:val="20"/>
          <w:u w:val="single"/>
        </w:rPr>
        <w:t>Section 3.30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Placement Agent(s)</w:t>
      </w:r>
      <w:r>
        <w:rPr>
          <w:rFonts w:ascii="Times New Roman" w:hAnsi="Times New Roman"/>
          <w:color w:val="000000"/>
          <w:sz w:val="20"/>
        </w:rPr>
        <w:t>” means Jefferies LLC, Leerink Partners LLC, Guggenheim Securities, LLC, Cantor Fitzgerald &amp; Co. and LifeSci Capital, LLC, and each of them.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Preferred Shares</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Preferred Stock</w:t>
      </w:r>
      <w:r>
        <w:rPr>
          <w:rFonts w:ascii="Times New Roman" w:hAnsi="Times New Roman"/>
          <w:color w:val="000000"/>
          <w:sz w:val="20"/>
        </w:rPr>
        <w:t>” has the meaning set forth in the 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Privacy Laws</w:t>
      </w:r>
      <w:r>
        <w:rPr>
          <w:rFonts w:ascii="Times New Roman" w:hAnsi="Times New Roman"/>
          <w:color w:val="000000"/>
          <w:sz w:val="20"/>
        </w:rPr>
        <w:t xml:space="preserve">” has the meaning set forth in </w:t>
      </w:r>
      <w:r>
        <w:rPr>
          <w:rFonts w:ascii="Times New Roman" w:hAnsi="Times New Roman"/>
          <w:color w:val="000000"/>
          <w:sz w:val="20"/>
          <w:u w:val="single"/>
        </w:rPr>
        <w:t>Section 3.31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Privacy Statements</w:t>
      </w:r>
      <w:r>
        <w:rPr>
          <w:rFonts w:ascii="Times New Roman" w:hAnsi="Times New Roman"/>
          <w:color w:val="000000"/>
          <w:sz w:val="20"/>
        </w:rPr>
        <w:t xml:space="preserve">” has the meaning set forth in </w:t>
      </w:r>
      <w:r>
        <w:rPr>
          <w:rFonts w:ascii="Times New Roman" w:hAnsi="Times New Roman"/>
          <w:color w:val="000000"/>
          <w:sz w:val="20"/>
          <w:u w:val="single"/>
        </w:rPr>
        <w:t>Section 3.31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Process</w:t>
      </w:r>
      <w:r>
        <w:rPr>
          <w:rFonts w:ascii="Times New Roman" w:hAnsi="Times New Roman"/>
          <w:color w:val="000000"/>
          <w:sz w:val="20"/>
        </w:rPr>
        <w:t>” or “</w:t>
      </w:r>
      <w:r>
        <w:rPr>
          <w:rFonts w:ascii="Times New Roman" w:hAnsi="Times New Roman"/>
          <w:b/>
          <w:color w:val="000000"/>
          <w:sz w:val="20"/>
        </w:rPr>
        <w:t>Processing</w:t>
      </w:r>
      <w:r>
        <w:rPr>
          <w:rFonts w:ascii="Times New Roman" w:hAnsi="Times New Roman"/>
          <w:color w:val="000000"/>
          <w:sz w:val="20"/>
        </w:rPr>
        <w:t xml:space="preserve">” has the meaning set forth in </w:t>
      </w:r>
      <w:r>
        <w:rPr>
          <w:rFonts w:ascii="Times New Roman" w:hAnsi="Times New Roman"/>
          <w:color w:val="000000"/>
          <w:sz w:val="20"/>
          <w:u w:val="single"/>
        </w:rPr>
        <w:t>Section 3.31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Registration Rights Agreement</w:t>
      </w:r>
      <w:r>
        <w:rPr>
          <w:rFonts w:ascii="Times New Roman" w:hAnsi="Times New Roman"/>
          <w:color w:val="000000"/>
          <w:sz w:val="20"/>
        </w:rPr>
        <w:t xml:space="preserve">” has the meaning set forth in </w:t>
      </w:r>
      <w:r>
        <w:rPr>
          <w:rFonts w:ascii="Times New Roman" w:hAnsi="Times New Roman"/>
          <w:color w:val="000000"/>
          <w:sz w:val="20"/>
          <w:u w:val="single"/>
        </w:rPr>
        <w:t>Section 6.1(k)</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Regulatory Agencies</w:t>
      </w:r>
      <w:r>
        <w:rPr>
          <w:rFonts w:ascii="Times New Roman" w:hAnsi="Times New Roman"/>
          <w:color w:val="000000"/>
          <w:sz w:val="20"/>
        </w:rPr>
        <w:t xml:space="preserve">” has the meaning set forth in </w:t>
      </w:r>
      <w:r>
        <w:rPr>
          <w:rFonts w:ascii="Times New Roman" w:hAnsi="Times New Roman"/>
          <w:color w:val="000000"/>
          <w:sz w:val="20"/>
          <w:u w:val="single"/>
        </w:rPr>
        <w:t>Section 3.20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Requisite Stockholder Approval</w:t>
      </w:r>
      <w:r>
        <w:rPr>
          <w:rFonts w:ascii="Times New Roman" w:hAnsi="Times New Roman"/>
          <w:color w:val="000000"/>
          <w:sz w:val="20"/>
        </w:rPr>
        <w:t>” means the approval of the Stockholder Approval Matter by holders of Common Stock (provided that no Person receiving shares of Common Stock issued pursuant to the Merger Agreement shall be entitled to vote such shares at the Stockholders’ Meeting) representing a majority of shares present in person or represented by proxy at the Stockholders’ Meeting and entitled to vote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Rule 144</w:t>
      </w:r>
      <w:r>
        <w:rPr>
          <w:rFonts w:ascii="Times New Roman" w:hAnsi="Times New Roman"/>
          <w:color w:val="000000"/>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SEC</w:t>
      </w:r>
      <w:r>
        <w:rPr>
          <w:rFonts w:ascii="Times New Roman" w:hAnsi="Times New Roman"/>
          <w:color w:val="000000"/>
          <w:sz w:val="20"/>
        </w:rPr>
        <w:t>” means the U.S.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SEC Reports</w:t>
      </w:r>
      <w:r>
        <w:rPr>
          <w:rFonts w:ascii="Times New Roman" w:hAnsi="Times New Roman"/>
          <w:color w:val="000000"/>
          <w:sz w:val="24"/>
        </w:rPr>
        <w:t xml:space="preserve">” </w:t>
      </w:r>
      <w:r>
        <w:rPr>
          <w:rFonts w:ascii="Times New Roman" w:hAnsi="Times New Roman"/>
          <w:color w:val="000000"/>
          <w:sz w:val="20"/>
        </w:rPr>
        <w:t>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Securities</w:t>
      </w:r>
      <w:r>
        <w:rPr>
          <w:rFonts w:ascii="Times New Roman" w:hAnsi="Times New Roman"/>
          <w:color w:val="000000"/>
          <w:sz w:val="20"/>
        </w:rPr>
        <w:t>” means the Preferred Shares and the Conversion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Securities Act</w:t>
      </w:r>
      <w:r>
        <w:rPr>
          <w:rFonts w:ascii="Times New Roman" w:hAnsi="Times New Roman"/>
          <w:color w:val="000000"/>
          <w:sz w:val="20"/>
        </w:rPr>
        <w:t>” means the U.S. Securities Act of 1933, as amended, and all of the rules and regulations promulgated thereunder.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Short Sales</w:t>
      </w:r>
      <w:r>
        <w:rPr>
          <w:rFonts w:ascii="Times New Roman" w:hAnsi="Times New Roman"/>
          <w:color w:val="000000"/>
          <w:sz w:val="20"/>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Stockholder Approval Matter</w:t>
      </w:r>
      <w:r>
        <w:rPr>
          <w:rFonts w:ascii="Times New Roman" w:hAnsi="Times New Roman"/>
          <w:color w:val="000000"/>
          <w:sz w:val="20"/>
        </w:rPr>
        <w:t>” means a proposal to approve, for purposes of the listing rules of Nasdaq, the issuance of shares of Common Stock to the holders of Preferred Stock (including the shares of Preferred Stock issued pursuant to the transactions contemplated by the Merger Agreement and this Agreement) upon conversion of the Preferred Stock in accordance with the terms of the Certificate of Designation.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Stockholders’ Meeting</w:t>
      </w:r>
      <w:r>
        <w:rPr>
          <w:rFonts w:ascii="Times New Roman" w:hAnsi="Times New Roman"/>
          <w:color w:val="000000"/>
          <w:sz w:val="20"/>
        </w:rPr>
        <w:t>” means a meeting of the stockholders of the Company at which the approval of the Stockholder Approval Matter is sought.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Studies</w:t>
      </w:r>
      <w:r>
        <w:rPr>
          <w:rFonts w:ascii="Times New Roman" w:hAnsi="Times New Roman"/>
          <w:color w:val="000000"/>
          <w:sz w:val="20"/>
        </w:rPr>
        <w:t xml:space="preserve">” has the meaning set forth in </w:t>
      </w:r>
      <w:r>
        <w:rPr>
          <w:rFonts w:ascii="Times New Roman" w:hAnsi="Times New Roman"/>
          <w:color w:val="000000"/>
          <w:sz w:val="20"/>
          <w:u w:val="single"/>
        </w:rPr>
        <w:t>Section 3.20.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Tax</w:t>
      </w:r>
      <w:r>
        <w:rPr>
          <w:rFonts w:ascii="Times New Roman" w:hAnsi="Times New Roman"/>
          <w:color w:val="000000"/>
          <w:sz w:val="20"/>
        </w:rPr>
        <w:t>” or “</w:t>
      </w:r>
      <w:r>
        <w:rPr>
          <w:rFonts w:ascii="Times New Roman" w:hAnsi="Times New Roman"/>
          <w:b/>
          <w:color w:val="000000"/>
          <w:sz w:val="20"/>
        </w:rPr>
        <w:t>Taxes</w:t>
      </w:r>
      <w:r>
        <w:rPr>
          <w:rFonts w:ascii="Times New Roman" w:hAnsi="Times New Roman"/>
          <w:color w:val="000000"/>
          <w:sz w:val="20"/>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Tax Returns</w:t>
      </w:r>
      <w:r>
        <w:rPr>
          <w:rFonts w:ascii="Times New Roman" w:hAnsi="Times New Roman"/>
          <w:color w:val="000000"/>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Transaction Agreements</w:t>
      </w:r>
      <w:r>
        <w:rPr>
          <w:rFonts w:ascii="Times New Roman" w:hAnsi="Times New Roman"/>
          <w:color w:val="000000"/>
          <w:sz w:val="20"/>
        </w:rPr>
        <w:t>” means this Agreement, the Registration Rights Agreement, and any other documents or agreements explicitly contemplated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Transfer Agent</w:t>
      </w:r>
      <w:r>
        <w:rPr>
          <w:rFonts w:ascii="Times New Roman" w:hAnsi="Times New Roman"/>
          <w:color w:val="000000"/>
          <w:sz w:val="20"/>
        </w:rPr>
        <w:t>” means, with respect to the Common Stock, Equiniti Trust Company or such other financial institution that provides transfer agent services as the Company may engage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Purchase and Sale of Preferred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2.1        </w:t>
      </w:r>
      <w:r>
        <w:rPr>
          <w:rFonts w:ascii="Times New Roman" w:hAnsi="Times New Roman"/>
          <w:color w:val="000000"/>
          <w:sz w:val="20"/>
          <w:u w:val="single"/>
        </w:rPr>
        <w:t>Purchase and Sale</w:t>
      </w:r>
      <w:r>
        <w:rPr>
          <w:rFonts w:ascii="Times New Roman" w:hAnsi="Times New Roman"/>
          <w:color w:val="000000"/>
          <w:sz w:val="20"/>
        </w:rPr>
        <w:t xml:space="preserve">. On the Closing Date, upon the terms and subject to the conditions set forth herein, the Company agrees to sell, and the Investors, severally and not jointly, agree to purchase, the number of Preferred Shares, for the aggregate purchase price, set forth opposite such Investor’s name on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2.2         </w:t>
      </w:r>
      <w:r>
        <w:rPr>
          <w:rFonts w:ascii="Times New Roman" w:hAnsi="Times New Roman"/>
          <w:color w:val="000000"/>
          <w:sz w:val="20"/>
          <w:u w:val="single"/>
        </w:rPr>
        <w:t>Closing</w:t>
      </w:r>
      <w:r>
        <w:rPr>
          <w:rFonts w:ascii="Times New Roman" w:hAnsi="Times New Roman"/>
          <w:color w:val="000000"/>
          <w:sz w:val="20"/>
        </w:rPr>
        <w:t xml:space="preserve">. Subject to the satisfaction or waiver of the conditions set forth in </w:t>
      </w:r>
      <w:r>
        <w:rPr>
          <w:rFonts w:ascii="Times New Roman" w:hAnsi="Times New Roman"/>
          <w:color w:val="000000"/>
          <w:sz w:val="20"/>
          <w:u w:val="single"/>
        </w:rPr>
        <w:t>Section 6</w:t>
      </w:r>
      <w:r>
        <w:rPr>
          <w:rFonts w:ascii="Times New Roman" w:hAnsi="Times New Roman"/>
          <w:color w:val="000000"/>
          <w:sz w:val="20"/>
        </w:rPr>
        <w:t xml:space="preserve"> of this Agreement, the closing of the purchase and sale of the Preferred Shares (the “</w:t>
      </w:r>
      <w:r>
        <w:rPr>
          <w:rFonts w:ascii="Times New Roman" w:hAnsi="Times New Roman"/>
          <w:b/>
          <w:color w:val="000000"/>
          <w:sz w:val="20"/>
        </w:rPr>
        <w:t>Closing</w:t>
      </w:r>
      <w:r>
        <w:rPr>
          <w:rFonts w:ascii="Times New Roman" w:hAnsi="Times New Roman"/>
          <w:color w:val="000000"/>
          <w:sz w:val="20"/>
        </w:rPr>
        <w:t>” and the date on which the Closing occurs, the “</w:t>
      </w:r>
      <w:r>
        <w:rPr>
          <w:rFonts w:ascii="Times New Roman" w:hAnsi="Times New Roman"/>
          <w:b/>
          <w:color w:val="000000"/>
          <w:sz w:val="20"/>
        </w:rPr>
        <w:t>Closing Date</w:t>
      </w:r>
      <w:r>
        <w:rPr>
          <w:rFonts w:ascii="Times New Roman" w:hAnsi="Times New Roman"/>
          <w:color w:val="000000"/>
          <w:sz w:val="20"/>
        </w:rPr>
        <w:t>”) shall occur remotely via the exchange of executed documents and funds on the first Business Day after the date hereof, or at such other time as agreed to by the Company and the Investor Majority. Concurrently with or prior to the execution and delivery of this Agreement, the Company has provided written notice to the Investors (the “</w:t>
      </w:r>
      <w:r>
        <w:rPr>
          <w:rFonts w:ascii="Times New Roman" w:hAnsi="Times New Roman"/>
          <w:b/>
          <w:color w:val="000000"/>
          <w:sz w:val="20"/>
        </w:rPr>
        <w:t>Funding Notice</w:t>
      </w:r>
      <w:r>
        <w:rPr>
          <w:rFonts w:ascii="Times New Roman" w:hAnsi="Times New Roman"/>
          <w:color w:val="000000"/>
          <w:sz w:val="20"/>
        </w:rPr>
        <w:t xml:space="preserve">”) of the anticipated Closing Date and the wire instructions for delivery of the Aggregate Purchase Amount. At the Closing, the Preferred Shares purchased by each Investor shall be issued and registered in the name of such Investor, or in such nominee name(s) as designated by such Investor, representing the number of Preferred Shares to be purchased by such Investor at such Closing as set forth in </w:t>
      </w:r>
      <w:r>
        <w:rPr>
          <w:rFonts w:ascii="Times New Roman" w:hAnsi="Times New Roman"/>
          <w:color w:val="000000"/>
          <w:sz w:val="20"/>
          <w:u w:val="single"/>
        </w:rPr>
        <w:t>Exhibit A</w:t>
      </w:r>
      <w:r>
        <w:rPr>
          <w:rFonts w:ascii="Times New Roman" w:hAnsi="Times New Roman"/>
          <w:color w:val="000000"/>
          <w:sz w:val="20"/>
        </w:rPr>
        <w:t>, in each case against payment to the Company of the purchase price therefor (the “</w:t>
      </w:r>
      <w:r>
        <w:rPr>
          <w:rFonts w:ascii="Times New Roman" w:hAnsi="Times New Roman"/>
          <w:b/>
          <w:color w:val="000000"/>
          <w:sz w:val="20"/>
        </w:rPr>
        <w:t>Aggregate Purchase Amount</w:t>
      </w:r>
      <w:r>
        <w:rPr>
          <w:rFonts w:ascii="Times New Roman" w:hAnsi="Times New Roman"/>
          <w:color w:val="000000"/>
          <w:sz w:val="20"/>
        </w:rPr>
        <w:t xml:space="preserve">”) in full, by wire transfer to the Company of immediately available funds, at or prior to the Closing, in accordance with wire instructions provided by the Company to the Investors in the Funding Notice. On the Closing Date, the Company will cause the Transfer Agent to issue the Preferred Shares in book-entry form, free and clear of all restrictive and other legends (except as expressly provided in </w:t>
      </w:r>
      <w:r>
        <w:rPr>
          <w:rFonts w:ascii="Times New Roman" w:hAnsi="Times New Roman"/>
          <w:color w:val="000000"/>
          <w:sz w:val="20"/>
          <w:u w:val="single"/>
        </w:rPr>
        <w:t>Section 4.10</w:t>
      </w:r>
      <w:r>
        <w:rPr>
          <w:rFonts w:ascii="Times New Roman" w:hAnsi="Times New Roman"/>
          <w:color w:val="000000"/>
          <w:sz w:val="20"/>
        </w:rPr>
        <w:t xml:space="preserve"> hereof) and the Company shall provide evidence of such issuance from the Transfer Agent as soon as reasonably practical following the Closing Date to each Investor. In the event that the Closing has not occurred within two Business Days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Preferred Shares shall be deemed cancelled; provided that, unless this Agreement has been terminated pursuant to </w:t>
      </w:r>
      <w:r>
        <w:rPr>
          <w:rFonts w:ascii="Times New Roman" w:hAnsi="Times New Roman"/>
          <w:color w:val="000000"/>
          <w:sz w:val="20"/>
          <w:u w:val="single"/>
        </w:rPr>
        <w:t>Section 7</w:t>
      </w:r>
      <w:r>
        <w:rPr>
          <w:rFonts w:ascii="Times New Roman" w:hAnsi="Times New Roman"/>
          <w:color w:val="000000"/>
          <w:sz w:val="20"/>
        </w:rPr>
        <w:t xml:space="preserve">, such return of funds shall not terminate this Agreement or relieve such Investor of its obligation to purchase, or the Company of its obligation to issue and sell, the Preferred Shares at the Closing. Notwithstanding the foregoing or anything in this Agreement to the contrary, the Company may amend </w:t>
      </w:r>
      <w:r>
        <w:rPr>
          <w:rFonts w:ascii="Times New Roman" w:hAnsi="Times New Roman"/>
          <w:color w:val="000000"/>
          <w:sz w:val="20"/>
          <w:u w:val="single"/>
        </w:rPr>
        <w:t>Exhibit A</w:t>
      </w:r>
      <w:r>
        <w:rPr>
          <w:rFonts w:ascii="Times New Roman" w:hAnsi="Times New Roman"/>
          <w:color w:val="000000"/>
          <w:sz w:val="20"/>
        </w:rPr>
        <w:t xml:space="preserve"> following the Closing, without the consent of the other parties hereto, to reflect the number of Preferred Shares purchased and the Aggregate Purchase Amount to be paid in accordance with </w:t>
      </w:r>
      <w:r>
        <w:rPr>
          <w:rFonts w:ascii="Times New Roman" w:hAnsi="Times New Roman"/>
          <w:color w:val="000000"/>
          <w:sz w:val="20"/>
          <w:u w:val="single"/>
        </w:rPr>
        <w:t>Section 2.1</w:t>
      </w:r>
      <w:r>
        <w:rPr>
          <w:rFonts w:ascii="Times New Roman" w:hAnsi="Times New Roman"/>
          <w:color w:val="000000"/>
          <w:sz w:val="20"/>
        </w:rPr>
        <w:t xml:space="preserve"> and </w:t>
      </w:r>
      <w:r>
        <w:rPr>
          <w:rFonts w:ascii="Times New Roman" w:hAnsi="Times New Roman"/>
          <w:color w:val="000000"/>
          <w:sz w:val="20"/>
          <w:u w:val="single"/>
        </w:rPr>
        <w:t>Section 2.2</w:t>
      </w:r>
      <w:r>
        <w:rPr>
          <w:rFonts w:ascii="Times New Roman" w:hAnsi="Times New Roman"/>
          <w:color w:val="000000"/>
          <w:sz w:val="20"/>
        </w:rPr>
        <w:t xml:space="preserve"> by each applicable Investor, provided, that except as contemplated herein, no Investor’s aggregate shares set forth under the heading “Shares” as set forth on </w:t>
      </w:r>
      <w:r>
        <w:rPr>
          <w:rFonts w:ascii="Times New Roman" w:hAnsi="Times New Roman"/>
          <w:color w:val="000000"/>
          <w:sz w:val="20"/>
          <w:u w:val="single"/>
        </w:rPr>
        <w:t>Exhibit A</w:t>
      </w:r>
      <w:r>
        <w:rPr>
          <w:rFonts w:ascii="Times New Roman" w:hAnsi="Times New Roman"/>
          <w:color w:val="000000"/>
          <w:sz w:val="20"/>
        </w:rPr>
        <w:t xml:space="preserve"> may be reduced or increased without such Investor’s prior written consent (not to be unreasonably withheld, conditioned or delayed), and shall provide such updated </w:t>
      </w:r>
      <w:r>
        <w:rPr>
          <w:rFonts w:ascii="Times New Roman" w:hAnsi="Times New Roman"/>
          <w:color w:val="000000"/>
          <w:sz w:val="20"/>
          <w:u w:val="single"/>
        </w:rPr>
        <w:t>Exhibit A</w:t>
      </w:r>
      <w:r>
        <w:rPr>
          <w:rFonts w:ascii="Times New Roman" w:hAnsi="Times New Roman"/>
          <w:color w:val="000000"/>
          <w:sz w:val="20"/>
        </w:rPr>
        <w:t xml:space="preserve"> to an Investor upon request.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Representations and Warranties of the Company</w:t>
      </w:r>
      <w:r>
        <w:rPr>
          <w:rFonts w:ascii="Times New Roman" w:hAnsi="Times New Roman"/>
          <w:color w:val="000000"/>
          <w:sz w:val="20"/>
        </w:rPr>
        <w:t xml:space="preserve">. Except as set forth in the SEC Reports, the Company hereby represents and warrants to each of the Investors and the Placement Agents that the statements contained in this </w:t>
      </w:r>
      <w:r>
        <w:rPr>
          <w:rFonts w:ascii="Times New Roman" w:hAnsi="Times New Roman"/>
          <w:color w:val="000000"/>
          <w:sz w:val="20"/>
          <w:u w:val="single"/>
        </w:rPr>
        <w:t>Section 3</w:t>
      </w:r>
      <w:r>
        <w:rPr>
          <w:rFonts w:ascii="Times New Roman" w:hAnsi="Times New Roman"/>
          <w:color w:val="000000"/>
          <w:sz w:val="20"/>
        </w:rPr>
        <w:t xml:space="preserve"> are true and correct as of the date of this Agreement (except for the representations and warranties that speak as of a specific date, which shall be made as of such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3.1        </w:t>
      </w:r>
      <w:r>
        <w:rPr>
          <w:rFonts w:ascii="Times New Roman" w:hAnsi="Times New Roman"/>
          <w:color w:val="000000"/>
          <w:sz w:val="20"/>
          <w:u w:val="single"/>
        </w:rPr>
        <w:t>Organization and Power</w:t>
      </w:r>
      <w:r>
        <w:rPr>
          <w:rFonts w:ascii="Times New Roman" w:hAnsi="Times New Roman"/>
          <w:color w:val="000000"/>
          <w:sz w:val="20"/>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3.2       </w:t>
      </w:r>
      <w:r>
        <w:rPr>
          <w:rFonts w:ascii="Times New Roman" w:hAnsi="Times New Roman"/>
          <w:color w:val="000000"/>
          <w:sz w:val="20"/>
          <w:u w:val="single"/>
        </w:rPr>
        <w:t>Capitalization</w:t>
      </w:r>
      <w:r>
        <w:rPr>
          <w:rFonts w:ascii="Times New Roman" w:hAnsi="Times New Roman"/>
          <w:color w:val="000000"/>
          <w:sz w:val="20"/>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3.3        </w:t>
      </w:r>
      <w:r>
        <w:rPr>
          <w:rFonts w:ascii="Times New Roman" w:hAnsi="Times New Roman"/>
          <w:color w:val="000000"/>
          <w:sz w:val="20"/>
          <w:u w:val="single"/>
        </w:rPr>
        <w:t>Registration Rights</w:t>
      </w:r>
      <w:r>
        <w:rPr>
          <w:rFonts w:ascii="Times New Roman" w:hAnsi="Times New Roman"/>
          <w:color w:val="000000"/>
          <w:sz w:val="20"/>
        </w:rPr>
        <w:t>. Except (i) as set forth in the Transaction Agreements or disclosed in the SEC Reports and (ii) for the rights granted to certain Marea stockholders pursuant to the Company Stockholders Registration Rights Agreement (as defined in the Merger Agreement),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3.4        </w:t>
      </w:r>
      <w:r>
        <w:rPr>
          <w:rFonts w:ascii="Times New Roman" w:hAnsi="Times New Roman"/>
          <w:color w:val="000000"/>
          <w:sz w:val="20"/>
          <w:u w:val="single"/>
        </w:rPr>
        <w:t>Authorization</w:t>
      </w:r>
      <w:r>
        <w:rPr>
          <w:rFonts w:ascii="Times New Roman" w:hAnsi="Times New Roman"/>
          <w:color w:val="000000"/>
          <w:sz w:val="20"/>
        </w:rPr>
        <w:t>. The Company has all requisite corporate power and authority to enter into the Transaction Agreements and to carry out and perform its obligations under the terms of the Transaction Agreements, including the issuance and sale of the Preferred Shares and the issuance of the shares of Common Stock issuable upon conversion of the Preferred Shares (the “</w:t>
      </w:r>
      <w:r>
        <w:rPr>
          <w:rFonts w:ascii="Times New Roman" w:hAnsi="Times New Roman"/>
          <w:b/>
          <w:color w:val="000000"/>
          <w:sz w:val="20"/>
        </w:rPr>
        <w:t>Conversion Shares</w:t>
      </w:r>
      <w:r>
        <w:rPr>
          <w:rFonts w:ascii="Times New Roman" w:hAnsi="Times New Roman"/>
          <w:color w:val="000000"/>
          <w:sz w:val="20"/>
        </w:rPr>
        <w:t>”). Except for the Requisite Stockholder Approval, all corporate action on the part of the Company, its officers, directors and stockholders necessary for the authorization of the Preferred Shares and (subject to the receipt of the Requisite Stockholder Approval) the Conversion Shares, the authorization, execution, delivery and performance of the Transaction Agreements and the consummation of the transactions contemplated herein, including the issuance and sale of the Preferred Shares and the Conversion Shares, and the reservation of the Conversion Shares, has been taken. This Agreement has been duly executed and delivered by the Company and, assuming the due authorization, execution and delivery by each Investor of this Agreement and that this Agreement constitutes the legal, valid and binding agreement of each Investor, this Agreement and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3.5       </w:t>
      </w:r>
      <w:r>
        <w:rPr>
          <w:rFonts w:ascii="Times New Roman" w:hAnsi="Times New Roman"/>
          <w:color w:val="000000"/>
          <w:sz w:val="20"/>
          <w:u w:val="single"/>
        </w:rPr>
        <w:t>Valid Issuance</w:t>
      </w:r>
      <w:r>
        <w:rPr>
          <w:rFonts w:ascii="Times New Roman" w:hAnsi="Times New Roman"/>
          <w:color w:val="000000"/>
          <w:sz w:val="20"/>
        </w:rPr>
        <w:t xml:space="preserve">. The Preferred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Preferred Shares shall be entitled to all rights accorded to a holder of Preferred Stock. The Conversion Shares have been duly and validly authorized and reserved for issuance and, upon issuance in accordance with the terms of the Certificate of Designations and subject to the receipt of the Requisite Stockholder Approval, will be duly and validly issued, fully paid and non-assessable and will be issued free and clear of any liens or other restrictions (other than restrictions on transfer under applicable state and federal securities laws) and the holder of the Conversion Shares shall be entitled to all rights accorded to a holder of Common Stock. The issuance and delivery of the Preferred Shares do not, and the issuance and delivery of the Conversion Shares upon conversion of Preferred Shares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or (c) be subject to any preemptive right, right of first offer, or any similar right of any Person. Subject to the accuracy of the representations and warranties made by the Investors in </w:t>
      </w:r>
      <w:r>
        <w:rPr>
          <w:rFonts w:ascii="Times New Roman" w:hAnsi="Times New Roman"/>
          <w:color w:val="000000"/>
          <w:sz w:val="20"/>
          <w:u w:val="single"/>
        </w:rPr>
        <w:t>Section 4</w:t>
      </w:r>
      <w:r>
        <w:rPr>
          <w:rFonts w:ascii="Times New Roman" w:hAnsi="Times New Roman"/>
          <w:color w:val="000000"/>
          <w:sz w:val="20"/>
        </w:rPr>
        <w:t>, the offer and sale of the Preferred Shares to the Investors is and will be, and the issuance of the Conversion Shares will be, in compliance with applicable exemptions from (i) the registration and prospectus delivery requirements of the Securities Act and (ii) the registration and qualification requirements of applicable securities laws of the states of the United States.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3.6       </w:t>
      </w:r>
      <w:r>
        <w:rPr>
          <w:rFonts w:ascii="Times New Roman" w:hAnsi="Times New Roman"/>
          <w:color w:val="000000"/>
          <w:sz w:val="20"/>
          <w:u w:val="single"/>
        </w:rPr>
        <w:t>No Conflict</w:t>
      </w:r>
      <w:r>
        <w:rPr>
          <w:rFonts w:ascii="Times New Roman" w:hAnsi="Times New Roman"/>
          <w:color w:val="000000"/>
          <w:sz w:val="20"/>
        </w:rPr>
        <w:t>. The execution, delivery and performance of the Transaction Agreements by the Company, the issuance and sale of the Preferred Shares and the consummation of the other transactions contemplated by the Transaction Agreements will not (i) violate any provision of the Certificate of Incorporation or Bylaws, (ii) conflict with or result in a violation of or default (with or without notice or lapse of time, or the giving of consent or waiver, or both) under, or give rise to a right of termination, cancellation or acceleration of any obligation, a change of control right or to a loss of a material benefit under any agreement or instrument, credit facility, franchise, license, judgment, order, statute, law, ordinance, rule or regulations, applicable to the Company or any of its subsidiaries or their respective properties or assets,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or (iv) conflict with, result in a breach of, or require any consent, approval, authorization or waiver under the Merger Agreement that has not been obtained or made, except, in the case of clauses (ii) and (iii), as would not, individually or in the aggregate, be reasonably expected to have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3.7       </w:t>
      </w:r>
      <w:r>
        <w:rPr>
          <w:rFonts w:ascii="Times New Roman" w:hAnsi="Times New Roman"/>
          <w:color w:val="000000"/>
          <w:sz w:val="20"/>
          <w:u w:val="single"/>
        </w:rPr>
        <w:t>Consents</w:t>
      </w:r>
      <w:r>
        <w:rPr>
          <w:rFonts w:ascii="Times New Roman" w:hAnsi="Times New Roman"/>
          <w:color w:val="000000"/>
          <w:sz w:val="20"/>
        </w:rPr>
        <w:t xml:space="preserve">. Assuming the accuracy of the representations and warranties of each Investor set forth in </w:t>
      </w:r>
      <w:r>
        <w:rPr>
          <w:rFonts w:ascii="Times New Roman" w:hAnsi="Times New Roman"/>
          <w:color w:val="000000"/>
          <w:sz w:val="20"/>
          <w:u w:val="single"/>
        </w:rPr>
        <w:t>Section 4</w:t>
      </w:r>
      <w:r>
        <w:rPr>
          <w:rFonts w:ascii="Times New Roman" w:hAnsi="Times New Roman"/>
          <w:color w:val="000000"/>
          <w:sz w:val="20"/>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Preferred Shares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Preferred Shares and the listing of the Conversion Shares for trading or quotation, as the case may be, thereon in the time and manner required thereby, (c) customary post-closing filings with the SEC or pursuant to state securities laws in connection with the offer and sale of the Preferred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3.8         </w:t>
      </w:r>
      <w:r>
        <w:rPr>
          <w:rFonts w:ascii="Times New Roman" w:hAnsi="Times New Roman"/>
          <w:color w:val="000000"/>
          <w:sz w:val="20"/>
          <w:u w:val="single"/>
        </w:rPr>
        <w:t>SEC Filings; Financial Statements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The Company has filed all forms, statements, certifications, reports and documents required to be filed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has never been, and after the Closing will not be, an issuer subject to Rule 144(i) under the Securities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The consolidated financial statements of the Company included in the SEC Reports (together with the related schedules and notes thereto, collectively, the “</w:t>
      </w:r>
      <w:r>
        <w:rPr>
          <w:rFonts w:ascii="Times New Roman" w:hAnsi="Times New Roman"/>
          <w:b/>
          <w:color w:val="000000"/>
          <w:sz w:val="20"/>
        </w:rPr>
        <w:t>Financial Statements</w:t>
      </w:r>
      <w:r>
        <w:rPr>
          <w:rFonts w:ascii="Times New Roman" w:hAnsi="Times New Roman"/>
          <w:color w:val="000000"/>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color w:val="000000"/>
          <w:sz w:val="20"/>
        </w:rPr>
        <w:t>GAAP</w:t>
      </w:r>
      <w:r>
        <w:rPr>
          <w:rFonts w:ascii="Times New Roman" w:hAnsi="Times New Roman"/>
          <w:color w:val="000000"/>
          <w:sz w:val="20"/>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3.9         </w:t>
      </w:r>
      <w:r>
        <w:rPr>
          <w:rFonts w:ascii="Times New Roman" w:hAnsi="Times New Roman"/>
          <w:color w:val="000000"/>
          <w:sz w:val="20"/>
          <w:u w:val="single"/>
        </w:rPr>
        <w:t>Absence of Changes</w:t>
      </w:r>
      <w:r>
        <w:rPr>
          <w:rFonts w:ascii="Times New Roman" w:hAnsi="Times New Roman"/>
          <w:color w:val="000000"/>
          <w:sz w:val="20"/>
        </w:rPr>
        <w:t>. Except for the execution and performance of this Agreement and the discussions, negotiations and transactions related thereto, including the Merger Agreement and the transactions related thereto, since December 31, 2025, (a) the Company has conducted its business only in the ordinary course of business and there have been no material transactions entered into by the Company or any of its subsidiaries; (b) no material change to any material contract or arrangement by which the Company or any of its subsidiaries is bound or to which any of its assets or properties is subject has been entered into that has not been disclosed to the Investors and the Placement Agents or in the SEC Reports; and (c) there has not been any other event or condition of any character that has had or would reasonably be expected to have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3.10      </w:t>
      </w:r>
      <w:r>
        <w:rPr>
          <w:rFonts w:ascii="Times New Roman" w:hAnsi="Times New Roman"/>
          <w:color w:val="000000"/>
          <w:sz w:val="20"/>
          <w:u w:val="single"/>
        </w:rPr>
        <w:t>Absence of Litigation</w:t>
      </w:r>
      <w:r>
        <w:rPr>
          <w:rFonts w:ascii="Times New Roman" w:hAnsi="Times New Roman"/>
          <w:color w:val="000000"/>
          <w:sz w:val="20"/>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ten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3.11      </w:t>
      </w:r>
      <w:r>
        <w:rPr>
          <w:rFonts w:ascii="Times New Roman" w:hAnsi="Times New Roman"/>
          <w:color w:val="000000"/>
          <w:sz w:val="20"/>
          <w:u w:val="single"/>
        </w:rPr>
        <w:t>Compliance with Law; Permits</w:t>
      </w:r>
      <w:r>
        <w:rPr>
          <w:rFonts w:ascii="Times New Roman" w:hAnsi="Times New Roman"/>
          <w:color w:val="000000"/>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color w:val="000000"/>
          <w:sz w:val="20"/>
        </w:rPr>
        <w:t>Governmental Authorizations</w:t>
      </w:r>
      <w:r>
        <w:rPr>
          <w:rFonts w:ascii="Times New Roman" w:hAnsi="Times New Roman"/>
          <w:color w:val="000000"/>
          <w:sz w:val="20"/>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3.12     </w:t>
      </w:r>
      <w:r>
        <w:rPr>
          <w:rFonts w:ascii="Times New Roman" w:hAnsi="Times New Roman"/>
          <w:color w:val="000000"/>
          <w:sz w:val="20"/>
          <w:u w:val="single"/>
        </w:rPr>
        <w:t>Intellectual Property</w:t>
      </w:r>
      <w:r>
        <w:rPr>
          <w:rFonts w:ascii="Times New Roman" w:hAnsi="Times New Roman"/>
          <w:color w:val="000000"/>
          <w:sz w:val="20"/>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that is necessary for or used in the conduct of their respective businesses (including as described in the SEC Reports) (collectively, “</w:t>
      </w:r>
      <w:r>
        <w:rPr>
          <w:rFonts w:ascii="Times New Roman" w:hAnsi="Times New Roman"/>
          <w:b/>
          <w:color w:val="000000"/>
          <w:sz w:val="20"/>
        </w:rPr>
        <w:t>Intellectual Property</w:t>
      </w:r>
      <w:r>
        <w:rPr>
          <w:rFonts w:ascii="Times New Roman" w:hAnsi="Times New Roman"/>
          <w:color w:val="000000"/>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3.13     </w:t>
      </w:r>
      <w:r>
        <w:rPr>
          <w:rFonts w:ascii="Times New Roman" w:hAnsi="Times New Roman"/>
          <w:color w:val="000000"/>
          <w:sz w:val="20"/>
          <w:u w:val="single"/>
        </w:rPr>
        <w:t>Employee Benefits</w:t>
      </w:r>
      <w:r>
        <w:rPr>
          <w:rFonts w:ascii="Times New Roman" w:hAnsi="Times New Roman"/>
          <w:color w:val="000000"/>
          <w:sz w:val="20"/>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3.14      </w:t>
      </w:r>
      <w:r>
        <w:rPr>
          <w:rFonts w:ascii="Times New Roman" w:hAnsi="Times New Roman"/>
          <w:color w:val="000000"/>
          <w:sz w:val="20"/>
          <w:u w:val="single"/>
        </w:rPr>
        <w:t>Taxes</w:t>
      </w:r>
      <w:r>
        <w:rPr>
          <w:rFonts w:ascii="Times New Roman" w:hAnsi="Times New Roman"/>
          <w:color w:val="000000"/>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December 31, 2023,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3.15      </w:t>
      </w:r>
      <w:r>
        <w:rPr>
          <w:rFonts w:ascii="Times New Roman" w:hAnsi="Times New Roman"/>
          <w:color w:val="000000"/>
          <w:sz w:val="20"/>
          <w:u w:val="single"/>
        </w:rPr>
        <w:t>Environmental Laws</w:t>
      </w:r>
      <w:r>
        <w:rPr>
          <w:rFonts w:ascii="Times New Roman" w:hAnsi="Times New Roman"/>
          <w:color w:val="000000"/>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color w:val="000000"/>
          <w:sz w:val="20"/>
        </w:rPr>
        <w:t>Environmental Laws</w:t>
      </w:r>
      <w:r>
        <w:rPr>
          <w:rFonts w:ascii="Times New Roman" w:hAnsi="Times New Roman"/>
          <w:color w:val="000000"/>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3.16      </w:t>
      </w:r>
      <w:r>
        <w:rPr>
          <w:rFonts w:ascii="Times New Roman" w:hAnsi="Times New Roman"/>
          <w:color w:val="000000"/>
          <w:sz w:val="20"/>
          <w:u w:val="single"/>
        </w:rPr>
        <w:t>Title</w:t>
      </w:r>
      <w:r>
        <w:rPr>
          <w:rFonts w:ascii="Times New Roman" w:hAnsi="Times New Roman"/>
          <w:color w:val="000000"/>
          <w:sz w:val="20"/>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3.17      </w:t>
      </w:r>
      <w:r>
        <w:rPr>
          <w:rFonts w:ascii="Times New Roman" w:hAnsi="Times New Roman"/>
          <w:color w:val="000000"/>
          <w:sz w:val="20"/>
          <w:u w:val="single"/>
        </w:rPr>
        <w:t>Insurance</w:t>
      </w:r>
      <w:r>
        <w:rPr>
          <w:rFonts w:ascii="Times New Roman" w:hAnsi="Times New Roman"/>
          <w:color w:val="000000"/>
          <w:sz w:val="20"/>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3.18      </w:t>
      </w:r>
      <w:r>
        <w:rPr>
          <w:rFonts w:ascii="Times New Roman" w:hAnsi="Times New Roman"/>
          <w:color w:val="000000"/>
          <w:sz w:val="20"/>
          <w:u w:val="single"/>
        </w:rPr>
        <w:t>Nasdaq Stock Market</w:t>
      </w:r>
      <w:r>
        <w:rPr>
          <w:rFonts w:ascii="Times New Roman" w:hAnsi="Times New Roman"/>
          <w:color w:val="000000"/>
          <w:sz w:val="20"/>
        </w:rPr>
        <w:t>. The issued and outstanding shares of Common Stock are registered pursuant to Section 12(b) of the Exchange Act and are listed for trading on The Nasdaq Capital Market under the symbol “LSTA”.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3.19     </w:t>
      </w:r>
      <w:r>
        <w:rPr>
          <w:rFonts w:ascii="Times New Roman" w:hAnsi="Times New Roman"/>
          <w:color w:val="000000"/>
          <w:sz w:val="20"/>
          <w:u w:val="single"/>
        </w:rPr>
        <w:t>Sarbanes-Oxley Act</w:t>
      </w:r>
      <w:r>
        <w:rPr>
          <w:rFonts w:ascii="Times New Roman" w:hAnsi="Times New Roman"/>
          <w:color w:val="000000"/>
          <w:sz w:val="20"/>
        </w:rPr>
        <w:t>. The Company is, and since January 1, 2025 has been, in compliance in all material respects with all applicable requirements of the Sarbanes-Oxley Act of 2002 and applicable rules and regulations promulgated by the SEC thereunder.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3.20     </w:t>
      </w:r>
      <w:r>
        <w:rPr>
          <w:rFonts w:ascii="Times New Roman" w:hAnsi="Times New Roman"/>
          <w:color w:val="000000"/>
          <w:sz w:val="20"/>
          <w:u w:val="single"/>
        </w:rPr>
        <w:t>Clinical Data and Regulatory Compliance</w:t>
      </w:r>
      <w:r>
        <w:rPr>
          <w:rFonts w:ascii="Times New Roman" w:hAnsi="Times New Roman"/>
          <w:color w:val="000000"/>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color w:val="000000"/>
          <w:sz w:val="20"/>
        </w:rPr>
        <w:t>Studies</w:t>
      </w:r>
      <w:r>
        <w:rPr>
          <w:rFonts w:ascii="Times New Roman" w:hAnsi="Times New Roman"/>
          <w:color w:val="000000"/>
          <w:sz w:val="20"/>
        </w:rPr>
        <w:t>”) being conducted by or on behalf of, or sponsored by, the Company or its subsidiaries that are described in, or the results of which are referred to in, the SEC Reports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color w:val="000000"/>
          <w:sz w:val="20"/>
        </w:rPr>
        <w:t>Regulatory Agencies</w:t>
      </w:r>
      <w:r>
        <w:rPr>
          <w:rFonts w:ascii="Times New Roman" w:hAnsi="Times New Roman"/>
          <w:color w:val="000000"/>
          <w:sz w:val="20"/>
        </w:rPr>
        <w:t>”) for the conduct of its business as described in the SEC Reports; (iv) neither the Company nor any of its subsidiaries has received any notice of, or correspondence from, any of the Regulatory Agencies requiring the termination or suspension of or imposing any clinical hold on any clinical trials that are described or referred to in the SEC Reports; and (v) the Company and its subsidiaries have each operated and currently are in compliance in all material respects with all applicable rules, regulations and policies of the Regulatory Agencies.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3.21       </w:t>
      </w:r>
      <w:r>
        <w:rPr>
          <w:rFonts w:ascii="Times New Roman" w:hAnsi="Times New Roman"/>
          <w:color w:val="000000"/>
          <w:sz w:val="20"/>
          <w:u w:val="single"/>
        </w:rPr>
        <w:t>Compliance with Health Care Laws</w:t>
      </w:r>
      <w:r>
        <w:rPr>
          <w:rFonts w:ascii="Times New Roman" w:hAnsi="Times New Roman"/>
          <w:color w:val="000000"/>
          <w:sz w:val="20"/>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hAnsi="Times New Roman"/>
          <w:b/>
          <w:color w:val="000000"/>
          <w:sz w:val="20"/>
        </w:rPr>
        <w:t>Health Care Laws</w:t>
      </w:r>
      <w:r>
        <w:rPr>
          <w:rFonts w:ascii="Times New Roman" w:hAnsi="Times New Roman"/>
          <w:color w:val="000000"/>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color w:val="000000"/>
          <w:sz w:val="20"/>
        </w:rPr>
        <w:t>EU</w:t>
      </w:r>
      <w:r>
        <w:rPr>
          <w:rFonts w:ascii="Times New Roman" w:hAnsi="Times New Roman"/>
          <w:color w:val="000000"/>
          <w:sz w:val="20"/>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3.22      </w:t>
      </w:r>
      <w:r>
        <w:rPr>
          <w:rFonts w:ascii="Times New Roman" w:hAnsi="Times New Roman"/>
          <w:color w:val="000000"/>
          <w:sz w:val="20"/>
          <w:u w:val="single"/>
        </w:rPr>
        <w:t>Accounting Controls and Disclosure Controls and Procedures</w:t>
      </w:r>
      <w:r>
        <w:rPr>
          <w:rFonts w:ascii="Times New Roman" w:hAnsi="Times New Roman"/>
          <w:color w:val="000000"/>
          <w:sz w:val="20"/>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 any material weaknesses in the design or operation of the Company’s internal control over financial reporting and (b) any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3.23     </w:t>
      </w:r>
      <w:r>
        <w:rPr>
          <w:rFonts w:ascii="Times New Roman" w:hAnsi="Times New Roman"/>
          <w:color w:val="000000"/>
          <w:sz w:val="20"/>
          <w:u w:val="single"/>
        </w:rPr>
        <w:t>Price Stabilization of Common Stock</w:t>
      </w:r>
      <w:r>
        <w:rPr>
          <w:rFonts w:ascii="Times New Roman" w:hAnsi="Times New Roman"/>
          <w:color w:val="000000"/>
          <w:sz w:val="20"/>
        </w:rPr>
        <w:t>. The Company has not taken, nor will it take, directly or indirectly, any action designed to stabilize or manipulate the price of the Common Stock to facilitate the sale or resale of the Preferred Shares.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3.24      </w:t>
      </w:r>
      <w:r>
        <w:rPr>
          <w:rFonts w:ascii="Times New Roman" w:hAnsi="Times New Roman"/>
          <w:color w:val="000000"/>
          <w:sz w:val="20"/>
          <w:u w:val="single"/>
        </w:rPr>
        <w:t>Investment Company Act</w:t>
      </w:r>
      <w:r>
        <w:rPr>
          <w:rFonts w:ascii="Times New Roman" w:hAnsi="Times New Roman"/>
          <w:color w:val="000000"/>
          <w:sz w:val="20"/>
        </w:rPr>
        <w:t>. The Company is not, and immediately after receipt of payment for the Preferred Shares will not be, an “investment company” within the meaning of the U.S. Investment Company Act of 1940, as amended.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3.25    </w:t>
      </w:r>
      <w:r>
        <w:rPr>
          <w:rFonts w:ascii="Times New Roman" w:hAnsi="Times New Roman"/>
          <w:color w:val="000000"/>
          <w:sz w:val="20"/>
          <w:u w:val="single"/>
        </w:rPr>
        <w:t>Foreign Investment</w:t>
      </w:r>
      <w:r>
        <w:rPr>
          <w:rFonts w:ascii="Times New Roman" w:hAnsi="Times New Roman"/>
          <w:color w:val="000000"/>
          <w:sz w:val="20"/>
        </w:rPr>
        <w:t>. The Company does not (i) produce, design, test, manufacture, fabricate or develop one or more “critical technologies”; (ii) own, operate, manufacture, supply or service “covered investment critical infrastructure”; or (iii) maintain or collect, directly or indirectly, “sensitive personal data” of U.S. citizens, in each case as such terms are defined in 31 C.F.R. Part 800, and the Company has no current intention of engaging in any such activities. The Company is not a “TID U.S. business” within the meaning of the Defense Production Act of 1950, as amended, including all implementing regulations thereof (the “DPA”). No filing or submission to, and no authorization, consent or approval of, the Committee on Foreign Investment in the United States is required under the DPA in connection with the transactions contemplated by this Agreement or the other Transaction Agreements.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3.26      </w:t>
      </w:r>
      <w:r>
        <w:rPr>
          <w:rFonts w:ascii="Times New Roman" w:hAnsi="Times New Roman"/>
          <w:color w:val="000000"/>
          <w:sz w:val="20"/>
          <w:u w:val="single"/>
        </w:rPr>
        <w:t>General Solicitation; No Integration or Aggregation</w:t>
      </w:r>
      <w:r>
        <w:rPr>
          <w:rFonts w:ascii="Times New Roman" w:hAnsi="Times New Roman"/>
          <w:color w:val="000000"/>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Preferred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Preferred Shares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hAnsi="Times New Roman"/>
          <w:color w:val="000000"/>
          <w:sz w:val="20"/>
          <w:u w:val="single"/>
        </w:rPr>
        <w:t>Section 4</w:t>
      </w:r>
      <w:r>
        <w:rPr>
          <w:rFonts w:ascii="Times New Roman" w:hAnsi="Times New Roman"/>
          <w:color w:val="000000"/>
          <w:sz w:val="20"/>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3.27      </w:t>
      </w:r>
      <w:r>
        <w:rPr>
          <w:rFonts w:ascii="Times New Roman" w:hAnsi="Times New Roman"/>
          <w:color w:val="000000"/>
          <w:sz w:val="20"/>
          <w:u w:val="single"/>
        </w:rPr>
        <w:t>Brokers and Finders</w:t>
      </w:r>
      <w:r>
        <w:rPr>
          <w:rFonts w:ascii="Times New Roman" w:hAnsi="Times New Roman"/>
          <w:color w:val="000000"/>
          <w:sz w:val="20"/>
        </w:rPr>
        <w:t>. Other than the Placement Agents,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3.28     </w:t>
      </w:r>
      <w:r>
        <w:rPr>
          <w:rFonts w:ascii="Times New Roman" w:hAnsi="Times New Roman"/>
          <w:color w:val="000000"/>
          <w:sz w:val="20"/>
          <w:u w:val="single"/>
        </w:rPr>
        <w:t>Reliance by the Investors</w:t>
      </w:r>
      <w:r>
        <w:rPr>
          <w:rFonts w:ascii="Times New Roman" w:hAnsi="Times New Roman"/>
          <w:color w:val="000000"/>
          <w:sz w:val="20"/>
        </w:rPr>
        <w:t xml:space="preserve">. The Company has a reasonable basis for making each of the representations set forth in this </w:t>
      </w:r>
      <w:r>
        <w:rPr>
          <w:rFonts w:ascii="Times New Roman" w:hAnsi="Times New Roman"/>
          <w:color w:val="000000"/>
          <w:sz w:val="20"/>
          <w:u w:val="single"/>
        </w:rPr>
        <w:t>Section 3</w:t>
      </w:r>
      <w:r>
        <w:rPr>
          <w:rFonts w:ascii="Times New Roman" w:hAnsi="Times New Roman"/>
          <w:color w:val="000000"/>
          <w:sz w:val="20"/>
        </w:rPr>
        <w:t>.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3.29      </w:t>
      </w:r>
      <w:r>
        <w:rPr>
          <w:rFonts w:ascii="Times New Roman" w:hAnsi="Times New Roman"/>
          <w:color w:val="000000"/>
          <w:sz w:val="20"/>
          <w:u w:val="single"/>
        </w:rPr>
        <w:t>No Additional Agreements</w:t>
      </w:r>
      <w:r>
        <w:rPr>
          <w:rFonts w:ascii="Times New Roman" w:hAnsi="Times New Roman"/>
          <w:color w:val="000000"/>
          <w:sz w:val="20"/>
        </w:rPr>
        <w:t>. Except for the Company Stockholders Registration Rights Agreement, there are no agreements (including side letter agreements) or understandings between the Company, on the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3.30      </w:t>
      </w:r>
      <w:r>
        <w:rPr>
          <w:rFonts w:ascii="Times New Roman" w:hAnsi="Times New Roman"/>
          <w:color w:val="000000"/>
          <w:sz w:val="20"/>
          <w:u w:val="single"/>
        </w:rPr>
        <w:t>Anti-Bribery and Anti-Money Laundering Laws; Sanctions</w:t>
      </w:r>
      <w:r>
        <w:rPr>
          <w:rFonts w:ascii="Times New Roman" w:hAnsi="Times New Roman"/>
          <w:color w:val="000000"/>
          <w:sz w:val="20"/>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3.31      </w:t>
      </w:r>
      <w:r>
        <w:rPr>
          <w:rFonts w:ascii="Times New Roman" w:hAnsi="Times New Roman"/>
          <w:color w:val="000000"/>
          <w:sz w:val="20"/>
          <w:u w:val="single"/>
        </w:rPr>
        <w:t>Cybersecurity</w:t>
      </w:r>
      <w:r>
        <w:rPr>
          <w:rFonts w:ascii="Times New Roman" w:hAnsi="Times New Roman"/>
          <w:color w:val="000000"/>
          <w:sz w:val="20"/>
        </w:rPr>
        <w:t>. The Company and its subsidiaries’ information technology assets and equipment, computers, systems, networks, hardware, software, websites, applications, and databases (collectively, “</w:t>
      </w:r>
      <w:r>
        <w:rPr>
          <w:rFonts w:ascii="Times New Roman" w:hAnsi="Times New Roman"/>
          <w:b/>
          <w:color w:val="000000"/>
          <w:sz w:val="20"/>
        </w:rPr>
        <w:t>IT Systems</w:t>
      </w:r>
      <w:r>
        <w:rPr>
          <w:rFonts w:ascii="Times New Roman" w:hAnsi="Times New Roman"/>
          <w:color w:val="000000"/>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color w:val="000000"/>
          <w:sz w:val="20"/>
        </w:rPr>
        <w:t>Confidential Data</w:t>
      </w:r>
      <w:r>
        <w:rPr>
          <w:rFonts w:ascii="Times New Roman" w:hAnsi="Times New Roman"/>
          <w:color w:val="000000"/>
          <w:sz w:val="20"/>
        </w:rPr>
        <w:t>”) used or maintained in connection with their businesses and Personal Data (defined below), and the integrity, availability continuous operation, redundancy and security of all IT Systems. “</w:t>
      </w:r>
      <w:r>
        <w:rPr>
          <w:rFonts w:ascii="Times New Roman" w:hAnsi="Times New Roman"/>
          <w:b/>
          <w:color w:val="000000"/>
          <w:sz w:val="20"/>
        </w:rPr>
        <w:t>Personal Data</w:t>
      </w:r>
      <w:r>
        <w:rPr>
          <w:rFonts w:ascii="Times New Roman" w:hAnsi="Times New Roman"/>
          <w:color w:val="000000"/>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color w:val="000000"/>
          <w:sz w:val="20"/>
        </w:rPr>
        <w:t>HIPAA</w:t>
      </w:r>
      <w:r>
        <w:rPr>
          <w:rFonts w:ascii="Times New Roman" w:hAnsi="Times New Roman"/>
          <w:color w:val="000000"/>
          <w:sz w:val="20"/>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3.32     </w:t>
      </w:r>
      <w:r>
        <w:rPr>
          <w:rFonts w:ascii="Times New Roman" w:hAnsi="Times New Roman"/>
          <w:color w:val="000000"/>
          <w:sz w:val="20"/>
          <w:u w:val="single"/>
        </w:rPr>
        <w:t>Compliance with Data Privacy Laws</w:t>
      </w:r>
      <w:r>
        <w:rPr>
          <w:rFonts w:ascii="Times New Roman" w:hAnsi="Times New Roman"/>
          <w:color w:val="000000"/>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color w:val="000000"/>
          <w:sz w:val="20"/>
        </w:rPr>
        <w:t>Process</w:t>
      </w:r>
      <w:r>
        <w:rPr>
          <w:rFonts w:ascii="Times New Roman" w:hAnsi="Times New Roman"/>
          <w:color w:val="000000"/>
          <w:sz w:val="20"/>
        </w:rPr>
        <w:t>” or “</w:t>
      </w:r>
      <w:r>
        <w:rPr>
          <w:rFonts w:ascii="Times New Roman" w:hAnsi="Times New Roman"/>
          <w:b/>
          <w:color w:val="000000"/>
          <w:sz w:val="20"/>
        </w:rPr>
        <w:t>Processing</w:t>
      </w:r>
      <w:r>
        <w:rPr>
          <w:rFonts w:ascii="Times New Roman" w:hAnsi="Times New Roman"/>
          <w:color w:val="000000"/>
          <w:sz w:val="20"/>
        </w:rPr>
        <w:t>”) of Personal Data, including without limitation HIPAA, the EU General Data Protection Regulation (“</w:t>
      </w:r>
      <w:r>
        <w:rPr>
          <w:rFonts w:ascii="Times New Roman" w:hAnsi="Times New Roman"/>
          <w:b/>
          <w:color w:val="000000"/>
          <w:sz w:val="20"/>
        </w:rPr>
        <w:t>GDPR</w:t>
      </w:r>
      <w:r>
        <w:rPr>
          <w:rFonts w:ascii="Times New Roman" w:hAnsi="Times New Roman"/>
          <w:color w:val="000000"/>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color w:val="000000"/>
          <w:sz w:val="20"/>
        </w:rPr>
        <w:t>Privacy Laws</w:t>
      </w:r>
      <w:r>
        <w:rPr>
          <w:rFonts w:ascii="Times New Roman" w:hAnsi="Times New Roman"/>
          <w:color w:val="000000"/>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color w:val="000000"/>
          <w:sz w:val="20"/>
        </w:rPr>
        <w:t>Privacy Statements</w:t>
      </w:r>
      <w:r>
        <w:rPr>
          <w:rFonts w:ascii="Times New Roman" w:hAnsi="Times New Roman"/>
          <w:color w:val="000000"/>
          <w:sz w:val="20"/>
        </w:rPr>
        <w:t>”). The Company and its subsidiaries have, except as would not reasonably be expected, individually or in the aggregate, to result in a Material Adverse Effect, at all times since January 1, 2025,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3.33     </w:t>
      </w:r>
      <w:r>
        <w:rPr>
          <w:rFonts w:ascii="Times New Roman" w:hAnsi="Times New Roman"/>
          <w:color w:val="000000"/>
          <w:sz w:val="20"/>
          <w:u w:val="single"/>
        </w:rPr>
        <w:t>Transactions with Affiliates and Employees</w:t>
      </w:r>
      <w:r>
        <w:rPr>
          <w:rFonts w:ascii="Times New Roman" w:hAnsi="Times New Roman"/>
          <w:color w:val="000000"/>
          <w:sz w:val="20"/>
        </w:rPr>
        <w:t>. No relationship, direct or indirect, exists between or among the Company or any of its subsidiaries, on the one hand, and the directors, officers, stockholders, customers or suppliers of the Company, on the other hand, that is required to be described in any forms, statements, certifications, reports or documents required to be filed with or furnished to the SEC under the Exchange Act or Securities Act that will not be so described in accordance with the Exchange Act following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3.34      </w:t>
      </w:r>
      <w:r>
        <w:rPr>
          <w:rFonts w:ascii="Times New Roman" w:hAnsi="Times New Roman"/>
          <w:color w:val="000000"/>
          <w:sz w:val="20"/>
          <w:u w:val="single"/>
        </w:rPr>
        <w:t>Representations Regarding the Merger and Merger Agreement</w:t>
      </w:r>
      <w:r>
        <w:rPr>
          <w:rFonts w:ascii="Times New Roman" w:hAnsi="Times New Roman"/>
          <w:color w:val="000000"/>
          <w:sz w:val="20"/>
        </w:rPr>
        <w:t>. As of the date hereof and as of the Closing Date, the representations and warranties of the Company contained in Section 3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To the Company’s knowledge, the representations and warranties of Marea contained in Section 2 of the Merger Agreement (as qualified therein and in the disclosure schedules thereto) were, as of the date of the Merger Agreement, true and correct in all material respects (or, if any such representations or warranties are qualified by materiality, material adverse effect or similar language, true and correct in all respects). All necessary corporate action has been duly and validly taken by the Company, First Merger Sub, Second Merger Sub and, to the Company’s knowledge, Marea, to authorize the execution, delivery and performance of the Merger Agreement. The Merger Agreement has been duly and validly authorized, executed and delivered by the Company and, assuming the authorization, execution and delivery by the other parties thereto, constitutes a valid and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At or prior to the Closing, the Company shall have furnished or otherwise made available to each Investor a true and substantially complete copy of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Representations and Warranties of Each Investor</w:t>
      </w:r>
      <w:r>
        <w:rPr>
          <w:rFonts w:ascii="Times New Roman" w:hAnsi="Times New Roman"/>
          <w:color w:val="000000"/>
          <w:sz w:val="20"/>
        </w:rPr>
        <w:t xml:space="preserve">. Each Investor, severally for itself and not jointly with any other Investor, represents and warrants to the Company and the Placement Agents that the statements contained in this </w:t>
      </w:r>
      <w:r>
        <w:rPr>
          <w:rFonts w:ascii="Times New Roman" w:hAnsi="Times New Roman"/>
          <w:color w:val="000000"/>
          <w:sz w:val="20"/>
          <w:u w:val="single"/>
        </w:rPr>
        <w:t>Section 4</w:t>
      </w:r>
      <w:r>
        <w:rPr>
          <w:rFonts w:ascii="Times New Roman" w:hAnsi="Times New Roman"/>
          <w:color w:val="000000"/>
          <w:sz w:val="20"/>
        </w:rPr>
        <w:t xml:space="preserve"> are true and correct as of the date of this Agreement and the Closing Date (except for representations and warranties that speak as of a specific date, which shall be made as of such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4.1       </w:t>
      </w:r>
      <w:r>
        <w:rPr>
          <w:rFonts w:ascii="Times New Roman" w:hAnsi="Times New Roman"/>
          <w:color w:val="000000"/>
          <w:sz w:val="20"/>
          <w:u w:val="single"/>
        </w:rPr>
        <w:t>Organization</w:t>
      </w:r>
      <w:r>
        <w:rPr>
          <w:rFonts w:ascii="Times New Roman" w:hAnsi="Times New Roman"/>
          <w:color w:val="000000"/>
          <w:sz w:val="20"/>
        </w:rPr>
        <w:t>. Such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4.2       </w:t>
      </w:r>
      <w:r>
        <w:rPr>
          <w:rFonts w:ascii="Times New Roman" w:hAnsi="Times New Roman"/>
          <w:color w:val="000000"/>
          <w:sz w:val="20"/>
          <w:u w:val="single"/>
        </w:rPr>
        <w:t>Authorization</w:t>
      </w:r>
      <w:r>
        <w:rPr>
          <w:rFonts w:ascii="Times New Roman" w:hAnsi="Times New Roman"/>
          <w:color w:val="000000"/>
          <w:sz w:val="20"/>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4.3         </w:t>
      </w:r>
      <w:r>
        <w:rPr>
          <w:rFonts w:ascii="Times New Roman" w:hAnsi="Times New Roman"/>
          <w:color w:val="000000"/>
          <w:sz w:val="20"/>
          <w:u w:val="single"/>
        </w:rPr>
        <w:t>No Conflicts</w:t>
      </w:r>
      <w:r>
        <w:rPr>
          <w:rFonts w:ascii="Times New Roman" w:hAnsi="Times New Roman"/>
          <w:color w:val="000000"/>
          <w:sz w:val="20"/>
        </w:rPr>
        <w:t>. The execution, delivery and performance of the Transaction Agreements by such Investor, the purchase of the Preferred Shares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such Investor to perform its obligations under the Transaction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4.4        </w:t>
      </w:r>
      <w:r>
        <w:rPr>
          <w:rFonts w:ascii="Times New Roman" w:hAnsi="Times New Roman"/>
          <w:color w:val="000000"/>
          <w:sz w:val="20"/>
          <w:u w:val="single"/>
        </w:rPr>
        <w:t>Residency</w:t>
      </w:r>
      <w:r>
        <w:rPr>
          <w:rFonts w:ascii="Times New Roman" w:hAnsi="Times New Roman"/>
          <w:color w:val="000000"/>
          <w:sz w:val="20"/>
        </w:rPr>
        <w:t>. Such Investor’s residence (if an individual) or offices in which its investment decision with respect to the Preferred Shares was made (if an entity) are located at the address immediately below such Investor’s name on the pertinent signature page of this Agreement, except as otherwise communicated by such Investor to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4.5      </w:t>
      </w:r>
      <w:r>
        <w:rPr>
          <w:rFonts w:ascii="Times New Roman" w:hAnsi="Times New Roman"/>
          <w:color w:val="000000"/>
          <w:sz w:val="20"/>
          <w:u w:val="single"/>
        </w:rPr>
        <w:t>Brokers and Finders</w:t>
      </w:r>
      <w:r>
        <w:rPr>
          <w:rFonts w:ascii="Times New Roman" w:hAnsi="Times New Roman"/>
          <w:color w:val="000000"/>
          <w:sz w:val="20"/>
        </w:rPr>
        <w:t>. Such Investor has not retained, utilized or been represented by any broker or finder in connection with the transactions contemplated by this Agreement whose fees the Company would be required to pay.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4.6         </w:t>
      </w:r>
      <w:r>
        <w:rPr>
          <w:rFonts w:ascii="Times New Roman" w:hAnsi="Times New Roman"/>
          <w:color w:val="000000"/>
          <w:sz w:val="20"/>
          <w:u w:val="single"/>
        </w:rPr>
        <w:t>Investment Representations and Warranties</w:t>
      </w:r>
      <w:r>
        <w:rPr>
          <w:rFonts w:ascii="Times New Roman" w:hAnsi="Times New Roman"/>
          <w:color w:val="000000"/>
          <w:sz w:val="20"/>
        </w:rPr>
        <w:t>. (i) As of the date of this Agreement, such Investor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Preferred Shares. Such Investor (x) is capable of evaluating the merits and risk of such investment, and (y) has not been organized for the purpose of acquiring the Preferred Shares and is an “institutional account” as defined by FINRA Rule 4512(c). Such Investor understands and agrees that the offering and sale of the Preferred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4.7        </w:t>
      </w:r>
      <w:r>
        <w:rPr>
          <w:rFonts w:ascii="Times New Roman" w:hAnsi="Times New Roman"/>
          <w:color w:val="000000"/>
          <w:sz w:val="20"/>
          <w:u w:val="single"/>
        </w:rPr>
        <w:t>Intent</w:t>
      </w:r>
      <w:r>
        <w:rPr>
          <w:rFonts w:ascii="Times New Roman" w:hAnsi="Times New Roman"/>
          <w:color w:val="000000"/>
          <w:sz w:val="20"/>
        </w:rPr>
        <w:t>. Such Investor is purchasing the Preferred Shares solely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such Investor’s right at all times to sell or otherwise dispose of all or any part of such Preferred Shares in compliance with applicable federal and state securities laws. Notwithstanding the foregoing, if such Investor is purchasing the Preferred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Such Investor has no present arrangement to sell the Preferred Shares to or through any person or entity. Such Investor understands that the Preferred Shares must be held indefinitely unless such Preferred Shares are resold pursuant to a registration statement under the Securities Act or an exemption from registration is available. Nothing contained herein shall be deemed a representation or warranty by such Investor to hold the Preferred Shares for any period of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4.8       </w:t>
      </w:r>
      <w:r>
        <w:rPr>
          <w:rFonts w:ascii="Times New Roman" w:hAnsi="Times New Roman"/>
          <w:color w:val="000000"/>
          <w:sz w:val="20"/>
          <w:u w:val="single"/>
        </w:rPr>
        <w:t>Investment Experience; Ability to Protect Its Own Interests and Bear Economic Risks</w:t>
      </w:r>
      <w:r>
        <w:rPr>
          <w:rFonts w:ascii="Times New Roman" w:hAnsi="Times New Roman"/>
          <w:color w:val="000000"/>
          <w:sz w:val="20"/>
        </w:rPr>
        <w:t>. Such Investor acknowledges that it can bear the economic risk and complete loss of its investment in the Preferred Shares and has knowledge and experience in finance, securities, taxation, investments and other business matters as to be capable of evaluating the merits and risks of investments of the kind described in this Agreement and contemplated hereby, and such Investor has had an opportunity to seek, and has sought, such accounting, legal, business and tax advice as such Investor has considered necessary to make an informed investment decision. 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Preferred Shares. Such Investor acknowledges that such Investor is aware that there are substantial risks incident to the purchase and ownership of the Preferred Shares, including those set forth in the Company’s filings with the SEC. Alone, or together with any professional advisor(s), such Investor has adequately analyzed and fully considered the risks of an investment in the Preferred Shares and determined that the Preferred Shares are a suitable investment for such Investor. Such Investor is, at this time and in the foreseeable future, able to afford the loss of such Investor’s entire investment in the Preferred Shares and such Investor acknowledges specifically that a possibility of total loss exists.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4.9      </w:t>
      </w:r>
      <w:r>
        <w:rPr>
          <w:rFonts w:ascii="Times New Roman" w:hAnsi="Times New Roman"/>
          <w:color w:val="000000"/>
          <w:sz w:val="20"/>
          <w:u w:val="single"/>
        </w:rPr>
        <w:t>Independent Investment Decision</w:t>
      </w:r>
      <w:r>
        <w:rPr>
          <w:rFonts w:ascii="Times New Roman" w:hAnsi="Times New Roman"/>
          <w:color w:val="000000"/>
          <w:sz w:val="20"/>
        </w:rPr>
        <w:t>. Such Investor understands that nothing in the Transaction Agreements or any other materials presented by or on behalf of Marea or the Company to such Investor in connection with the purchase of the Preferred Shares constitutes legal, tax or investment advice.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4.10      </w:t>
      </w:r>
      <w:r>
        <w:rPr>
          <w:rFonts w:ascii="Times New Roman" w:hAnsi="Times New Roman"/>
          <w:color w:val="000000"/>
          <w:sz w:val="20"/>
          <w:u w:val="single"/>
        </w:rPr>
        <w:t>Securities Not Registered; Legends</w:t>
      </w:r>
      <w:r>
        <w:rPr>
          <w:rFonts w:ascii="Times New Roman" w:hAnsi="Times New Roman"/>
          <w:color w:val="000000"/>
          <w:sz w:val="20"/>
        </w:rPr>
        <w:t>.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Such Investor understands that any certificates or book entry notations evidencing the Securities may bear one or more legends in substantially the following form and substance: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the Securities may contain a legend regarding affiliate status of such Investor, if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4.11     </w:t>
      </w:r>
      <w:r>
        <w:rPr>
          <w:rFonts w:ascii="Times New Roman" w:hAnsi="Times New Roman"/>
          <w:color w:val="000000"/>
          <w:sz w:val="20"/>
          <w:u w:val="single"/>
        </w:rPr>
        <w:t>Placement Agents</w:t>
      </w:r>
      <w:r>
        <w:rPr>
          <w:rFonts w:ascii="Times New Roman" w:hAnsi="Times New Roman"/>
          <w:color w:val="000000"/>
          <w:sz w:val="20"/>
        </w:rPr>
        <w:t>. Each Investor hereby acknowledges and agrees that (a) each Placement Agent is acting solely as placement agent in connection with the execution, delivery and performance of the Transaction Agreements and the issuance of the Preferred Shares to such Investor and neither any Placement Agent nor any of their respective affiliates have acted as an underwriter or in any other capacity and is not and shall not be construed as a fiduciary or financial advisor for such Investor, the Company, Marea or any other person or entity in connection with the execution, delivery and performance of the Transaction Agreements and the issuance and purchase of the Preferred Shares,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Preferred Shares,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Marea, and (d) no Placement Agent will have any liability or obligation (including without limitation, for or with respect to any losses, claims, damages, obligations, penalties, judgments, awards, liabilities, costs, expenses or disbursements incurred by such Investor, the Company, Marea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Preferred Shares. Neither any of the Placement Agents nor any of their respective affiliates have made or make any representation as to the quality or value of the Preferred Shares and the Placement Agents and their respective affiliates may have acquired non-public information with respect to the Company or Marea which such Investor agrees need not be provided to it.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4.12     </w:t>
      </w:r>
      <w:r>
        <w:rPr>
          <w:rFonts w:ascii="Times New Roman" w:hAnsi="Times New Roman"/>
          <w:color w:val="000000"/>
          <w:sz w:val="20"/>
          <w:u w:val="single"/>
        </w:rPr>
        <w:t>No General Solicitation</w:t>
      </w:r>
      <w:r>
        <w:rPr>
          <w:rFonts w:ascii="Times New Roman" w:hAnsi="Times New Roman"/>
          <w:color w:val="000000"/>
          <w:sz w:val="20"/>
        </w:rPr>
        <w:t>. Such Investor acknowledges and agrees that such Investor is purchasing the Securities directly from the Company. Investor became aware of this offering of the Securities solely by means of direct contact from the Placement Agents or directly from Marea or the Company as a result of a pre-existing, substantive relationship with Marea,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on the one hand, and Marea, the Company, the Placement Agents and/or their respective representatives, on the other hand. Such Investor did not become aware of this offering of the Securities, nor were the Securities offered to such Investor, by any other means, and none of Marea, the Company,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4.13      </w:t>
      </w:r>
      <w:r>
        <w:rPr>
          <w:rFonts w:ascii="Times New Roman" w:hAnsi="Times New Roman"/>
          <w:color w:val="000000"/>
          <w:sz w:val="20"/>
          <w:u w:val="single"/>
        </w:rPr>
        <w:t>Access to Information</w:t>
      </w:r>
      <w:r>
        <w:rPr>
          <w:rFonts w:ascii="Times New Roman" w:hAnsi="Times New Roman"/>
          <w:color w:val="000000"/>
          <w:sz w:val="20"/>
        </w:rPr>
        <w:t>. In making its decision to purchase the Securities, such Investor has relied solely upon independent investigation made by such Investor, upon the SEC Reports and upon the representations, warranties and covenants of the Company set forth herein. Such Investor acknowledges and agrees that such Investor and such Investor’s professional advisor(s), if any, have had the opportunity to ask such questions, receive such answers and obtain such information from Marea and the Company regarding Marea, the Company, their respective businesses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4.14      </w:t>
      </w:r>
      <w:r>
        <w:rPr>
          <w:rFonts w:ascii="Times New Roman" w:hAnsi="Times New Roman"/>
          <w:color w:val="000000"/>
          <w:sz w:val="20"/>
          <w:u w:val="single"/>
        </w:rPr>
        <w:t>Certain Trading Activities</w:t>
      </w:r>
      <w:r>
        <w:rPr>
          <w:rFonts w:ascii="Times New Roman" w:hAnsi="Times New Roman"/>
          <w:color w:val="000000"/>
          <w:sz w:val="20"/>
        </w:rPr>
        <w:t>. Other than consummating the transaction contemplated hereby,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Marea or one of their respective representatives, the representation set forth above shall only apply after the point in time when the portfolio manager who manages such Investor’s assets was informed of the information regarding the transactions contemplated hereunder and, with respect to such Investor’s investment advisor, the representation set forth above shall only apply with respect to any purchases or sales, including Short Sales, of the securities of the Company on behalf of other funds or investment vehicles for which such Investor’s investment advisor is also an investment advisor or sub-advisor after the point in time when the portfolio manager who manages the assets of such other funds or investment vehicles for which such Investor’s investment advisor is also an investment advisor or sub-advisor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Covenants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5.1        </w:t>
      </w:r>
      <w:r>
        <w:rPr>
          <w:rFonts w:ascii="Times New Roman" w:hAnsi="Times New Roman"/>
          <w:color w:val="000000"/>
          <w:sz w:val="20"/>
          <w:u w:val="single"/>
        </w:rPr>
        <w:t>Further Assurances</w:t>
      </w:r>
      <w:r>
        <w:rPr>
          <w:rFonts w:ascii="Times New Roman" w:hAnsi="Times New Roman"/>
          <w:color w:val="000000"/>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Each Investor acknowledges that the Company and the Placement Agents will rely on the acknowledgments, understandings, agreements, representations and warranties contained in this Agreement. Prior to the Closing, each Investor agrees to promptly notify the Company if any of the acknowledgments, understandings, agreements, representations and warranties set forth in </w:t>
      </w:r>
      <w:r>
        <w:rPr>
          <w:rFonts w:ascii="Times New Roman" w:hAnsi="Times New Roman"/>
          <w:color w:val="000000"/>
          <w:sz w:val="20"/>
          <w:u w:val="single"/>
        </w:rPr>
        <w:t>Section 4</w:t>
      </w:r>
      <w:r>
        <w:rPr>
          <w:rFonts w:ascii="Times New Roman" w:hAnsi="Times New Roman"/>
          <w:color w:val="000000"/>
          <w:sz w:val="20"/>
        </w:rPr>
        <w:t xml:space="preserve"> of this Agreement are no longer accurate.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5.2       </w:t>
      </w:r>
      <w:r>
        <w:rPr>
          <w:rFonts w:ascii="Times New Roman" w:hAnsi="Times New Roman"/>
          <w:color w:val="000000"/>
          <w:sz w:val="20"/>
          <w:u w:val="single"/>
        </w:rPr>
        <w:t>Listing</w:t>
      </w:r>
      <w:r>
        <w:rPr>
          <w:rFonts w:ascii="Times New Roman" w:hAnsi="Times New Roman"/>
          <w:color w:val="000000"/>
          <w:sz w:val="20"/>
        </w:rPr>
        <w:t>.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 The Company shall also use commercially reasonable efforts to take all steps necessary to cause the Conversion Shares to be approved for listing on The Nasdaq Capital market as promptly as practicable.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5.3      </w:t>
      </w:r>
      <w:r>
        <w:rPr>
          <w:rFonts w:ascii="Times New Roman" w:hAnsi="Times New Roman"/>
          <w:color w:val="000000"/>
          <w:sz w:val="20"/>
          <w:u w:val="single"/>
        </w:rPr>
        <w:t>Disclosure of Transactions</w:t>
      </w:r>
      <w:r>
        <w:rPr>
          <w:rFonts w:ascii="Times New Roman" w:hAnsi="Times New Roman"/>
          <w:color w:val="000000"/>
          <w:sz w:val="20"/>
        </w:rPr>
        <w:t>. The Company shall, by 9:00 a.m., New York City time, on the first (1st) Business Day immediately following the date hereof (</w:t>
      </w:r>
      <w:r>
        <w:rPr>
          <w:rFonts w:ascii="Times New Roman" w:hAnsi="Times New Roman"/>
          <w:color w:val="000000"/>
          <w:sz w:val="20"/>
          <w:u w:val="single"/>
        </w:rPr>
        <w:t>provided</w:t>
      </w:r>
      <w:r>
        <w:rPr>
          <w:rFonts w:ascii="Times New Roman" w:hAnsi="Times New Roman"/>
          <w:color w:val="000000"/>
          <w:sz w:val="20"/>
        </w:rPr>
        <w:t xml:space="preserve"> that, if this Agreement is executed between midnight and 9:00 a.m., New York City time on any Business Day, no later than 9:01 a.m. on the date hereof), issue a press release and ensure that the Company shall substantially contemporaneously file with the SEC a Current Report on Form 8-K (including all exhibits thereto, the “</w:t>
      </w:r>
      <w:r>
        <w:rPr>
          <w:rFonts w:ascii="Times New Roman" w:hAnsi="Times New Roman"/>
          <w:b/>
          <w:color w:val="000000"/>
          <w:sz w:val="20"/>
        </w:rPr>
        <w:t>Disclosure Document</w:t>
      </w:r>
      <w:r>
        <w:rPr>
          <w:rFonts w:ascii="Times New Roman" w:hAnsi="Times New Roman"/>
          <w:color w:val="000000"/>
          <w:sz w:val="20"/>
        </w:rPr>
        <w:t>” and the actual filing of such press release and/or Current Report on Form 8-K, the “</w:t>
      </w:r>
      <w:r>
        <w:rPr>
          <w:rFonts w:ascii="Times New Roman" w:hAnsi="Times New Roman"/>
          <w:b/>
          <w:color w:val="000000"/>
          <w:sz w:val="20"/>
        </w:rPr>
        <w:t>Disclosure Time</w:t>
      </w:r>
      <w:r>
        <w:rPr>
          <w:rFonts w:ascii="Times New Roman" w:hAnsi="Times New Roman"/>
          <w:color w:val="000000"/>
          <w:sz w:val="20"/>
        </w:rPr>
        <w:t>”) disclosing (i) all material terms of the transactions contemplated hereby and by the other Transaction Agreements and the Merger Agreement and attaching this Agreement, the other Transaction Agreements and the Merger Agreement as exhibits to such Disclosure Document, and (ii) all material non-public information concerning the Company, Marea,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Marea, their respective subsidiaries or any of their respective officers, directors, employees or agents (including the Placement Agents). Without limiting the terms of the Registration Rights Agreement, from and after the issuance of the Disclosure Document, the Company shall not provide material non-public information to any Investor, unless otherwise specifically agreed in writing by such Investor prior to any such disclosure. The Company understands and confirms that the Investors will rely on the foregoing representation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 provided that the Company shall use commercially reasonable efforts to provide the Investors with prior written notice of and a reasonable opportunity to review such disclosure permitted under foregoing clauses (i) and (ii).</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5.4        </w:t>
      </w:r>
      <w:r>
        <w:rPr>
          <w:rFonts w:ascii="Times New Roman" w:hAnsi="Times New Roman"/>
          <w:color w:val="000000"/>
          <w:sz w:val="20"/>
          <w:u w:val="single"/>
        </w:rPr>
        <w:t>Integration</w:t>
      </w:r>
      <w:r>
        <w:rPr>
          <w:rFonts w:ascii="Times New Roman" w:hAnsi="Times New Roman"/>
          <w:color w:val="000000"/>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5.5         </w:t>
      </w:r>
      <w:r>
        <w:rPr>
          <w:rFonts w:ascii="Times New Roman" w:hAnsi="Times New Roman"/>
          <w:color w:val="000000"/>
          <w:sz w:val="20"/>
          <w:u w:val="single"/>
        </w:rPr>
        <w:t>Removal of Legends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In connection with any sale, assignment, transfer or other disposition of the Preferred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Preferred Shares or (i) have been sold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color w:val="000000"/>
          <w:sz w:val="20"/>
          <w:u w:val="single"/>
        </w:rPr>
        <w:t>Section 5.5(b)</w:t>
      </w:r>
      <w:r>
        <w:rPr>
          <w:rFonts w:ascii="Times New Roman" w:hAnsi="Times New Roman"/>
          <w:color w:val="000000"/>
          <w:sz w:val="20"/>
        </w:rPr>
        <w:t xml:space="preserve">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The Company shall be responsible for the fees of its Transfer Agent, DTC, and its legal counsel associated with such legend removal.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5.6       </w:t>
      </w:r>
      <w:r>
        <w:rPr>
          <w:rFonts w:ascii="Times New Roman" w:hAnsi="Times New Roman"/>
          <w:color w:val="000000"/>
          <w:sz w:val="20"/>
          <w:u w:val="single"/>
        </w:rPr>
        <w:t>Withholding Taxes</w:t>
      </w:r>
      <w:r>
        <w:rPr>
          <w:rFonts w:ascii="Times New Roman" w:hAnsi="Times New Roman"/>
          <w:color w:val="000000"/>
          <w:sz w:val="20"/>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5.7        </w:t>
      </w:r>
      <w:r>
        <w:rPr>
          <w:rFonts w:ascii="Times New Roman" w:hAnsi="Times New Roman"/>
          <w:color w:val="000000"/>
          <w:sz w:val="20"/>
          <w:u w:val="single"/>
        </w:rPr>
        <w:t>Fees and Commissions</w:t>
      </w:r>
      <w:r>
        <w:rPr>
          <w:rFonts w:ascii="Times New Roman" w:hAnsi="Times New Roman"/>
          <w:color w:val="000000"/>
          <w:sz w:val="20"/>
        </w:rPr>
        <w:t>. The Company shall be solely responsible for the payment of any placement agent’s fees, financial advisory fees, or broker’s commissions (other than for Persons engaged by an Investor) relating to or arising out of the transactions contemplated hereby in accordance with the engagement letter relating thereto, including, without limitation, any fees or commissions payable to the Placement Agents.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5.8         </w:t>
      </w:r>
      <w:r>
        <w:rPr>
          <w:rFonts w:ascii="Times New Roman" w:hAnsi="Times New Roman"/>
          <w:color w:val="000000"/>
          <w:sz w:val="20"/>
          <w:u w:val="single"/>
        </w:rPr>
        <w:t>No Conflicting Agreements</w:t>
      </w:r>
      <w:r>
        <w:rPr>
          <w:rFonts w:ascii="Times New Roman" w:hAnsi="Times New Roman"/>
          <w:color w:val="000000"/>
          <w:sz w:val="20"/>
        </w:rPr>
        <w:t>. The Company will not take any action, enter into any agreement or make any commitment that would conflict or interfere in any material respect with the Company’s obligations to the Investors under the Transaction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5.9         </w:t>
      </w:r>
      <w:r>
        <w:rPr>
          <w:rFonts w:ascii="Times New Roman" w:hAnsi="Times New Roman"/>
          <w:color w:val="000000"/>
          <w:sz w:val="20"/>
          <w:u w:val="single"/>
        </w:rPr>
        <w:t>Reporting Status</w:t>
      </w:r>
      <w:r>
        <w:rPr>
          <w:rFonts w:ascii="Times New Roman" w:hAnsi="Times New Roman"/>
          <w:color w:val="000000"/>
          <w:sz w:val="20"/>
        </w:rPr>
        <w:t>.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 provided, however, that the obligations of the Company under this Section 5.9 shall terminate upon the earlier to occur of (i) a change of control of the Company or (ii) the date on which no Investor holds any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5.10       </w:t>
      </w:r>
      <w:r>
        <w:rPr>
          <w:rFonts w:ascii="Times New Roman" w:hAnsi="Times New Roman"/>
          <w:color w:val="000000"/>
          <w:sz w:val="20"/>
          <w:u w:val="single"/>
        </w:rPr>
        <w:t>Indemnification.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The Company agrees to indemnify and hold harmless each Investor and its Affiliates, and their respective directors, officers, trustees, members, managers, employees, investment advisors and agents (collectively, the “</w:t>
      </w:r>
      <w:r>
        <w:rPr>
          <w:rFonts w:ascii="Times New Roman" w:hAnsi="Times New Roman"/>
          <w:b/>
          <w:color w:val="000000"/>
          <w:sz w:val="20"/>
        </w:rPr>
        <w:t>Indemnified Persons</w:t>
      </w:r>
      <w:r>
        <w:rPr>
          <w:rFonts w:ascii="Times New Roman" w:hAnsi="Times New Roman"/>
          <w:color w:val="000000"/>
          <w:sz w:val="20"/>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Person’s fraud or willful misconduct.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5.11     </w:t>
      </w:r>
      <w:r>
        <w:rPr>
          <w:rFonts w:ascii="Times New Roman" w:hAnsi="Times New Roman"/>
          <w:color w:val="000000"/>
          <w:sz w:val="20"/>
          <w:u w:val="single"/>
        </w:rPr>
        <w:t>Reservation of Common Stock</w:t>
      </w:r>
      <w:r>
        <w:rPr>
          <w:rFonts w:ascii="Times New Roman" w:hAnsi="Times New Roman"/>
          <w:color w:val="000000"/>
          <w:sz w:val="20"/>
        </w:rPr>
        <w:t>. As of the date of this Agreement, the Company has reserved and the Company shall continue to reserve and keep available at all times, free of preemptive rights, a sufficient number of shares of Common Stock for the purpose of enabling the Company to issue the Conversion Shares.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5.12       </w:t>
      </w:r>
      <w:r>
        <w:rPr>
          <w:rFonts w:ascii="Times New Roman" w:hAnsi="Times New Roman"/>
          <w:color w:val="000000"/>
          <w:sz w:val="20"/>
          <w:u w:val="single"/>
        </w:rPr>
        <w:t>Stockholder Approval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The Company shall use its reasonable best efforts to obtain the Requisite Stockholder Approval to approve the Stockholder Approval Matter, which shall be held in accordance with the terms and conditions of the Merger Agreement. The Company shall use its reasonable best efforts to solicit its stockholders’ approval of such resolution and to cause the Board of Directors to recommend to the stockholders that they approve such resolution. If the Requisite Stockholder Approval is not obtained at the Stockholders’ Meeting, the Company shall use its reasonable best efforts to obtain such approvals as soon as practicable thereafter, including (i) to obtain such approvals at the next occurring annual meeting of stockholders of the Company or, if such annual meeting is not scheduled to be held within six months, a special meeting of stockholders of the Company to be held within six months, and (ii) to hold an annual meeting or special meeting of stockholders at which a vote of the stockholders of the Company to approve the Stockholder Approval Matter will be solicited and taken, at least once every six months until the Company obtains such approval, in each case in accordance with Section 4.1 of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5.13      </w:t>
      </w:r>
      <w:r>
        <w:rPr>
          <w:rFonts w:ascii="Times New Roman" w:hAnsi="Times New Roman"/>
          <w:color w:val="000000"/>
          <w:sz w:val="20"/>
          <w:u w:val="single"/>
        </w:rPr>
        <w:t>No Amendment or Waiver of Merger Agreement</w:t>
      </w:r>
      <w:r>
        <w:rPr>
          <w:rFonts w:ascii="Times New Roman" w:hAnsi="Times New Roman"/>
          <w:color w:val="000000"/>
          <w:sz w:val="20"/>
        </w:rPr>
        <w:t>. The Company shall not, between the date of this Agreement and the Closing, and shall not permit any of its subsidiaries to, amend, modify, supplement, terminate or waive (or fail to contest an action regarding a breach of or agree to amend, modify, supplement, terminate or waive) any provision of the Merger Agreement or any other Transaction Document in a manner that would reasonably be expected to be materially adverse to the interests of the Investors without the prior written consent of the Investor Majority, it being agreed that any amendment or modification of the definition of “Exchange Ratio” shall be deemed to be materially adverse to the interests of the Investors.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5.14     </w:t>
      </w:r>
      <w:r>
        <w:rPr>
          <w:rFonts w:ascii="Times New Roman" w:hAnsi="Times New Roman"/>
          <w:color w:val="000000"/>
          <w:sz w:val="20"/>
          <w:u w:val="single"/>
        </w:rPr>
        <w:t>Lock-Up Agreements</w:t>
      </w:r>
      <w:r>
        <w:rPr>
          <w:rFonts w:ascii="Times New Roman" w:hAnsi="Times New Roman"/>
          <w:color w:val="000000"/>
          <w:sz w:val="20"/>
        </w:rPr>
        <w:t>. The Company shall not consent or agree to amend, alter, waive or otherwise modify the terms of any Lock-Up Agreement (as defined in the Merger Agreement) without the consent of the Placement Agents.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5.15       </w:t>
      </w:r>
      <w:r>
        <w:rPr>
          <w:rFonts w:ascii="Times New Roman" w:hAnsi="Times New Roman"/>
          <w:color w:val="000000"/>
          <w:sz w:val="20"/>
          <w:u w:val="single"/>
        </w:rPr>
        <w:t>Subsequent Equity Sales</w:t>
      </w:r>
      <w:r>
        <w:rPr>
          <w:rFonts w:ascii="Times New Roman" w:hAnsi="Times New Roman"/>
          <w:color w:val="000000"/>
          <w:sz w:val="20"/>
        </w:rPr>
        <w:t>. For a period of 180 days following the Closing Date, the Company shall not issue any shares of Common Stock or Common Stock Equivalents, or any debt securities (other than draws under credit facilities existing as of the Closing Date and equipment financings in the ordinary course of business), without the prior written consent of each of Forbion Ventures Fund VI Cooperatief U.A., Forbion Growth Opportunities Fund III Cooperatief U.A., and Alpha Wave Ventures II, LP (collectively, the “</w:t>
      </w:r>
      <w:r>
        <w:rPr>
          <w:rFonts w:ascii="Times New Roman" w:hAnsi="Times New Roman"/>
          <w:b/>
          <w:color w:val="000000"/>
          <w:sz w:val="20"/>
        </w:rPr>
        <w:t>Lead Investors</w:t>
      </w:r>
      <w:r>
        <w:rPr>
          <w:rFonts w:ascii="Times New Roman" w:hAnsi="Times New Roman"/>
          <w:color w:val="000000"/>
          <w:sz w:val="20"/>
        </w:rPr>
        <w:t xml:space="preserve">”)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that the foregoing restrictions shall not apply to issuances of Common Stock or Common Stock Equivalents (i) under this Agreement, (ii) pursuant to any stock incentive compensation, option, stock bonus or similar plan or arrangement, (iii) in connection with strategic transactions approved by the Company’s Board of Directors, the primary purpose of which is not to raise capital, (iv) in accordance with the Merger Agreement, (v) in connection with the conversion or settlement of indebtedness of the Company or Marea (or any Subsidiary of either of them) outstanding as of the Closing Date, (vi) pursuant to license agreements or (vii) upon the conversion, exercise or vesting of any securities of the Company outstanding as of the Closing Date or outstanding pursuant to clauses (ii), (iii), (iv) or (vi) above.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5.16      </w:t>
      </w:r>
      <w:r>
        <w:rPr>
          <w:rFonts w:ascii="Times New Roman" w:hAnsi="Times New Roman"/>
          <w:color w:val="000000"/>
          <w:sz w:val="20"/>
          <w:u w:val="single"/>
        </w:rPr>
        <w:t>Most Favored Investor</w:t>
      </w:r>
      <w:r>
        <w:rPr>
          <w:rFonts w:ascii="Times New Roman" w:hAnsi="Times New Roman"/>
          <w:color w:val="000000"/>
          <w:sz w:val="20"/>
        </w:rPr>
        <w:t>. Neither the Company nor any of its affiliates has entered into, or will enter into, any side letter or similar agreement with any Investor or any other investor in the Financing with respect to the purchase of the Preferred Shares on economic terms (including price per share, any warrant or other security issued in connection therewith, and registration rights) more favorable to such Investor or other investor than the terms set forth in the Transaction Agreements, unless such terms are concurrently offered to the Lead Investors.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w:t>
      </w:r>
      <w:r>
        <w:rPr>
          <w:rFonts w:ascii="Times New Roman" w:hAnsi="Times New Roman"/>
          <w:color w:val="000000"/>
          <w:sz w:val="20"/>
          <w:u w:val="single"/>
        </w:rPr>
        <w:t>Conditions of Closing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6.1     </w:t>
      </w:r>
      <w:r>
        <w:rPr>
          <w:rFonts w:ascii="Times New Roman" w:hAnsi="Times New Roman"/>
          <w:color w:val="000000"/>
          <w:sz w:val="20"/>
          <w:u w:val="single"/>
        </w:rPr>
        <w:t>Conditions to the Obligation of the Investors</w:t>
      </w:r>
      <w:r>
        <w:rPr>
          <w:rFonts w:ascii="Times New Roman" w:hAnsi="Times New Roman"/>
          <w:color w:val="000000"/>
          <w:sz w:val="20"/>
        </w:rPr>
        <w:t>. The several obligations of each Investor to consummate the transactions to be consummated at the Closing, and to purchase and pay for the Preferred Shares being purchased by it at the Closing pursuant to this Agreement, are subject to the satisfaction or waiver in writing of the following conditions precedent: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Performance</w:t>
      </w:r>
      <w:r>
        <w:rPr>
          <w:rFonts w:ascii="Times New Roman" w:hAnsi="Times New Roman"/>
          <w:color w:val="000000"/>
          <w:sz w:val="20"/>
        </w:rPr>
        <w:t>. The Company shall have performed in all material respects the obligations and conditions herein required to be performed or observed by the Company on or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 Injunction</w:t>
      </w:r>
      <w:r>
        <w:rPr>
          <w:rFonts w:ascii="Times New Roman" w:hAnsi="Times New Roman"/>
          <w:color w:val="000000"/>
          <w:sz w:val="20"/>
        </w:rPr>
        <w:t>. The purchase of and payment for the Preferred Shares by each Investor shall not be prohibited or enjoined by any law or governmental or court order or regulation and no such prohibition shall have been threatened in writing.</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Consents</w:t>
      </w:r>
      <w:r>
        <w:rPr>
          <w:rFonts w:ascii="Times New Roman" w:hAnsi="Times New Roman"/>
          <w:color w:val="000000"/>
          <w:sz w:val="20"/>
        </w:rPr>
        <w:t>. The Company shall have obtained any and all consents, permits, approvals, registrations and waivers necessary for the consummation of the purchase and sale of the Preferred Shares, all of which shall be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Transfer Agent</w:t>
      </w:r>
      <w:r>
        <w:rPr>
          <w:rFonts w:ascii="Times New Roman" w:hAnsi="Times New Roman"/>
          <w:color w:val="000000"/>
          <w:sz w:val="20"/>
        </w:rPr>
        <w:t>. The Company shall have furnished all required materials to the Transfer Agent to reflect the issuance of the Preferred Shares at the Closing.</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Adverse Changes</w:t>
      </w:r>
      <w:r>
        <w:rPr>
          <w:rFonts w:ascii="Times New Roman" w:hAnsi="Times New Roman"/>
          <w:color w:val="000000"/>
          <w:sz w:val="20"/>
        </w:rPr>
        <w:t>. Since the date of this Agreement, no event or series of events shall have occurred that has had or would reasonably be expected to have a Material Adverse Effect or a Company Material Adverse Effect (as defined in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Opinion of Company Counsel</w:t>
      </w:r>
      <w:r>
        <w:rPr>
          <w:rFonts w:ascii="Times New Roman" w:hAnsi="Times New Roman"/>
          <w:color w:val="000000"/>
          <w:sz w:val="20"/>
        </w:rPr>
        <w:t>. The Company shall have delivered to the Investors and the Placement Agents the opinion of Mintz, Levin, Cohn, Ferris, Glovsky and Popeo, P.C., dated as of the Closing Date, in customary form and substance to be reasonably agreed upon with the Investors and addressing such legal matters as the Investors and the Company reasonably agree.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Minimum Financing Amount</w:t>
      </w:r>
      <w:r>
        <w:rPr>
          <w:rFonts w:ascii="Times New Roman" w:hAnsi="Times New Roman"/>
          <w:color w:val="000000"/>
          <w:sz w:val="20"/>
        </w:rPr>
        <w:t>. The Company shall have received (or shall receive substantially concurrently with the Closing) aggregate gross proceeds from the sale of the Preferred Shares at the Closing of not less than $220,000,000.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Compliance Certificate</w:t>
      </w:r>
      <w:r>
        <w:rPr>
          <w:rFonts w:ascii="Times New Roman" w:hAnsi="Times New Roman"/>
          <w:color w:val="000000"/>
          <w:sz w:val="20"/>
        </w:rPr>
        <w:t xml:space="preserve">. An authorized officer of the Company shall have delivered to the Investors at the Closing Date a certificate certifying that the conditions specified in </w:t>
      </w:r>
      <w:r>
        <w:rPr>
          <w:rFonts w:ascii="Times New Roman" w:hAnsi="Times New Roman"/>
          <w:color w:val="000000"/>
          <w:sz w:val="20"/>
          <w:u w:val="single"/>
        </w:rPr>
        <w:t>Sections 6.1(a) (Representations and Warranties)</w:t>
      </w:r>
      <w:r>
        <w:rPr>
          <w:rFonts w:ascii="Times New Roman" w:hAnsi="Times New Roman"/>
          <w:color w:val="000000"/>
          <w:sz w:val="20"/>
        </w:rPr>
        <w:t xml:space="preserve">, </w:t>
      </w:r>
      <w:r>
        <w:rPr>
          <w:rFonts w:ascii="Times New Roman" w:hAnsi="Times New Roman"/>
          <w:color w:val="000000"/>
          <w:sz w:val="20"/>
          <w:u w:val="single"/>
        </w:rPr>
        <w:t>6.1(b) (Performance)</w:t>
      </w:r>
      <w:r>
        <w:rPr>
          <w:rFonts w:ascii="Times New Roman" w:hAnsi="Times New Roman"/>
          <w:color w:val="000000"/>
          <w:sz w:val="20"/>
        </w:rPr>
        <w:t xml:space="preserve">, </w:t>
      </w:r>
      <w:r>
        <w:rPr>
          <w:rFonts w:ascii="Times New Roman" w:hAnsi="Times New Roman"/>
          <w:color w:val="000000"/>
          <w:sz w:val="20"/>
          <w:u w:val="single"/>
        </w:rPr>
        <w:t>6.1(c) (No Injunction)</w:t>
      </w:r>
      <w:r>
        <w:rPr>
          <w:rFonts w:ascii="Times New Roman" w:hAnsi="Times New Roman"/>
          <w:color w:val="000000"/>
          <w:sz w:val="20"/>
        </w:rPr>
        <w:t xml:space="preserve">, </w:t>
      </w:r>
      <w:r>
        <w:rPr>
          <w:rFonts w:ascii="Times New Roman" w:hAnsi="Times New Roman"/>
          <w:color w:val="000000"/>
          <w:sz w:val="20"/>
          <w:u w:val="single"/>
        </w:rPr>
        <w:t>6.1(d) (Consents)</w:t>
      </w:r>
      <w:r>
        <w:rPr>
          <w:rFonts w:ascii="Times New Roman" w:hAnsi="Times New Roman"/>
          <w:color w:val="000000"/>
          <w:sz w:val="20"/>
        </w:rPr>
        <w:t xml:space="preserve">, </w:t>
      </w:r>
      <w:r>
        <w:rPr>
          <w:rFonts w:ascii="Times New Roman" w:hAnsi="Times New Roman"/>
          <w:color w:val="000000"/>
          <w:sz w:val="20"/>
          <w:u w:val="single"/>
        </w:rPr>
        <w:t>6.1(e) (Transfer Agent)</w:t>
      </w:r>
      <w:r>
        <w:rPr>
          <w:rFonts w:ascii="Times New Roman" w:hAnsi="Times New Roman"/>
          <w:color w:val="000000"/>
          <w:sz w:val="20"/>
        </w:rPr>
        <w:t xml:space="preserve">, </w:t>
      </w:r>
      <w:r>
        <w:rPr>
          <w:rFonts w:ascii="Times New Roman" w:hAnsi="Times New Roman"/>
          <w:color w:val="000000"/>
          <w:sz w:val="20"/>
          <w:u w:val="single"/>
        </w:rPr>
        <w:t>6.1(f) (Adverse Changes)</w:t>
      </w:r>
      <w:r>
        <w:rPr>
          <w:rFonts w:ascii="Times New Roman" w:hAnsi="Times New Roman"/>
          <w:color w:val="000000"/>
          <w:sz w:val="20"/>
        </w:rPr>
        <w:t xml:space="preserve">, </w:t>
      </w:r>
      <w:r>
        <w:rPr>
          <w:rFonts w:ascii="Times New Roman" w:hAnsi="Times New Roman"/>
          <w:color w:val="000000"/>
          <w:sz w:val="20"/>
          <w:u w:val="single"/>
        </w:rPr>
        <w:t>6.1(l) (Nasdaq)</w:t>
      </w:r>
      <w:r>
        <w:rPr>
          <w:rFonts w:ascii="Times New Roman" w:hAnsi="Times New Roman"/>
          <w:color w:val="000000"/>
          <w:sz w:val="20"/>
        </w:rPr>
        <w:t xml:space="preserve">, </w:t>
      </w:r>
      <w:r>
        <w:rPr>
          <w:rFonts w:ascii="Times New Roman" w:hAnsi="Times New Roman"/>
          <w:color w:val="000000"/>
          <w:sz w:val="20"/>
          <w:u w:val="single"/>
        </w:rPr>
        <w:t>6.1(m) (Merger)</w:t>
      </w:r>
      <w:r>
        <w:rPr>
          <w:rFonts w:ascii="Times New Roman" w:hAnsi="Times New Roman"/>
          <w:color w:val="000000"/>
          <w:sz w:val="20"/>
        </w:rPr>
        <w:t xml:space="preserve"> and </w:t>
      </w:r>
      <w:r>
        <w:rPr>
          <w:rFonts w:ascii="Times New Roman" w:hAnsi="Times New Roman"/>
          <w:color w:val="000000"/>
          <w:sz w:val="20"/>
          <w:u w:val="single"/>
        </w:rPr>
        <w:t>6.1(n) (Certificate of Designations)</w:t>
      </w:r>
      <w:r>
        <w:rPr>
          <w:rFonts w:ascii="Times New Roman" w:hAnsi="Times New Roman"/>
          <w:color w:val="000000"/>
          <w:sz w:val="20"/>
        </w:rPr>
        <w:t xml:space="preserve"> of this Agreement have been fulfilled.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Secretary’s Certificate</w:t>
      </w:r>
      <w:r>
        <w:rPr>
          <w:rFonts w:ascii="Times New Roman" w:hAnsi="Times New Roman"/>
          <w:color w:val="000000"/>
          <w:sz w:val="20"/>
        </w:rPr>
        <w:t>. The Secretary of the Company shall have delivered to the Investors at the Closing Date a certificate certifying (i) the Certificate of Incorporation; (ii) the Certificate of Designations; (iii) the Bylaws; and (iv) resolutions of the Company’s Board of Directors (or an authorized committee thereof) approving this Agreement, the other Transaction Agreements, the transactions contemplated by this Agreement and the issuance of the Preferred Shares and the Conversion Shares.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Registration Rights Agreement</w:t>
      </w:r>
      <w:r>
        <w:rPr>
          <w:rFonts w:ascii="Times New Roman" w:hAnsi="Times New Roman"/>
          <w:color w:val="000000"/>
          <w:sz w:val="20"/>
        </w:rPr>
        <w:t xml:space="preserve">. The Company shall have executed and delivered the Registration Rights Agreement in the form attached hereto as </w:t>
      </w:r>
      <w:r>
        <w:rPr>
          <w:rFonts w:ascii="Times New Roman" w:hAnsi="Times New Roman"/>
          <w:color w:val="000000"/>
          <w:sz w:val="20"/>
          <w:u w:val="single"/>
        </w:rPr>
        <w:t>Exhibit C</w:t>
      </w:r>
      <w:r>
        <w:rPr>
          <w:rFonts w:ascii="Times New Roman" w:hAnsi="Times New Roman"/>
          <w:color w:val="000000"/>
          <w:sz w:val="20"/>
        </w:rPr>
        <w:t xml:space="preserve"> (the “</w:t>
      </w:r>
      <w:r>
        <w:rPr>
          <w:rFonts w:ascii="Times New Roman" w:hAnsi="Times New Roman"/>
          <w:b/>
          <w:color w:val="000000"/>
          <w:sz w:val="20"/>
        </w:rPr>
        <w:t>Registration Rights Agreement</w:t>
      </w:r>
      <w:r>
        <w:rPr>
          <w:rFonts w:ascii="Times New Roman" w:hAnsi="Times New Roman"/>
          <w:color w:val="000000"/>
          <w:sz w:val="20"/>
        </w:rPr>
        <w:t>”) to the Investors.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Nasdaq</w:t>
      </w:r>
      <w:r>
        <w:rPr>
          <w:rFonts w:ascii="Times New Roman" w:hAnsi="Times New Roman"/>
          <w:color w:val="000000"/>
          <w:sz w:val="20"/>
        </w:rPr>
        <w:t>. The Company shall have filed with Nasdaq a Notification Form: Listing of Additional Shares for the listing of the Conversion Shares and shall not have received any objections to the transactions contemplated in this Agreement, the other Transaction Agreements or the Merger Agreement. No stop order or suspension of trading shall have been imposed by Nasdaq, the SEC or any other governmental or regulatory body with respect to public trading in the Common Stock. The Common Stock shall be listed on Nasdaq and shall not have been suspended, as of the Closing Date, by the SEC or Nasdaq from trading thereon.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Merger</w:t>
      </w:r>
      <w:r>
        <w:rPr>
          <w:rFonts w:ascii="Times New Roman" w:hAnsi="Times New Roman"/>
          <w:color w:val="000000"/>
          <w:sz w:val="20"/>
        </w:rPr>
        <w:t xml:space="preserve">. The closing of the Merger shall have occurred in accordance with the Merger Agreement. The Merger Agreement shall not have been amended or modified, and the Company shall not have waived any provision thereunder, in contravention of </w:t>
      </w:r>
      <w:r>
        <w:rPr>
          <w:rFonts w:ascii="Times New Roman" w:hAnsi="Times New Roman"/>
          <w:color w:val="000000"/>
          <w:sz w:val="20"/>
          <w:u w:val="single"/>
        </w:rPr>
        <w:t>Section 5.13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color w:val="000000"/>
          <w:sz w:val="20"/>
          <w:u w:val="single"/>
        </w:rPr>
        <w:t>Certificate of Designations</w:t>
      </w:r>
      <w:r>
        <w:rPr>
          <w:rFonts w:ascii="Times New Roman" w:hAnsi="Times New Roman"/>
          <w:color w:val="000000"/>
          <w:sz w:val="20"/>
        </w:rPr>
        <w:t>. The Company shall have received a certified copy of the Certificate of Designations, as filed with the Secretary of State of the State of Delaware.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No Injunction</w:t>
      </w:r>
      <w:r>
        <w:rPr>
          <w:rFonts w:ascii="Times New Roman" w:hAnsi="Times New Roman"/>
          <w:color w:val="000000"/>
          <w:sz w:val="20"/>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 or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6.2       </w:t>
      </w:r>
      <w:r>
        <w:rPr>
          <w:rFonts w:ascii="Times New Roman" w:hAnsi="Times New Roman"/>
          <w:color w:val="000000"/>
          <w:sz w:val="20"/>
          <w:u w:val="single"/>
        </w:rPr>
        <w:t>Conditions to the Obligation of the Company</w:t>
      </w:r>
      <w:r>
        <w:rPr>
          <w:rFonts w:ascii="Times New Roman" w:hAnsi="Times New Roman"/>
          <w:color w:val="000000"/>
          <w:sz w:val="20"/>
        </w:rPr>
        <w:t>. The obligation of the Company to consummate the transactions to be consummated at the Closing, and to issue and sell to each Investor the Preferred Shares to be purchased by it at the Closing pursuant to this Agreement, is subject to the satisfaction or waiver in writing of the following conditions precedent: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The representations and warranties of each Investor in </w:t>
      </w:r>
      <w:r>
        <w:rPr>
          <w:rFonts w:ascii="Times New Roman" w:hAnsi="Times New Roman"/>
          <w:color w:val="000000"/>
          <w:sz w:val="20"/>
          <w:u w:val="single"/>
        </w:rPr>
        <w:t>Section 4</w:t>
      </w:r>
      <w:r>
        <w:rPr>
          <w:rFonts w:ascii="Times New Roman" w:hAnsi="Times New Roman"/>
          <w:color w:val="000000"/>
          <w:sz w:val="20"/>
        </w:rPr>
        <w:t xml:space="preserve"> hereto shall be true and correct in all respects as of the date of this Agreement and as of the Closing Date, with the same force and effect as though made on and as of the Closing Date, except to the extent that any such representation or warranty expressly speaks as of an earlier date, in which case such representation or warranty shall be true and correct in all respects as of such earlier date, and consummation of the Closing shall constitute a reaffirmation by each Investor of each of the representations, warranties, covenants and agreements of such Investor contained in this Agreement as of the Closing Date.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Performance</w:t>
      </w:r>
      <w:r>
        <w:rPr>
          <w:rFonts w:ascii="Times New Roman" w:hAnsi="Times New Roman"/>
          <w:color w:val="000000"/>
          <w:sz w:val="20"/>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Injunction</w:t>
      </w:r>
      <w:r>
        <w:rPr>
          <w:rFonts w:ascii="Times New Roman" w:hAnsi="Times New Roman"/>
          <w:color w:val="000000"/>
          <w:sz w:val="20"/>
        </w:rPr>
        <w:t>. The purchase of and payment for the Preferred Shares by each Investor shall not be prohibited or enjoined by any law or governmental or court order or regulation.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Registration Rights Agreement</w:t>
      </w:r>
      <w:r>
        <w:rPr>
          <w:rFonts w:ascii="Times New Roman" w:hAnsi="Times New Roman"/>
          <w:color w:val="000000"/>
          <w:sz w:val="20"/>
        </w:rPr>
        <w:t xml:space="preserve">. Each Investor shall have executed and delivered the Registration Rights Agreement to the Company in the form attached as </w:t>
      </w:r>
      <w:r>
        <w:rPr>
          <w:rFonts w:ascii="Times New Roman" w:hAnsi="Times New Roman"/>
          <w:color w:val="000000"/>
          <w:sz w:val="20"/>
          <w:u w:val="single"/>
        </w:rPr>
        <w:t>Exhibit 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Payment</w:t>
      </w:r>
      <w:r>
        <w:rPr>
          <w:rFonts w:ascii="Times New Roman" w:hAnsi="Times New Roman"/>
          <w:color w:val="000000"/>
          <w:sz w:val="20"/>
        </w:rPr>
        <w:t xml:space="preserve">. Except as may be agreed to among the Company and such Investor in accordance with </w:t>
      </w:r>
      <w:r>
        <w:rPr>
          <w:rFonts w:ascii="Times New Roman" w:hAnsi="Times New Roman"/>
          <w:color w:val="000000"/>
          <w:sz w:val="20"/>
          <w:u w:val="single"/>
        </w:rPr>
        <w:t>Section 2.2</w:t>
      </w:r>
      <w:r>
        <w:rPr>
          <w:rFonts w:ascii="Times New Roman" w:hAnsi="Times New Roman"/>
          <w:color w:val="000000"/>
          <w:sz w:val="20"/>
        </w:rPr>
        <w:t xml:space="preserve">, the Company shall have received payment, by wire transfer of immediately available funds, in the full amount of the purchase price for the number of Preferred Shares being purchased by each Investor at the Closing as set forth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Termination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7.1      </w:t>
      </w:r>
      <w:r>
        <w:rPr>
          <w:rFonts w:ascii="Times New Roman" w:hAnsi="Times New Roman"/>
          <w:color w:val="000000"/>
          <w:sz w:val="20"/>
          <w:u w:val="single"/>
        </w:rPr>
        <w:t>Termination</w:t>
      </w:r>
      <w:r>
        <w:rPr>
          <w:rFonts w:ascii="Times New Roman" w:hAnsi="Times New Roman"/>
          <w:color w:val="000000"/>
          <w:sz w:val="20"/>
        </w:rPr>
        <w:t>. The obligations of the Company, on the one hand, and each Investor, on the other hand, to effect the Closing shall terminate as follows: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Upon the mutual written consent of the Company and the Investor Majority;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By the Company if any of the conditions set forth in </w:t>
      </w:r>
      <w:r>
        <w:rPr>
          <w:rFonts w:ascii="Times New Roman" w:hAnsi="Times New Roman"/>
          <w:color w:val="000000"/>
          <w:sz w:val="20"/>
          <w:u w:val="single"/>
        </w:rPr>
        <w:t>Section 6.2</w:t>
      </w:r>
      <w:r>
        <w:rPr>
          <w:rFonts w:ascii="Times New Roman" w:hAnsi="Times New Roman"/>
          <w:color w:val="000000"/>
          <w:sz w:val="20"/>
        </w:rPr>
        <w:t xml:space="preserve"> shall have become incapable of fulfillment, and shall not have been waived by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By an Investor (with respect to itself only) if any of the conditions set forth in </w:t>
      </w:r>
      <w:r>
        <w:rPr>
          <w:rFonts w:ascii="Times New Roman" w:hAnsi="Times New Roman"/>
          <w:color w:val="000000"/>
          <w:sz w:val="20"/>
          <w:u w:val="single"/>
        </w:rPr>
        <w:t>Section 6.1</w:t>
      </w:r>
      <w:r>
        <w:rPr>
          <w:rFonts w:ascii="Times New Roman" w:hAnsi="Times New Roman"/>
          <w:color w:val="000000"/>
          <w:sz w:val="20"/>
        </w:rPr>
        <w:t xml:space="preserve"> shall have become incapable of fulfillment, and shall not have been waived by such Investor;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By either the Company or an Investor (with respect to itself only) if the Closing has not occurred on or prior to the fifth Business Day following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provided, however,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7.2        </w:t>
      </w:r>
      <w:r>
        <w:rPr>
          <w:rFonts w:ascii="Times New Roman" w:hAnsi="Times New Roman"/>
          <w:color w:val="000000"/>
          <w:sz w:val="20"/>
          <w:u w:val="single"/>
        </w:rPr>
        <w:t>Notice</w:t>
      </w:r>
      <w:r>
        <w:rPr>
          <w:rFonts w:ascii="Times New Roman" w:hAnsi="Times New Roman"/>
          <w:color w:val="000000"/>
          <w:sz w:val="20"/>
        </w:rPr>
        <w:t xml:space="preserve">. In the event of termination pursuant to </w:t>
      </w:r>
      <w:r>
        <w:rPr>
          <w:rFonts w:ascii="Times New Roman" w:hAnsi="Times New Roman"/>
          <w:color w:val="000000"/>
          <w:sz w:val="20"/>
          <w:u w:val="single"/>
        </w:rPr>
        <w:t>Section 7.1</w:t>
      </w:r>
      <w:r>
        <w:rPr>
          <w:rFonts w:ascii="Times New Roman" w:hAnsi="Times New Roman"/>
          <w:color w:val="000000"/>
          <w:sz w:val="20"/>
        </w:rPr>
        <w:t xml:space="preserve">, written notice thereof shall be given to each other Investor by or on behalf of the Company. Nothing in this </w:t>
      </w:r>
      <w:r>
        <w:rPr>
          <w:rFonts w:ascii="Times New Roman" w:hAnsi="Times New Roman"/>
          <w:color w:val="000000"/>
          <w:sz w:val="20"/>
          <w:u w:val="single"/>
        </w:rPr>
        <w:t>Section 7</w:t>
      </w:r>
      <w:r>
        <w:rPr>
          <w:rFonts w:ascii="Times New Roman" w:hAnsi="Times New Roman"/>
          <w:color w:val="000000"/>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w:t>
      </w:r>
      <w:r>
        <w:rPr>
          <w:rFonts w:ascii="Times New Roman" w:hAnsi="Times New Roman"/>
          <w:color w:val="000000"/>
          <w:sz w:val="20"/>
          <w:u w:val="single"/>
        </w:rPr>
        <w:t>Miscellaneous Provisions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8.1      </w:t>
      </w:r>
      <w:r>
        <w:rPr>
          <w:rFonts w:ascii="Times New Roman" w:hAnsi="Times New Roman"/>
          <w:color w:val="000000"/>
          <w:sz w:val="20"/>
          <w:u w:val="single"/>
        </w:rPr>
        <w:t>Public Statements or Releases</w:t>
      </w:r>
      <w:r>
        <w:rPr>
          <w:rFonts w:ascii="Times New Roman" w:hAnsi="Times New Roman"/>
          <w:color w:val="000000"/>
          <w:sz w:val="20"/>
        </w:rPr>
        <w:t xml:space="preserve">. Except as set forth in </w:t>
      </w:r>
      <w:r>
        <w:rPr>
          <w:rFonts w:ascii="Times New Roman" w:hAnsi="Times New Roman"/>
          <w:color w:val="000000"/>
          <w:sz w:val="20"/>
          <w:u w:val="single"/>
        </w:rPr>
        <w:t>Section 5.3</w:t>
      </w:r>
      <w:r>
        <w:rPr>
          <w:rFonts w:ascii="Times New Roman" w:hAnsi="Times New Roman"/>
          <w:color w:val="000000"/>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hAnsi="Times New Roman"/>
          <w:color w:val="000000"/>
          <w:sz w:val="20"/>
          <w:u w:val="single"/>
        </w:rPr>
        <w:t>Section 5.3</w:t>
      </w:r>
      <w:r>
        <w:rPr>
          <w:rFonts w:ascii="Times New Roman" w:hAnsi="Times New Roman"/>
          <w:color w:val="000000"/>
          <w:sz w:val="20"/>
        </w:rPr>
        <w:t xml:space="preserve">, nothing in this </w:t>
      </w:r>
      <w:r>
        <w:rPr>
          <w:rFonts w:ascii="Times New Roman" w:hAnsi="Times New Roman"/>
          <w:color w:val="000000"/>
          <w:sz w:val="20"/>
          <w:u w:val="single"/>
        </w:rPr>
        <w:t>Section 8.1</w:t>
      </w:r>
      <w:r>
        <w:rPr>
          <w:rFonts w:ascii="Times New Roman" w:hAnsi="Times New Roman"/>
          <w:color w:val="000000"/>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any Investor in any press release or public announcement (which, for the avoidance of doubt, shall not include any filing with the SEC if so required by the applicable rules of the SEC) without the prior written consent of such Investor, except as otherwise required by law or the applicable rules or regulations of any securities exchange or securities market, in which case the Company shall allow such Investor, to the extent reasonably practicable in the circumstances, reasonable time to comment on such release or announcement in advance of such issuance. Notwithstanding anything to the contrary in this </w:t>
      </w:r>
      <w:r>
        <w:rPr>
          <w:rFonts w:ascii="Times New Roman" w:hAnsi="Times New Roman"/>
          <w:color w:val="000000"/>
          <w:sz w:val="20"/>
          <w:u w:val="single"/>
        </w:rPr>
        <w:t>Section 8.1</w:t>
      </w:r>
      <w:r>
        <w:rPr>
          <w:rFonts w:ascii="Times New Roman" w:hAnsi="Times New Roman"/>
          <w:color w:val="000000"/>
          <w:sz w:val="20"/>
        </w:rPr>
        <w:t>, Investor review shall not be required for Company disclosures that are substantially consistent with prior Company disclosures.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8.2       </w:t>
      </w:r>
      <w:r>
        <w:rPr>
          <w:rFonts w:ascii="Times New Roman" w:hAnsi="Times New Roman"/>
          <w:color w:val="000000"/>
          <w:sz w:val="20"/>
          <w:u w:val="single"/>
        </w:rPr>
        <w:t>Interpretation</w:t>
      </w:r>
      <w:r>
        <w:rPr>
          <w:rFonts w:ascii="Times New Roman" w:hAnsi="Times New Roman"/>
          <w:color w:val="000000"/>
          <w:sz w:val="20"/>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8.3        </w:t>
      </w:r>
      <w:r>
        <w:rPr>
          <w:rFonts w:ascii="Times New Roman" w:hAnsi="Times New Roman"/>
          <w:color w:val="000000"/>
          <w:sz w:val="20"/>
          <w:u w:val="single"/>
        </w:rPr>
        <w:t>Notices</w:t>
      </w:r>
      <w:r>
        <w:rPr>
          <w:rFonts w:ascii="Times New Roman" w:hAnsi="Times New Roman"/>
          <w:color w:val="000000"/>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3" w:name="z02ebf13e682441dea379e53812d6850d"/>
      <w:bookmarkStart w:id="904" w:name="z02ebf13e682441dea379e53812d6850d"/>
      <w:bookmarkEnd w:id="904"/>
    </w:p>
    <w:tbl>
      <w:tblPr>
        <w:tblW w:w="4203" w:type="dxa"/>
        <w:jc w:val="left"/>
        <w:tblInd w:w="0" w:type="dxa"/>
        <w:tblLayout w:type="fixed"/>
        <w:tblCellMar>
          <w:top w:w="0" w:type="dxa"/>
          <w:left w:w="0" w:type="dxa"/>
          <w:bottom w:w="0" w:type="dxa"/>
          <w:right w:w="0" w:type="dxa"/>
        </w:tblCellMar>
      </w:tblPr>
      <w:tblGrid>
        <w:gridCol w:w="38"/>
        <w:gridCol w:w="275"/>
        <w:gridCol w:w="389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3890" w:type="dxa"/>
            <w:tcBorders/>
            <w:vAlign w:val="center"/>
          </w:tcPr>
          <w:p>
            <w:pPr>
              <w:pStyle w:val="TableContents"/>
              <w:bidi w:val="0"/>
              <w:spacing w:before="0" w:after="0"/>
              <w:jc w:val="both"/>
              <w:rPr/>
            </w:pPr>
            <w:r>
              <w:rPr/>
              <w:t>If to the Company, addressed as follows:</w:t>
            </w:r>
          </w:p>
        </w:tc>
      </w:tr>
    </w:tbl>
    <w:p>
      <w:pPr>
        <w:pStyle w:val="TextBody"/>
        <w:bidi w:val="0"/>
        <w:spacing w:before="0" w:after="0"/>
        <w:jc w:val="left"/>
        <w:rPr>
          <w:color w:val="000000"/>
        </w:rPr>
      </w:pPr>
      <w:r>
        <w:rPr>
          <w:color w:val="000000"/>
        </w:rPr>
        <w:t> </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Lisata Therapeutics, Inc.</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P.O. Box 173</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Liberty Corner, NJ 07938</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Attention: David J. Mazzo and Tariq Imam</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with a copy (which shall not constitute notice):</w:t>
      </w:r>
    </w:p>
    <w:p>
      <w:pPr>
        <w:pStyle w:val="TextBody"/>
        <w:bidi w:val="0"/>
        <w:spacing w:before="0" w:after="0"/>
        <w:jc w:val="left"/>
        <w:rPr>
          <w:color w:val="000000"/>
        </w:rPr>
      </w:pPr>
      <w:r>
        <w:rPr>
          <w:color w:val="000000"/>
        </w:rPr>
        <w:t> </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Mintz, Levin, Cohn, Ferris, Glovsky and Popeo, P.C.</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919 Third Avenue</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New York, NY 10022</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Attention: Jeffrey P. Schultz, Esq.</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If to any Investor, at its address or e-mail address set forth on </w:t>
      </w:r>
      <w:r>
        <w:rPr>
          <w:rFonts w:ascii="Times New Roman" w:hAnsi="Times New Roman"/>
          <w:color w:val="000000"/>
          <w:sz w:val="20"/>
          <w:u w:val="single"/>
        </w:rPr>
        <w:t>Exhibit A</w:t>
      </w:r>
      <w:r>
        <w:rPr>
          <w:rFonts w:ascii="Times New Roman" w:hAnsi="Times New Roman"/>
          <w:color w:val="000000"/>
          <w:sz w:val="20"/>
        </w:rPr>
        <w:t xml:space="preserve">, or such address or e-mail address as subsequently modified by written notice given in accordance with this </w:t>
      </w:r>
      <w:r>
        <w:rPr>
          <w:rFonts w:ascii="Times New Roman" w:hAnsi="Times New Roman"/>
          <w:color w:val="000000"/>
          <w:sz w:val="20"/>
          <w:u w:val="single"/>
        </w:rPr>
        <w:t>Section 8.3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Person may change the address to which notices and communications to it are to be addressed by notification as provided for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8.4       </w:t>
      </w:r>
      <w:r>
        <w:rPr>
          <w:rFonts w:ascii="Times New Roman" w:hAnsi="Times New Roman"/>
          <w:color w:val="000000"/>
          <w:sz w:val="20"/>
          <w:u w:val="single"/>
        </w:rPr>
        <w:t>Consent to Electronic Notice</w:t>
      </w:r>
      <w:r>
        <w:rPr>
          <w:rFonts w:ascii="Times New Roman" w:hAnsi="Times New Roman"/>
          <w:color w:val="000000"/>
          <w:sz w:val="20"/>
        </w:rPr>
        <w:t xml:space="preserve">. Each Investor consents to the delivery of any stockholder notice pursuant to Section 232 of the Delaware General Corporation Law, as amended or superseded from time to time, at the e-mail address set forth below such Investor’s name on the signature page or </w:t>
      </w:r>
      <w:r>
        <w:rPr>
          <w:rFonts w:ascii="Times New Roman" w:hAnsi="Times New Roman"/>
          <w:color w:val="000000"/>
          <w:sz w:val="20"/>
          <w:u w:val="single"/>
        </w:rPr>
        <w:t>Exhibit A</w:t>
      </w:r>
      <w:r>
        <w:rPr>
          <w:rFonts w:ascii="Times New Roman" w:hAnsi="Times New Roman"/>
          <w:color w:val="000000"/>
          <w:sz w:val="20"/>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Investor agrees to promptly notify the Company of any change in its e-mail address, and that failure to do so shall not affect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8.5       </w:t>
      </w:r>
      <w:r>
        <w:rPr>
          <w:rFonts w:ascii="Times New Roman" w:hAnsi="Times New Roman"/>
          <w:color w:val="000000"/>
          <w:sz w:val="20"/>
          <w:u w:val="single"/>
        </w:rPr>
        <w:t>Severability</w:t>
      </w:r>
      <w:r>
        <w:rPr>
          <w:rFonts w:ascii="Times New Roman" w:hAnsi="Times New Roman"/>
          <w:color w:val="000000"/>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8.6         </w:t>
      </w:r>
      <w:r>
        <w:rPr>
          <w:rFonts w:ascii="Times New Roman" w:hAnsi="Times New Roman"/>
          <w:color w:val="000000"/>
          <w:sz w:val="20"/>
          <w:u w:val="single"/>
        </w:rPr>
        <w:t>Governing Law; Submission to Jurisdiction; Venue; Waiver of Trial by Jury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This Agreement shall be governed by, and construed in accordance with, the laws of the State of Delaware without regard to choice of laws or conflicts of laws provisions thereof that would require the application of the laws of any other jurisdiction.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The Company and each of the Investors hereby irrevocably and unconditionally: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submits for itself and its property in any legal action or proceeding relating solely to this Agreement or the transactions contemplated hereby, to the general jurisdiction of the state court or United States Federal court sitting in the City of Wilmington in the State of Delaware;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color w:val="000000"/>
          <w:sz w:val="20"/>
          <w:u w:val="single"/>
        </w:rPr>
        <w:t>Section 8.3</w:t>
      </w:r>
      <w:r>
        <w:rPr>
          <w:rFonts w:ascii="Times New Roman" w:hAnsi="Times New Roman"/>
          <w:color w:val="000000"/>
          <w:sz w:val="20"/>
        </w:rPr>
        <w:t xml:space="preserve"> or </w:t>
      </w:r>
      <w:r>
        <w:rPr>
          <w:rFonts w:ascii="Times New Roman" w:hAnsi="Times New Roman"/>
          <w:color w:val="000000"/>
          <w:sz w:val="20"/>
          <w:u w:val="single"/>
        </w:rPr>
        <w:t>Exhibit A</w:t>
      </w:r>
      <w:r>
        <w:rPr>
          <w:rFonts w:ascii="Times New Roman" w:hAnsi="Times New Roman"/>
          <w:color w:val="000000"/>
          <w:sz w:val="20"/>
        </w:rPr>
        <w:t xml:space="preserve"> or at such other address of which the other party shall have been notified pursuant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irrevocably and unconditionally waives trial by jury in any legal action or proceeding in relation to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8.7      </w:t>
      </w:r>
      <w:r>
        <w:rPr>
          <w:rFonts w:ascii="Times New Roman" w:hAnsi="Times New Roman"/>
          <w:color w:val="000000"/>
          <w:sz w:val="20"/>
          <w:u w:val="single"/>
        </w:rPr>
        <w:t>Waiver</w:t>
      </w:r>
      <w:r>
        <w:rPr>
          <w:rFonts w:ascii="Times New Roman" w:hAnsi="Times New Roman"/>
          <w:color w:val="000000"/>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8.8        </w:t>
      </w:r>
      <w:r>
        <w:rPr>
          <w:rFonts w:ascii="Times New Roman" w:hAnsi="Times New Roman"/>
          <w:color w:val="000000"/>
          <w:sz w:val="20"/>
          <w:u w:val="single"/>
        </w:rPr>
        <w:t>Expenses</w:t>
      </w:r>
      <w:r>
        <w:rPr>
          <w:rFonts w:ascii="Times New Roman" w:hAnsi="Times New Roman"/>
          <w:color w:val="000000"/>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Preferred Shares or Conversion Shares to the Investors. The Company shall pay all Placement Agents’ fees relating to or arising out of the transactions contemplated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8.9        </w:t>
      </w:r>
      <w:r>
        <w:rPr>
          <w:rFonts w:ascii="Times New Roman" w:hAnsi="Times New Roman"/>
          <w:color w:val="000000"/>
          <w:sz w:val="20"/>
          <w:u w:val="single"/>
        </w:rPr>
        <w:t>Assignment</w:t>
      </w:r>
      <w:r>
        <w:rPr>
          <w:rFonts w:ascii="Times New Roman" w:hAnsi="Times New Roman"/>
          <w:color w:val="000000"/>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Preferred Shares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color w:val="000000"/>
          <w:sz w:val="20"/>
          <w:u w:val="single"/>
        </w:rPr>
        <w:t>Section 4</w:t>
      </w:r>
      <w:r>
        <w:rPr>
          <w:rFonts w:ascii="Times New Roman" w:hAnsi="Times New Roman"/>
          <w:color w:val="000000"/>
          <w:sz w:val="20"/>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8.10       </w:t>
      </w:r>
      <w:r>
        <w:rPr>
          <w:rFonts w:ascii="Times New Roman" w:hAnsi="Times New Roman"/>
          <w:color w:val="000000"/>
          <w:sz w:val="20"/>
          <w:u w:val="single"/>
        </w:rPr>
        <w:t>Confidential Information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The Company may request from each Investor such reasonable and customary additional information as the Company may deem necessary to evaluate the eligibility of such Investor to acquire the Preferred Shares, and such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either case of clause (i) or (ii) of the preceding sentence, the Company will use commercially reasonable efforts to notify the Investor and provide the Investor the opportunity to review such disclosure. Each Investor acknowledges that the Company may file a copy of this Agreement and the Registration Rights Agreement with the SEC as exhibit to a periodic report or a registration statement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8.11       </w:t>
      </w:r>
      <w:r>
        <w:rPr>
          <w:rFonts w:ascii="Times New Roman" w:hAnsi="Times New Roman"/>
          <w:color w:val="000000"/>
          <w:sz w:val="20"/>
          <w:u w:val="single"/>
        </w:rPr>
        <w:t>Reliance by and Exculpation of Placement Agents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(a)         Each Investor agrees for the express benefit of the Placement Agents and their respective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the Placement Agents is acting solely as placement agent in connection with the transactions contemplated hereby and is not acting as an underwriter, initial purchaser, dealer or in any other such capacity and is not and shall not be construed as a fiduciary for such Investor, (iii) the Placement Agents and their respective affiliates and representatives have not made, and will not make any representations or warranties with respect to Marea, the Company or the offer and sale of the Securities or any other matter concerning Marea, the Company or the transactions contemplated hereby, and such Investor will not rely on any statements made by the Placement Agents, orally or in writing, to the contrary, (iv) such Investor will be responsible for conducting its own due diligence investigation with respect to Marea, the Company and the offer and sale of the Securities, (v) such Investor will be purchasing Securities based on the results of its own due diligence investigation of Marea and the Company, and the Placement Agents and each of their respective directors, officers, employees, representatives, and controlling persons have made no independent investigation with respect to Marea, the Company, the Securities, or the accuracy, completeness, or adequacy of any information supplied to such Investor by Marea or the Company, (vi) such Investor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hAnsi="Times New Roman"/>
          <w:color w:val="000000"/>
          <w:sz w:val="20"/>
          <w:u w:val="single"/>
        </w:rPr>
        <w:t>Section 8.11</w:t>
      </w:r>
      <w:r>
        <w:rPr>
          <w:rFonts w:ascii="Times New Roman" w:hAnsi="Times New Roman"/>
          <w:color w:val="000000"/>
          <w:sz w:val="20"/>
        </w:rPr>
        <w:t xml:space="preserve"> shall survive any termination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(c)        Neither the Placement Agents nor any of their respective affiliates or representatives (1) shall be liable for any improper payment made in accordance with the information provided by the Company or Marea; (2) makes any representation or warranty, or has any responsibilities as to the validity, enforceability, accuracy, value or genuineness of any information, certificates or documentation delivered by or on behalf of Marea or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or willful misconduct.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(d)         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Marea or the Company, and (2) be indemnified by the Company for acting as the Placement Agents hereunder pursuant to the indemnification provisions set forth in the applicable letter agreement between the Company and the Placement Agents.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8.12     </w:t>
      </w:r>
      <w:r>
        <w:rPr>
          <w:rFonts w:ascii="Times New Roman" w:hAnsi="Times New Roman"/>
          <w:color w:val="000000"/>
          <w:sz w:val="20"/>
          <w:u w:val="single"/>
        </w:rPr>
        <w:t>Third Parties</w:t>
      </w:r>
      <w:r>
        <w:rPr>
          <w:rFonts w:ascii="Times New Roman" w:hAnsi="Times New Roman"/>
          <w:color w:val="000000"/>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each Placement Agent is an intended third-party beneficiary of the representations and warranties of the Company set forth in </w:t>
      </w:r>
      <w:r>
        <w:rPr>
          <w:rFonts w:ascii="Times New Roman" w:hAnsi="Times New Roman"/>
          <w:color w:val="000000"/>
          <w:sz w:val="20"/>
          <w:u w:val="single"/>
        </w:rPr>
        <w:t>Section 3</w:t>
      </w:r>
      <w:r>
        <w:rPr>
          <w:rFonts w:ascii="Times New Roman" w:hAnsi="Times New Roman"/>
          <w:color w:val="000000"/>
          <w:sz w:val="20"/>
        </w:rPr>
        <w:t xml:space="preserve">, the representations and warranties of each Investor set forth in </w:t>
      </w:r>
      <w:r>
        <w:rPr>
          <w:rFonts w:ascii="Times New Roman" w:hAnsi="Times New Roman"/>
          <w:color w:val="000000"/>
          <w:sz w:val="20"/>
          <w:u w:val="single"/>
        </w:rPr>
        <w:t>Section 4</w:t>
      </w:r>
      <w:r>
        <w:rPr>
          <w:rFonts w:ascii="Times New Roman" w:hAnsi="Times New Roman"/>
          <w:color w:val="000000"/>
          <w:sz w:val="20"/>
        </w:rPr>
        <w:t xml:space="preserve">, </w:t>
      </w:r>
      <w:r>
        <w:rPr>
          <w:rFonts w:ascii="Times New Roman" w:hAnsi="Times New Roman"/>
          <w:color w:val="000000"/>
          <w:sz w:val="20"/>
          <w:u w:val="single"/>
        </w:rPr>
        <w:t>Section 6.1(g)</w:t>
      </w:r>
      <w:r>
        <w:rPr>
          <w:rFonts w:ascii="Times New Roman" w:hAnsi="Times New Roman"/>
          <w:color w:val="000000"/>
          <w:sz w:val="20"/>
        </w:rPr>
        <w:t xml:space="preserve"> and </w:t>
      </w:r>
      <w:r>
        <w:rPr>
          <w:rFonts w:ascii="Times New Roman" w:hAnsi="Times New Roman"/>
          <w:color w:val="000000"/>
          <w:sz w:val="20"/>
          <w:u w:val="single"/>
        </w:rPr>
        <w:t>Section 8.11</w:t>
      </w:r>
      <w:r>
        <w:rPr>
          <w:rFonts w:ascii="Times New Roman" w:hAnsi="Times New Roman"/>
          <w:color w:val="000000"/>
          <w:sz w:val="20"/>
        </w:rPr>
        <w:t xml:space="preserve"> and (ii) the Indemnified Persons are intended third-party beneficiaries of </w:t>
      </w:r>
      <w:r>
        <w:rPr>
          <w:rFonts w:ascii="Times New Roman" w:hAnsi="Times New Roman"/>
          <w:color w:val="000000"/>
          <w:sz w:val="20"/>
          <w:u w:val="single"/>
        </w:rPr>
        <w:t>Section 5.10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8.13      </w:t>
      </w:r>
      <w:r>
        <w:rPr>
          <w:rFonts w:ascii="Times New Roman" w:hAnsi="Times New Roman"/>
          <w:color w:val="000000"/>
          <w:sz w:val="20"/>
          <w:u w:val="single"/>
        </w:rPr>
        <w:t>Independent Nature of Investors’ Obligations and Rights.</w:t>
      </w:r>
      <w:r>
        <w:rPr>
          <w:rFonts w:ascii="Times New Roman" w:hAnsi="Times New Roman"/>
          <w:color w:val="000000"/>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the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none of Mintz, Levin, Cohn, Ferris, Glovsky and Popeo, P.C., Goodwin Procter LLP or Cooley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8.14     </w:t>
      </w:r>
      <w:r>
        <w:rPr>
          <w:rFonts w:ascii="Times New Roman" w:hAnsi="Times New Roman"/>
          <w:color w:val="000000"/>
          <w:sz w:val="20"/>
          <w:u w:val="single"/>
        </w:rPr>
        <w:t>Headings</w:t>
      </w:r>
      <w:r>
        <w:rPr>
          <w:rFonts w:ascii="Times New Roman" w:hAnsi="Times New Roman"/>
          <w:color w:val="000000"/>
          <w:sz w:val="20"/>
        </w:rPr>
        <w:t>. The titles, subtitles and headings in this Agreement are for convenience of reference and shall not form part of, or affect the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8.15     </w:t>
      </w:r>
      <w:r>
        <w:rPr>
          <w:rFonts w:ascii="Times New Roman" w:hAnsi="Times New Roman"/>
          <w:color w:val="000000"/>
          <w:sz w:val="20"/>
          <w:u w:val="single"/>
        </w:rPr>
        <w:t>Counterparts</w:t>
      </w:r>
      <w:r>
        <w:rPr>
          <w:rFonts w:ascii="Times New Roman" w:hAnsi="Times New Roman"/>
          <w:color w:val="000000"/>
          <w:sz w:val="20"/>
        </w:rPr>
        <w:t>. This Agreement may be executed in multiple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8.16     </w:t>
      </w:r>
      <w:r>
        <w:rPr>
          <w:rFonts w:ascii="Times New Roman" w:hAnsi="Times New Roman"/>
          <w:color w:val="000000"/>
          <w:sz w:val="20"/>
          <w:u w:val="single"/>
        </w:rPr>
        <w:t>Entire Agreement; Amendments</w:t>
      </w:r>
      <w:r>
        <w:rPr>
          <w:rFonts w:ascii="Times New Roman" w:hAnsi="Times New Roman"/>
          <w:color w:val="000000"/>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Closing the consent of the Investor Majority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and any amendment to the definition of “Preferred Stock Share Purchase Price” (or of any of the other terms included in such definition), any change in the type of security to be issued to the Investors, and any amendment to or waiver of </w:t>
      </w:r>
      <w:r>
        <w:rPr>
          <w:rFonts w:ascii="Times New Roman" w:hAnsi="Times New Roman"/>
          <w:color w:val="000000"/>
          <w:sz w:val="20"/>
          <w:u w:val="single"/>
        </w:rPr>
        <w:t>Section 5.5</w:t>
      </w:r>
      <w:r>
        <w:rPr>
          <w:rFonts w:ascii="Times New Roman" w:hAnsi="Times New Roman"/>
          <w:color w:val="000000"/>
          <w:sz w:val="20"/>
        </w:rPr>
        <w:t xml:space="preserve">, </w:t>
      </w:r>
      <w:r>
        <w:rPr>
          <w:rFonts w:ascii="Times New Roman" w:hAnsi="Times New Roman"/>
          <w:color w:val="000000"/>
          <w:sz w:val="20"/>
          <w:u w:val="single"/>
        </w:rPr>
        <w:t>Section 5.10</w:t>
      </w:r>
      <w:r>
        <w:rPr>
          <w:rFonts w:ascii="Times New Roman" w:hAnsi="Times New Roman"/>
          <w:color w:val="000000"/>
          <w:sz w:val="20"/>
        </w:rPr>
        <w:t xml:space="preserve">, </w:t>
      </w:r>
      <w:r>
        <w:rPr>
          <w:rFonts w:ascii="Times New Roman" w:hAnsi="Times New Roman"/>
          <w:color w:val="000000"/>
          <w:sz w:val="20"/>
          <w:u w:val="single"/>
        </w:rPr>
        <w:t>Section 6.1</w:t>
      </w:r>
      <w:r>
        <w:rPr>
          <w:rFonts w:ascii="Times New Roman" w:hAnsi="Times New Roman"/>
          <w:color w:val="000000"/>
          <w:sz w:val="20"/>
        </w:rPr>
        <w:t xml:space="preserve">, </w:t>
      </w:r>
      <w:r>
        <w:rPr>
          <w:rFonts w:ascii="Times New Roman" w:hAnsi="Times New Roman"/>
          <w:color w:val="000000"/>
          <w:sz w:val="20"/>
          <w:u w:val="single"/>
        </w:rPr>
        <w:t>Section 7.1</w:t>
      </w:r>
      <w:r>
        <w:rPr>
          <w:rFonts w:ascii="Times New Roman" w:hAnsi="Times New Roman"/>
          <w:color w:val="000000"/>
          <w:sz w:val="20"/>
        </w:rPr>
        <w:t xml:space="preserve"> or this </w:t>
      </w:r>
      <w:r>
        <w:rPr>
          <w:rFonts w:ascii="Times New Roman" w:hAnsi="Times New Roman"/>
          <w:color w:val="000000"/>
          <w:sz w:val="20"/>
          <w:u w:val="single"/>
        </w:rPr>
        <w:t>Section 8.16</w:t>
      </w:r>
      <w:r>
        <w:rPr>
          <w:rFonts w:ascii="Times New Roman" w:hAnsi="Times New Roman"/>
          <w:color w:val="000000"/>
          <w:sz w:val="20"/>
        </w:rPr>
        <w:t xml:space="preserve"> shall require the consent of each Investor. In addition, no consideration shall be offered or paid to any Person to amend or consent to a waiver or modification of any provision of this Agreement unless the same consideration (other than the reimbursement of legal fees) also is offered to all Investors.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hAnsi="Times New Roman"/>
          <w:color w:val="000000"/>
          <w:sz w:val="20"/>
          <w:u w:val="single"/>
        </w:rPr>
        <w:t>Section 8.16</w:t>
      </w:r>
      <w:r>
        <w:rPr>
          <w:rFonts w:ascii="Times New Roman" w:hAnsi="Times New Roman"/>
          <w:color w:val="000000"/>
          <w:sz w:val="20"/>
        </w:rPr>
        <w:t xml:space="preserve"> that is material and adverse to the Placement Agents shall be valid without the prior written consent of the Placement Agents, which consent may be granted or withheld in the sole discretion of the Placement Agents.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8.17      </w:t>
      </w:r>
      <w:r>
        <w:rPr>
          <w:rFonts w:ascii="Times New Roman" w:hAnsi="Times New Roman"/>
          <w:color w:val="000000"/>
          <w:sz w:val="20"/>
          <w:u w:val="single"/>
        </w:rPr>
        <w:t>Survival</w:t>
      </w:r>
      <w:r>
        <w:rPr>
          <w:rFonts w:ascii="Times New Roman" w:hAnsi="Times New Roman"/>
          <w:color w:val="000000"/>
          <w:sz w:val="20"/>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8.18      </w:t>
      </w:r>
      <w:r>
        <w:rPr>
          <w:rFonts w:ascii="Times New Roman" w:hAnsi="Times New Roman"/>
          <w:color w:val="000000"/>
          <w:sz w:val="20"/>
          <w:u w:val="single"/>
        </w:rPr>
        <w:t>Contract Interpretation.</w:t>
      </w:r>
      <w:r>
        <w:rPr>
          <w:rFonts w:ascii="Times New Roman" w:hAnsi="Times New Roman"/>
          <w:color w:val="000000"/>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8.19      </w:t>
      </w:r>
      <w:r>
        <w:rPr>
          <w:rFonts w:ascii="Times New Roman" w:hAnsi="Times New Roman"/>
          <w:color w:val="000000"/>
          <w:sz w:val="20"/>
          <w:u w:val="single"/>
        </w:rPr>
        <w:t>Arm’s Length Negotiations</w:t>
      </w:r>
      <w:r>
        <w:rPr>
          <w:rFonts w:ascii="Times New Roman" w:hAnsi="Times New Roman"/>
          <w:color w:val="000000"/>
          <w:sz w:val="20"/>
        </w:rPr>
        <w:t>. For the avoidance of doubt, the parties acknowledge and confirm that the terms and conditions of the Securities were determined as a result of arm’s-length negotiations.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8.20      </w:t>
      </w:r>
      <w:r>
        <w:rPr>
          <w:rFonts w:ascii="Times New Roman" w:hAnsi="Times New Roman"/>
          <w:color w:val="000000"/>
          <w:sz w:val="20"/>
          <w:u w:val="single"/>
        </w:rPr>
        <w:t>Further Assurances</w:t>
      </w:r>
      <w:r>
        <w:rPr>
          <w:rFonts w:ascii="Times New Roman" w:hAnsi="Times New Roman"/>
          <w:color w:val="000000"/>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[Remainder of Page Intentionally Left Blank.]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day and year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5" w:name="z7aa005c3fbb34f998b0c7d20a9091e6f"/>
      <w:bookmarkStart w:id="906" w:name="z7aa005c3fbb34f998b0c7d20a9091e6f"/>
      <w:bookmarkEnd w:id="906"/>
    </w:p>
    <w:tbl>
      <w:tblPr>
        <w:tblW w:w="2404" w:type="dxa"/>
        <w:jc w:val="left"/>
        <w:tblInd w:w="0" w:type="dxa"/>
        <w:tblLayout w:type="fixed"/>
        <w:tblCellMar>
          <w:top w:w="0" w:type="dxa"/>
          <w:left w:w="0" w:type="dxa"/>
          <w:bottom w:w="0" w:type="dxa"/>
          <w:right w:w="0" w:type="dxa"/>
        </w:tblCellMar>
      </w:tblPr>
      <w:tblGrid>
        <w:gridCol w:w="60"/>
        <w:gridCol w:w="2129"/>
        <w:gridCol w:w="215"/>
      </w:tblGrid>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jc w:val="left"/>
              <w:rPr>
                <w:b/>
              </w:rPr>
            </w:pPr>
            <w:r>
              <w:rPr>
                <w:b/>
              </w:rPr>
              <w:t>COMPANY:</w:t>
            </w:r>
          </w:p>
        </w:tc>
      </w:tr>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jc w:val="left"/>
              <w:rPr/>
            </w:pPr>
            <w:r>
              <w:rPr/>
              <w:t>Lisata Therapeutics, Inc.</w:t>
            </w:r>
          </w:p>
        </w:tc>
      </w:tr>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29" w:type="dxa"/>
            <w:tcBorders/>
            <w:vAlign w:val="center"/>
          </w:tcPr>
          <w:p>
            <w:pPr>
              <w:pStyle w:val="TableContents"/>
              <w:bidi w:val="0"/>
              <w:spacing w:before="0" w:after="0"/>
              <w:jc w:val="left"/>
              <w:rPr/>
            </w:pPr>
            <w:r>
              <w:rPr/>
              <w:t>By:</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29" w:type="dxa"/>
            <w:tcBorders/>
            <w:vAlign w:val="center"/>
          </w:tcPr>
          <w:p>
            <w:pPr>
              <w:pStyle w:val="TableContents"/>
              <w:bidi w:val="0"/>
              <w:spacing w:before="0" w:after="0"/>
              <w:jc w:val="left"/>
              <w:rPr/>
            </w:pPr>
            <w:r>
              <w:rPr/>
              <w:t>Name:</w:t>
            </w:r>
          </w:p>
        </w:tc>
        <w:tc>
          <w:tcPr>
            <w:tcW w:w="2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29" w:type="dxa"/>
            <w:tcBorders/>
            <w:vAlign w:val="center"/>
          </w:tcPr>
          <w:p>
            <w:pPr>
              <w:pStyle w:val="TableContents"/>
              <w:bidi w:val="0"/>
              <w:spacing w:before="0" w:after="0"/>
              <w:jc w:val="left"/>
              <w:rPr/>
            </w:pPr>
            <w:r>
              <w:rPr/>
              <w:t>Title:</w:t>
            </w:r>
          </w:p>
        </w:tc>
        <w:tc>
          <w:tcPr>
            <w:tcW w:w="21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day and year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7" w:name="z412fd68da9da4f78a258d242d70d08a0"/>
      <w:bookmarkStart w:id="908" w:name="z412fd68da9da4f78a258d242d70d08a0"/>
      <w:bookmarkEnd w:id="908"/>
    </w:p>
    <w:tbl>
      <w:tblPr>
        <w:tblW w:w="1459" w:type="dxa"/>
        <w:jc w:val="left"/>
        <w:tblInd w:w="0" w:type="dxa"/>
        <w:tblLayout w:type="fixed"/>
        <w:tblCellMar>
          <w:top w:w="0" w:type="dxa"/>
          <w:left w:w="0" w:type="dxa"/>
          <w:bottom w:w="0" w:type="dxa"/>
          <w:right w:w="0" w:type="dxa"/>
        </w:tblCellMar>
      </w:tblPr>
      <w:tblGrid>
        <w:gridCol w:w="75"/>
        <w:gridCol w:w="1111"/>
        <w:gridCol w:w="273"/>
      </w:tblGrid>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0"/>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0"/>
              <w:jc w:val="left"/>
              <w:rPr>
                <w:b/>
              </w:rPr>
            </w:pPr>
            <w:r>
              <w:rPr>
                <w:b/>
              </w:rPr>
              <w:t>[NAME]</w:t>
            </w:r>
          </w:p>
        </w:tc>
      </w:tr>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0"/>
              <w:jc w:val="left"/>
              <w:rPr/>
            </w:pPr>
            <w:r>
              <w:rPr/>
              <w:t>By:</w:t>
            </w:r>
          </w:p>
        </w:tc>
        <w:tc>
          <w:tcPr>
            <w:tcW w:w="273"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9" w:name="z6cc59ee8a8464450b6013bfe4d18a460"/>
      <w:bookmarkStart w:id="910" w:name="z6cc59ee8a8464450b6013bfe4d18a460"/>
      <w:bookmarkEnd w:id="910"/>
    </w:p>
    <w:tbl>
      <w:tblPr>
        <w:tblW w:w="770" w:type="dxa"/>
        <w:jc w:val="left"/>
        <w:tblInd w:w="0" w:type="dxa"/>
        <w:tblLayout w:type="fixed"/>
        <w:tblCellMar>
          <w:top w:w="0" w:type="dxa"/>
          <w:left w:w="0" w:type="dxa"/>
          <w:bottom w:w="0" w:type="dxa"/>
          <w:right w:w="0" w:type="dxa"/>
        </w:tblCellMar>
      </w:tblPr>
      <w:tblGrid>
        <w:gridCol w:w="60"/>
        <w:gridCol w:w="650"/>
        <w:gridCol w:w="60"/>
      </w:tblGrid>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911" w:name="z6eebfc887c0246459a2c33e27fe882e2"/>
      <w:bookmarkStart w:id="912" w:name="z6eebfc887c0246459a2c33e27fe882e2"/>
      <w:bookmarkEnd w:id="912"/>
    </w:p>
    <w:tbl>
      <w:tblPr>
        <w:tblW w:w="1115" w:type="dxa"/>
        <w:jc w:val="left"/>
        <w:tblInd w:w="0" w:type="dxa"/>
        <w:tblLayout w:type="fixed"/>
        <w:tblCellMar>
          <w:top w:w="0" w:type="dxa"/>
          <w:left w:w="0" w:type="dxa"/>
          <w:bottom w:w="0" w:type="dxa"/>
          <w:right w:w="0" w:type="dxa"/>
        </w:tblCellMar>
      </w:tblPr>
      <w:tblGrid>
        <w:gridCol w:w="60"/>
        <w:gridCol w:w="995"/>
        <w:gridCol w:w="60"/>
      </w:tblGrid>
      <w:tr>
        <w:trPr/>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pPr>
            <w:r>
              <w:rPr/>
              <w:t>Address: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pPr>
            <w:r>
              <w:rPr/>
              <w:t>Email: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INVESTORS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CERTIFICATE OF DESIGNATION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w:t>
      </w:r>
    </w:p>
    <w:p>
      <w:pPr>
        <w:pStyle w:val="HorizontalLine"/>
        <w:pBdr>
          <w:bottom w:val="single" w:sz="12" w:space="0" w:color="808080"/>
        </w:pBdr>
        <w:bidi w:val="0"/>
        <w:spacing w:before="200" w:after="200"/>
        <w:jc w:val="left"/>
        <w:rPr/>
      </w:pPr>
      <w:r>
        <w:rPr/>
      </w:r>
    </w:p>
    <w:p>
      <w:pPr>
        <w:pStyle w:val="TextBody"/>
        <w:bidi w:val="0"/>
        <w:spacing w:before="0" w:after="0"/>
        <w:ind w:left="720" w:right="0" w:hanging="720"/>
        <w:jc w:val="center"/>
        <w:rPr>
          <w:rFonts w:ascii="Times New Roman" w:hAnsi="Times New Roman"/>
          <w:b/>
          <w:color w:val="000000"/>
          <w:sz w:val="20"/>
        </w:rPr>
      </w:pPr>
      <w:r>
        <w:rPr>
          <w:rFonts w:ascii="Times New Roman" w:hAnsi="Times New Roman"/>
          <w:b/>
          <w:color w:val="000000"/>
          <w:sz w:val="20"/>
        </w:rPr>
        <w:t>EXHIBIT 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REGISTRATION RIGHTS AGREEMENT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13" w:name="ef20082158_ex10-3.htm"/>
      <w:bookmarkStart w:id="914" w:name="ksef20082158_ex103"/>
      <w:bookmarkStart w:id="915" w:name="ef20082158_ex10-3.htm"/>
      <w:bookmarkStart w:id="916" w:name="ksef20082158_ex103"/>
      <w:bookmarkEnd w:id="915"/>
      <w:bookmarkEnd w:id="916"/>
      <w:r>
        <w:br w:type="page"/>
      </w:r>
    </w:p>
    <w:p>
      <w:pPr>
        <w:pStyle w:val="TextBody"/>
        <w:bidi w:val="0"/>
        <w:spacing w:before="0" w:after="0"/>
        <w:jc w:val="right"/>
        <w:rPr>
          <w:rFonts w:ascii="Times New Roman" w:hAnsi="Times New Roman"/>
          <w:b/>
          <w:color w:val="000000"/>
          <w:sz w:val="20"/>
        </w:rPr>
      </w:pPr>
      <w:bookmarkStart w:id="917" w:name="z_dxtcompanion_actionscomplete"/>
      <w:bookmarkEnd w:id="917"/>
      <w:r>
        <w:rPr>
          <w:rFonts w:ascii="Times New Roman" w:hAnsi="Times New Roman"/>
          <w:b/>
          <w:color w:val="000000"/>
          <w:sz w:val="20"/>
        </w:rPr>
        <w:t>Exhibit 10.3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918" w:name="z_DV_M1"/>
      <w:bookmarkStart w:id="919" w:name="z_DV_M2"/>
      <w:bookmarkEnd w:id="918"/>
      <w:bookmarkEnd w:id="919"/>
      <w:r>
        <w:rPr>
          <w:rFonts w:ascii="Times New Roman" w:hAnsi="Times New Roman"/>
          <w:b/>
          <w:color w:val="000000"/>
          <w:sz w:val="20"/>
        </w:rPr>
        <w:t>THIS REGISTRATION RIGHTS AGREEMENT</w:t>
      </w:r>
      <w:r>
        <w:rPr>
          <w:rFonts w:ascii="Times New Roman" w:hAnsi="Times New Roman"/>
          <w:color w:val="000000"/>
          <w:sz w:val="20"/>
        </w:rPr>
        <w:t xml:space="preserve"> (this “</w:t>
      </w:r>
      <w:r>
        <w:rPr>
          <w:rFonts w:ascii="Times New Roman" w:hAnsi="Times New Roman"/>
          <w:b/>
          <w:color w:val="000000"/>
          <w:sz w:val="20"/>
        </w:rPr>
        <w:t>Agreement</w:t>
      </w:r>
      <w:r>
        <w:rPr>
          <w:rFonts w:ascii="Times New Roman" w:hAnsi="Times New Roman"/>
          <w:color w:val="000000"/>
          <w:sz w:val="20"/>
        </w:rPr>
        <w:t>”), dated as of September 17, 2026, is entered into by and among Lisata Therapeutics, Inc., a Delaware corporation (the “</w:t>
      </w:r>
      <w:r>
        <w:rPr>
          <w:rFonts w:ascii="Times New Roman" w:hAnsi="Times New Roman"/>
          <w:b/>
          <w:color w:val="000000"/>
          <w:sz w:val="20"/>
        </w:rPr>
        <w:t>Company</w:t>
      </w:r>
      <w:r>
        <w:rPr>
          <w:rFonts w:ascii="Times New Roman" w:hAnsi="Times New Roman"/>
          <w:color w:val="000000"/>
          <w:sz w:val="20"/>
        </w:rPr>
        <w:t>”), and the several investors signatory hereto (individually as an “</w:t>
      </w:r>
      <w:r>
        <w:rPr>
          <w:rFonts w:ascii="Times New Roman" w:hAnsi="Times New Roman"/>
          <w:b/>
          <w:color w:val="000000"/>
          <w:sz w:val="20"/>
        </w:rPr>
        <w:t>Investor</w:t>
      </w:r>
      <w:r>
        <w:rPr>
          <w:rFonts w:ascii="Times New Roman" w:hAnsi="Times New Roman"/>
          <w:color w:val="000000"/>
          <w:sz w:val="20"/>
        </w:rPr>
        <w:t>” and collectively together with their respective permitted assigns, the “</w:t>
      </w:r>
      <w:r>
        <w:rPr>
          <w:rFonts w:ascii="Times New Roman" w:hAnsi="Times New Roman"/>
          <w:b/>
          <w:color w:val="000000"/>
          <w:sz w:val="20"/>
        </w:rPr>
        <w:t>Investors</w:t>
      </w:r>
      <w:r>
        <w:rPr>
          <w:rFonts w:ascii="Times New Roman" w:hAnsi="Times New Roman"/>
          <w:color w:val="000000"/>
          <w:sz w:val="20"/>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hAnsi="Times New Roman"/>
          <w:b/>
          <w:color w:val="000000"/>
          <w:sz w:val="20"/>
        </w:rPr>
        <w:t>Purchase Agreement</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20"/>
        </w:rPr>
      </w:pPr>
      <w:bookmarkStart w:id="920" w:name="z_DV_M3"/>
      <w:bookmarkEnd w:id="920"/>
      <w:r>
        <w:rPr>
          <w:rFonts w:ascii="Times New Roman" w:hAnsi="Times New Roman"/>
          <w:b/>
          <w:color w:val="000000"/>
          <w:sz w:val="20"/>
        </w:rPr>
        <w:t>WHEREAS: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921" w:name="z_DV_M4"/>
      <w:bookmarkEnd w:id="921"/>
      <w:r>
        <w:rPr>
          <w:rFonts w:ascii="Times New Roman" w:hAnsi="Times New Roman"/>
          <w:color w:val="000000"/>
          <w:sz w:val="20"/>
        </w:rPr>
        <w:t>A.        The Company is a party to that certain Agreement and Plan of Merger by and among the Company, Marea Therapeutics, Inc., a Delaware corporation (“</w:t>
      </w:r>
      <w:r>
        <w:rPr>
          <w:rFonts w:ascii="Times New Roman" w:hAnsi="Times New Roman"/>
          <w:b/>
          <w:color w:val="000000"/>
          <w:sz w:val="20"/>
        </w:rPr>
        <w:t>Marea</w:t>
      </w:r>
      <w:r>
        <w:rPr>
          <w:rFonts w:ascii="Times New Roman" w:hAnsi="Times New Roman"/>
          <w:color w:val="000000"/>
          <w:sz w:val="20"/>
        </w:rPr>
        <w:t>”), Mariner Merger Sub I, Inc., a Delaware corporation and wholly-owned subsidiary of the Company (“</w:t>
      </w:r>
      <w:r>
        <w:rPr>
          <w:rFonts w:ascii="Times New Roman" w:hAnsi="Times New Roman"/>
          <w:b/>
          <w:color w:val="000000"/>
          <w:sz w:val="20"/>
        </w:rPr>
        <w:t>First Merger Sub</w:t>
      </w:r>
      <w:r>
        <w:rPr>
          <w:rFonts w:ascii="Times New Roman" w:hAnsi="Times New Roman"/>
          <w:color w:val="000000"/>
          <w:sz w:val="20"/>
        </w:rPr>
        <w:t>”), and Mariner Merger Sub II, LLC, a Delaware limited liability company and wholly-owned subsidiary of the Company (“</w:t>
      </w:r>
      <w:r>
        <w:rPr>
          <w:rFonts w:ascii="Times New Roman" w:hAnsi="Times New Roman"/>
          <w:b/>
          <w:color w:val="000000"/>
          <w:sz w:val="20"/>
        </w:rPr>
        <w:t>Second Merger Sub</w:t>
      </w:r>
      <w:r>
        <w:rPr>
          <w:rFonts w:ascii="Times New Roman" w:hAnsi="Times New Roman"/>
          <w:color w:val="000000"/>
          <w:sz w:val="20"/>
        </w:rPr>
        <w:t>”), dated on or around the date hereof (as amended from time to time, the “</w:t>
      </w:r>
      <w:r>
        <w:rPr>
          <w:rFonts w:ascii="Times New Roman" w:hAnsi="Times New Roman"/>
          <w:b/>
          <w:color w:val="000000"/>
          <w:sz w:val="20"/>
        </w:rPr>
        <w:t>Merger Agreement</w:t>
      </w:r>
      <w:r>
        <w:rPr>
          <w:rFonts w:ascii="Times New Roman" w:hAnsi="Times New Roman"/>
          <w:color w:val="000000"/>
          <w:sz w:val="20"/>
        </w:rPr>
        <w:t>”), pursuant to which (i) First Merger Sub will merge with and into Marea, with Marea surviving and becoming a wholly-owned subsidiary of the Company, and (ii) Marea will merge with and into Second Merger Sub, with Second Merger Sub being the surviving entity and a wholly-owned subsidiary of the Company ((i) and (ii) together, the “</w:t>
      </w:r>
      <w:r>
        <w:rPr>
          <w:rFonts w:ascii="Times New Roman" w:hAnsi="Times New Roman"/>
          <w:b/>
          <w:color w:val="000000"/>
          <w:sz w:val="20"/>
        </w:rPr>
        <w:t>Merger</w:t>
      </w:r>
      <w:r>
        <w:rPr>
          <w:rFonts w:ascii="Times New Roman" w:hAnsi="Times New Roman"/>
          <w:color w:val="000000"/>
          <w:sz w:val="20"/>
        </w:rPr>
        <w:t>”), and (iii) following that time in accordance with the Merger Agreement, the Company will change its name to “Marea Therapeutics, Inc.”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Upon the terms and subject to the conditions of the Purchase Agreement, the Company has agreed to issue to the Investors, and the Investors have agreed to purchase, severally and not jointly, an aggregate of up to $225,000,000 of shares of Series C Non-Voting Convertible Preferred Stock, par value $0.01 per share (the “</w:t>
      </w:r>
      <w:r>
        <w:rPr>
          <w:rFonts w:ascii="Times New Roman" w:hAnsi="Times New Roman"/>
          <w:b/>
          <w:color w:val="000000"/>
          <w:sz w:val="20"/>
        </w:rPr>
        <w:t>Preferred Shares</w:t>
      </w:r>
      <w:r>
        <w:rPr>
          <w:rFonts w:ascii="Times New Roman" w:hAnsi="Times New Roman"/>
          <w:color w:val="000000"/>
          <w:sz w:val="20"/>
        </w:rPr>
        <w:t>”) of the Company having the designation, preferences, conversion or other rights, voting powers, restrictions, limitations as to dividends, qualifications and terms and conditions specified in the Certificate of Designations. The shares of Common Stock issuable upon conversion of the Preferred Shares, without giving effect to any limitations on conversion of the Preferred Shares, are referred to herein as the “</w:t>
      </w:r>
      <w:r>
        <w:rPr>
          <w:rFonts w:ascii="Times New Roman" w:hAnsi="Times New Roman"/>
          <w:b/>
          <w:color w:val="000000"/>
          <w:sz w:val="20"/>
        </w:rPr>
        <w:t>Shares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922" w:name="z_DV_M5"/>
      <w:bookmarkEnd w:id="922"/>
      <w:r>
        <w:rPr>
          <w:rFonts w:ascii="Times New Roman" w:hAnsi="Times New Roman"/>
          <w:color w:val="000000"/>
          <w:sz w:val="20"/>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olor w:val="000000"/>
          <w:sz w:val="20"/>
        </w:rPr>
        <w:t>Securities Act</w:t>
      </w:r>
      <w:r>
        <w:rPr>
          <w:rFonts w:ascii="Times New Roman" w:hAnsi="Times New Roman"/>
          <w:color w:val="000000"/>
          <w:sz w:val="20"/>
        </w:rPr>
        <w:t>”), and applicable state securities laws</w:t>
      </w:r>
      <w:bookmarkStart w:id="923" w:name="z_DV_C3"/>
      <w:bookmarkEnd w:id="923"/>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924" w:name="z_DV_M6"/>
      <w:bookmarkEnd w:id="924"/>
      <w:r>
        <w:rPr>
          <w:rFonts w:ascii="Times New Roman" w:hAnsi="Times New Roman"/>
          <w:b/>
          <w:color w:val="000000"/>
          <w:sz w:val="20"/>
        </w:rPr>
        <w:t>NOW, THEREFORE,</w:t>
      </w:r>
      <w:r>
        <w:rPr>
          <w:rFonts w:ascii="Times New Roman" w:hAnsi="Times New Roman"/>
          <w:color w:val="000000"/>
          <w:sz w:val="20"/>
        </w:rPr>
        <w:t xml:space="preserve"> in consideration of the promises and the mutual covenants contained herein and other good and valuable consideration, the receipt and sufficiency of which are hereby </w:t>
      </w:r>
      <w:bookmarkStart w:id="925" w:name="z_DV_M7"/>
      <w:bookmarkStart w:id="926" w:name="LastSpot"/>
      <w:bookmarkEnd w:id="925"/>
      <w:bookmarkEnd w:id="926"/>
      <w:r>
        <w:rPr>
          <w:rFonts w:ascii="Times New Roman" w:hAnsi="Times New Roman"/>
          <w:color w:val="000000"/>
          <w:sz w:val="20"/>
        </w:rPr>
        <w:t>acknowledged, the Company and the Investors hereby agree as follows:</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27" w:name="z_DV_M8"/>
      <w:bookmarkEnd w:id="927"/>
      <w:r>
        <w:rPr>
          <w:rFonts w:ascii="Times New Roman" w:hAnsi="Times New Roman"/>
          <w:b/>
          <w:color w:val="000000"/>
          <w:sz w:val="20"/>
        </w:rPr>
        <w:t>1.           DEFINITIONS.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28" w:name="z_DV_M9"/>
      <w:bookmarkEnd w:id="928"/>
      <w:r>
        <w:rPr>
          <w:rFonts w:ascii="Times New Roman" w:hAnsi="Times New Roman"/>
          <w:color w:val="000000"/>
          <w:sz w:val="20"/>
        </w:rPr>
        <w:t>For purposes of this Agreement, the following terms shall have the following meanings:</w:t>
      </w:r>
      <w:bookmarkStart w:id="929" w:name="z_DV_M10"/>
      <w:bookmarkEnd w:id="929"/>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b/>
          <w:color w:val="000000"/>
          <w:sz w:val="20"/>
        </w:rPr>
        <w:t>Person</w:t>
      </w:r>
      <w:r>
        <w:rPr>
          <w:rFonts w:ascii="Times New Roman" w:hAnsi="Times New Roman"/>
          <w:color w:val="000000"/>
          <w:sz w:val="20"/>
        </w:rPr>
        <w:t>” means an individual, partnership, corporation, limited liability company, business trust, joint stock company, trust, unincorporated association, joint venture, other entity or organization, governmental agency, or government or political subdivision thereof.</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b/>
          <w:color w:val="000000"/>
          <w:sz w:val="20"/>
        </w:rPr>
        <w:t>Prospectus</w:t>
      </w:r>
      <w:r>
        <w:rPr>
          <w:rFonts w:ascii="Times New Roman" w:hAnsi="Times New Roman"/>
          <w:color w:val="000000"/>
          <w:sz w:val="20"/>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b/>
          <w:color w:val="000000"/>
          <w:sz w:val="20"/>
        </w:rPr>
        <w:t>Register</w:t>
      </w:r>
      <w:r>
        <w:rPr>
          <w:rFonts w:ascii="Times New Roman" w:hAnsi="Times New Roman"/>
          <w:color w:val="000000"/>
          <w:sz w:val="20"/>
        </w:rPr>
        <w:t>,” “</w:t>
      </w:r>
      <w:r>
        <w:rPr>
          <w:rFonts w:ascii="Times New Roman" w:hAnsi="Times New Roman"/>
          <w:b/>
          <w:color w:val="000000"/>
          <w:sz w:val="20"/>
        </w:rPr>
        <w:t>Registered</w:t>
      </w:r>
      <w:r>
        <w:rPr>
          <w:rFonts w:ascii="Times New Roman" w:hAnsi="Times New Roman"/>
          <w:color w:val="000000"/>
          <w:sz w:val="20"/>
        </w:rPr>
        <w:t>,” and “</w:t>
      </w:r>
      <w:r>
        <w:rPr>
          <w:rFonts w:ascii="Times New Roman" w:hAnsi="Times New Roman"/>
          <w:b/>
          <w:color w:val="000000"/>
          <w:sz w:val="20"/>
        </w:rPr>
        <w:t>Registration</w:t>
      </w:r>
      <w:r>
        <w:rPr>
          <w:rFonts w:ascii="Times New Roman" w:hAnsi="Times New Roman"/>
          <w:color w:val="000000"/>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color w:val="000000"/>
          <w:sz w:val="20"/>
        </w:rPr>
        <w:t>SEC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b/>
          <w:color w:val="000000"/>
          <w:sz w:val="20"/>
        </w:rPr>
        <w:t>Registrable Securities</w:t>
      </w:r>
      <w:r>
        <w:rPr>
          <w:rFonts w:ascii="Times New Roman" w:hAnsi="Times New Roman"/>
          <w:color w:val="000000"/>
          <w:sz w:val="20"/>
        </w:rPr>
        <w:t>” means the Shares and any Common Stock issued or issuable with respect to the Shares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(B) such Registrable Securities having been previously sold by such Investor in accordance with Rule 144, (C) such securities becoming eligible for resale by such Investor without volume or manner-of-sale restrictions pursuant to Rule 144 and without the requirement for the Company to be in compliance with the current public information requirement under Rule 144 and (D) five years after the date of this Agreement (each of the events set forth in clauses (A), (B), (C) and (D) above, a “</w:t>
      </w:r>
      <w:r>
        <w:rPr>
          <w:rFonts w:ascii="Times New Roman" w:hAnsi="Times New Roman"/>
          <w:b/>
          <w:color w:val="000000"/>
          <w:sz w:val="20"/>
        </w:rPr>
        <w:t>Termination Event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b/>
          <w:color w:val="000000"/>
          <w:sz w:val="20"/>
        </w:rPr>
        <w:t>Registration Expenses</w:t>
      </w:r>
      <w:r>
        <w:rPr>
          <w:rFonts w:ascii="Times New Roman" w:hAnsi="Times New Roman"/>
          <w:color w:val="000000"/>
          <w:sz w:val="20"/>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b/>
          <w:color w:val="000000"/>
          <w:sz w:val="20"/>
        </w:rPr>
        <w:t>Registration Statement</w:t>
      </w:r>
      <w:r>
        <w:rPr>
          <w:rFonts w:ascii="Times New Roman" w:hAnsi="Times New Roman"/>
          <w:color w:val="000000"/>
          <w:sz w:val="20"/>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w:t>
      </w:r>
      <w:r>
        <w:rPr>
          <w:rFonts w:ascii="Times New Roman" w:hAnsi="Times New Roman"/>
          <w:b/>
          <w:color w:val="000000"/>
          <w:sz w:val="20"/>
        </w:rPr>
        <w:t>Required Investors</w:t>
      </w:r>
      <w:r>
        <w:rPr>
          <w:rFonts w:ascii="Times New Roman" w:hAnsi="Times New Roman"/>
          <w:color w:val="000000"/>
          <w:sz w:val="20"/>
        </w:rPr>
        <w:t>” means the Investors holding a majority of the Registrable Securities then outstanding (determined as if all of the Preferred Shares then outstanding have been converted in full without regard to any limitations on the conversion of such Preferred Shares), voting together as a single class.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w:t>
      </w:r>
      <w:r>
        <w:rPr>
          <w:rFonts w:ascii="Times New Roman" w:hAnsi="Times New Roman"/>
          <w:b/>
          <w:color w:val="000000"/>
          <w:sz w:val="20"/>
        </w:rPr>
        <w:t>SEC Guidance</w:t>
      </w:r>
      <w:r>
        <w:rPr>
          <w:rFonts w:ascii="Times New Roman" w:hAnsi="Times New Roman"/>
          <w:color w:val="000000"/>
          <w:sz w:val="20"/>
        </w:rPr>
        <w:t>” means (i) any publicly available written or oral guidance of the SEC staff, or any comments, requirements or requests of the SEC Staff (whether or not publicly available), provided, that any such oral guidance, comments, requirements or requests are reduced to writing by the SEC, and (ii) the Securities Act.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w:t>
      </w:r>
      <w:r>
        <w:rPr>
          <w:rFonts w:ascii="Times New Roman" w:hAnsi="Times New Roman"/>
          <w:b/>
          <w:color w:val="000000"/>
          <w:sz w:val="20"/>
        </w:rPr>
        <w:t>Selling Expenses</w:t>
      </w:r>
      <w:r>
        <w:rPr>
          <w:rFonts w:ascii="Times New Roman" w:hAnsi="Times New Roman"/>
          <w:color w:val="000000"/>
          <w:sz w:val="20"/>
        </w:rPr>
        <w:t>” means all underwriting discounts and selling commissions applicable to the sale of Registrable Securities and all similar fees and commissions relating to an Investor’s disposition of its Registrable Securities.</w:t>
      </w:r>
      <w:bookmarkStart w:id="930" w:name="z_DV_M17"/>
      <w:bookmarkStart w:id="931" w:name="z_DV_M15"/>
      <w:bookmarkStart w:id="932" w:name="z_DV_M14"/>
      <w:bookmarkStart w:id="933" w:name="z_DV_M12"/>
      <w:bookmarkStart w:id="934" w:name="z_DV_M11"/>
      <w:bookmarkStart w:id="935" w:name="z_DV_M13"/>
      <w:bookmarkEnd w:id="930"/>
      <w:bookmarkEnd w:id="931"/>
      <w:bookmarkEnd w:id="932"/>
      <w:bookmarkEnd w:id="933"/>
      <w:bookmarkEnd w:id="934"/>
      <w:bookmarkEnd w:id="935"/>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36" w:name="z_DV_M18"/>
      <w:bookmarkStart w:id="937" w:name="z_DV_M19"/>
      <w:bookmarkEnd w:id="936"/>
      <w:bookmarkEnd w:id="937"/>
      <w:r>
        <w:rPr>
          <w:rFonts w:ascii="Times New Roman" w:hAnsi="Times New Roman"/>
          <w:b/>
          <w:color w:val="000000"/>
          <w:sz w:val="20"/>
        </w:rPr>
        <w:t>2.           REGISTRATION.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38" w:name="z_DV_M20"/>
      <w:bookmarkEnd w:id="938"/>
      <w:r>
        <w:rPr>
          <w:rFonts w:ascii="Times New Roman" w:hAnsi="Times New Roman"/>
          <w:color w:val="000000"/>
          <w:sz w:val="20"/>
        </w:rPr>
        <w:t>(a)          </w:t>
      </w:r>
      <w:r>
        <w:rPr>
          <w:rFonts w:ascii="Times New Roman" w:hAnsi="Times New Roman"/>
          <w:color w:val="000000"/>
          <w:sz w:val="20"/>
          <w:u w:val="single"/>
        </w:rPr>
        <w:t>Mandatory Registration</w:t>
      </w:r>
      <w:r>
        <w:rPr>
          <w:rFonts w:ascii="Times New Roman" w:hAnsi="Times New Roman"/>
          <w:color w:val="000000"/>
          <w:sz w:val="20"/>
        </w:rPr>
        <w:t>. The Company shall, as promptly as reasonably practicable and in any event no later than the later of (x) 45 days after the Closing Date and (y) the date upon which the Company shall have filed a current report on Form 8-K/A containing the financial statements of Marea and pro forma financial information required to be filed with the SEC in connection with the Merger (which Form 8-K/A shall be filed in any event no later than November 12, 2026) (the “</w:t>
      </w:r>
      <w:r>
        <w:rPr>
          <w:rFonts w:ascii="Times New Roman" w:hAnsi="Times New Roman"/>
          <w:b/>
          <w:color w:val="000000"/>
          <w:sz w:val="20"/>
        </w:rPr>
        <w:t>Filing Deadline</w:t>
      </w:r>
      <w:r>
        <w:rPr>
          <w:rFonts w:ascii="Times New Roman" w:hAnsi="Times New Roman"/>
          <w:color w:val="000000"/>
          <w:sz w:val="20"/>
        </w:rPr>
        <w:t>”), prepare and file with the SEC an initial Registration Statement (the “</w:t>
      </w:r>
      <w:r>
        <w:rPr>
          <w:rFonts w:ascii="Times New Roman" w:hAnsi="Times New Roman"/>
          <w:b/>
          <w:color w:val="000000"/>
          <w:sz w:val="20"/>
        </w:rPr>
        <w:t>Initial Registration Statement</w:t>
      </w:r>
      <w:r>
        <w:rPr>
          <w:rFonts w:ascii="Times New Roman" w:hAnsi="Times New Roman"/>
          <w:color w:val="000000"/>
          <w:sz w:val="20"/>
        </w:rPr>
        <w:t xml:space="preserve">”)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hAnsi="Times New Roman"/>
          <w:color w:val="000000"/>
          <w:sz w:val="20"/>
          <w:u w:val="single"/>
        </w:rPr>
        <w:t>Exhibit A</w:t>
      </w:r>
      <w:r>
        <w:rPr>
          <w:rFonts w:ascii="Times New Roman" w:hAnsi="Times New Roman"/>
          <w:color w:val="000000"/>
          <w:sz w:val="20"/>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prior to so filing any such document, any comments on such documents that an Investor or its counsel may reasonably propose, and (b) not file any Registration Statement or Prospectus or any amendment or supplement thereto containing information regarding the Investor to which Investor reasonably objects or reasonably believes to contain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with respect to such Investor reasonably requested by the Company and as shall be reasonably required in connection with any registration referred to in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Effectiveness</w:t>
      </w:r>
      <w:r>
        <w:rPr>
          <w:rFonts w:ascii="Times New Roman" w:hAnsi="Times New Roman"/>
          <w:color w:val="000000"/>
          <w:sz w:val="20"/>
        </w:rPr>
        <w:t>. The Company shall use commercially reasonable efforts to have the Initial Registration Statement and any amendment thereto declared effective by the SEC at the earliest possible date but no later than the earlier of (x) the 60th calendar day following the earlier of (i) the initial filing date of the Initial Registration Statement and (ii) the Filing Deadline, if the SEC notifies the Company that it will “review” the Initial Registration Statement and (y) the fifth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color w:val="000000"/>
          <w:sz w:val="20"/>
        </w:rPr>
        <w:t>Effectiveness Deadline</w:t>
      </w:r>
      <w:r>
        <w:rPr>
          <w:rFonts w:ascii="Times New Roman" w:hAnsi="Times New Roman"/>
          <w:color w:val="000000"/>
          <w:sz w:val="20"/>
        </w:rPr>
        <w:t>”). Notwithstanding the foregoing, if the Effectiveness Deadline cannot be met because the SEC is unable to review, act upon or declare the Initial Registration Statement effective as a result of a lapse in appropriations, government shutdown or other suspension of SEC operations, the Company shall, to the extent permitted by applicable rules, promptly amend the Initial Registration Statement to remove any delaying amendment and take all other actions reasonably required to cause the Initial Registration Statement to become effective automatically pursuant to Section 8(a) of the Securities Act as promptly as practicable. The Company shall notify the Investor by e-mail as promptly as practicable, and in any event, within 24 hours, after the Initial Registration Statement is declared effective or is supplemented and shall provide the Investor with copies of any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Registration Statement or otherwise);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and (iii) five years after the date of this Agreement (the “</w:t>
      </w:r>
      <w:r>
        <w:rPr>
          <w:rFonts w:ascii="Times New Roman" w:hAnsi="Times New Roman"/>
          <w:b/>
          <w:color w:val="000000"/>
          <w:sz w:val="20"/>
        </w:rPr>
        <w:t>Registration Period</w:t>
      </w:r>
      <w:r>
        <w:rPr>
          <w:rFonts w:ascii="Times New Roman" w:hAnsi="Times New Roman"/>
          <w:color w:val="000000"/>
          <w:sz w:val="20"/>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jc w:val="both"/>
        <w:rPr/>
      </w:pPr>
      <w:r>
        <w:rPr/>
      </w:r>
      <w:bookmarkStart w:id="939" w:name="z_DV_M26"/>
      <w:bookmarkStart w:id="940" w:name="z_DV_M23"/>
      <w:bookmarkStart w:id="941" w:name="z_DV_M26"/>
      <w:bookmarkStart w:id="942" w:name="z_DV_M23"/>
      <w:bookmarkEnd w:id="941"/>
      <w:bookmarkEnd w:id="942"/>
    </w:p>
    <w:p>
      <w:pPr>
        <w:pStyle w:val="TextBody"/>
        <w:bidi w:val="0"/>
        <w:spacing w:before="0" w:after="0"/>
        <w:ind w:left="0" w:right="0" w:firstLine="1440"/>
        <w:jc w:val="both"/>
        <w:rPr>
          <w:rFonts w:ascii="Times New Roman" w:hAnsi="Times New Roman"/>
          <w:color w:val="000000"/>
          <w:sz w:val="20"/>
        </w:rPr>
      </w:pPr>
      <w:bookmarkStart w:id="943" w:name="z_Ref_ContractCompanion_9kb9Ur014"/>
      <w:bookmarkEnd w:id="943"/>
      <w:r>
        <w:rPr>
          <w:rFonts w:ascii="Times New Roman" w:hAnsi="Times New Roman"/>
          <w:color w:val="000000"/>
          <w:sz w:val="20"/>
        </w:rPr>
        <w:t>(c)          </w:t>
      </w:r>
      <w:r>
        <w:rPr>
          <w:rFonts w:ascii="Times New Roman" w:hAnsi="Times New Roman"/>
          <w:color w:val="000000"/>
          <w:sz w:val="20"/>
          <w:u w:val="single"/>
        </w:rPr>
        <w:t>Sufficient Number of Shares Registered</w:t>
      </w:r>
      <w:r>
        <w:rPr>
          <w:rFonts w:ascii="Times New Roman" w:hAnsi="Times New Roman"/>
          <w:color w:val="000000"/>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thereunder, a “</w:t>
      </w:r>
      <w:r>
        <w:rPr>
          <w:rFonts w:ascii="Times New Roman" w:hAnsi="Times New Roman"/>
          <w:b/>
          <w:color w:val="000000"/>
          <w:sz w:val="20"/>
        </w:rPr>
        <w:t>New Registration Statement</w:t>
      </w:r>
      <w:r>
        <w:rPr>
          <w:rFonts w:ascii="Times New Roman" w:hAnsi="Times New Roman"/>
          <w:color w:val="000000"/>
          <w:sz w:val="20"/>
        </w:rPr>
        <w:t>”), so as to cover all of such Registrable Securities as soon as reasonably practicable, but in any event not later than ten Business Days after the necessity therefor arises (the “</w:t>
      </w:r>
      <w:r>
        <w:rPr>
          <w:rFonts w:ascii="Times New Roman" w:hAnsi="Times New Roman"/>
          <w:b/>
          <w:color w:val="000000"/>
          <w:sz w:val="20"/>
        </w:rPr>
        <w:t>New Registration Filing Deadline</w:t>
      </w:r>
      <w:r>
        <w:rPr>
          <w:rFonts w:ascii="Times New Roman" w:hAnsi="Times New Roman"/>
          <w:color w:val="000000"/>
          <w:sz w:val="20"/>
        </w:rPr>
        <w:t>”). The Company shall use its commercially reasonable efforts to have such amendment and/or New Registration Statement become effective as soon as reasonably practicable following the filing thereof but no later than the earlier of (i) the 60th calendar day following the earlier of (i) the initial filing date of the New Registration Statement, (ii) the New Registration Filing Deadline, if the SEC notifies the Company that it will “review” the New Registration Statement and (iii)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color w:val="000000"/>
          <w:sz w:val="20"/>
        </w:rPr>
        <w:t>New Registration</w:t>
      </w:r>
      <w:r>
        <w:rPr>
          <w:rFonts w:ascii="Times New Roman" w:hAnsi="Times New Roman"/>
          <w:color w:val="000000"/>
          <w:sz w:val="20"/>
        </w:rPr>
        <w:t> </w:t>
      </w:r>
      <w:r>
        <w:rPr>
          <w:rFonts w:ascii="Times New Roman" w:hAnsi="Times New Roman"/>
          <w:b/>
          <w:color w:val="000000"/>
          <w:sz w:val="20"/>
        </w:rPr>
        <w:t>Effectiveness Deadline</w:t>
      </w:r>
      <w:r>
        <w:rPr>
          <w:rFonts w:ascii="Times New Roman" w:hAnsi="Times New Roman"/>
          <w:color w:val="000000"/>
          <w:sz w:val="20"/>
        </w:rPr>
        <w:t xml:space="preserve">”). The provisions of </w:t>
      </w:r>
      <w:r>
        <w:rPr>
          <w:rFonts w:ascii="Times New Roman" w:hAnsi="Times New Roman"/>
          <w:color w:val="000000"/>
          <w:sz w:val="20"/>
          <w:u w:val="single"/>
        </w:rPr>
        <w:t>Section 2(a)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shall apply to the New Registration Statement, except as modified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Allowable Delays.</w:t>
      </w:r>
      <w:r>
        <w:rPr>
          <w:rFonts w:ascii="Times New Roman" w:hAnsi="Times New Roman"/>
          <w:color w:val="000000"/>
          <w:sz w:val="20"/>
        </w:rPr>
        <w:t xml:space="preserve"> On no more than two occasions in any 12 month period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outside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color w:val="000000"/>
          <w:sz w:val="20"/>
        </w:rPr>
        <w:t>Allowed Delay</w:t>
      </w:r>
      <w:r>
        <w:rPr>
          <w:rFonts w:ascii="Times New Roman" w:hAnsi="Times New Roman"/>
          <w:color w:val="000000"/>
          <w:sz w:val="20"/>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and to promptly notify the Investors of any such termination.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Rule 415; Cutback</w:t>
      </w:r>
      <w:r>
        <w:rPr>
          <w:rFonts w:ascii="Times New Roman" w:hAnsi="Times New Roman"/>
          <w:color w:val="000000"/>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hAnsi="Times New Roman"/>
          <w:color w:val="000000"/>
          <w:sz w:val="20"/>
          <w:u w:val="single"/>
        </w:rPr>
        <w:t>Section 2(e)</w:t>
      </w:r>
      <w:r>
        <w:rPr>
          <w:rFonts w:ascii="Times New Roman" w:hAnsi="Times New Roman"/>
          <w:color w:val="000000"/>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commercially reasonable efforts and compliance with the terms of this </w:t>
      </w:r>
      <w:r>
        <w:rPr>
          <w:rFonts w:ascii="Times New Roman" w:hAnsi="Times New Roman"/>
          <w:color w:val="000000"/>
          <w:sz w:val="20"/>
          <w:u w:val="single"/>
        </w:rPr>
        <w:t>Section 2(e)</w:t>
      </w:r>
      <w:r>
        <w:rPr>
          <w:rFonts w:ascii="Times New Roman" w:hAnsi="Times New Roman"/>
          <w:color w:val="000000"/>
          <w:sz w:val="20"/>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color w:val="000000"/>
          <w:sz w:val="20"/>
        </w:rPr>
        <w:t>SEC Restrictions</w:t>
      </w:r>
      <w:r>
        <w:rPr>
          <w:rFonts w:ascii="Times New Roman" w:hAnsi="Times New Roman"/>
          <w:color w:val="000000"/>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color w:val="000000"/>
          <w:sz w:val="20"/>
          <w:u w:val="single"/>
        </w:rPr>
        <w:t>Section 2(e)</w:t>
      </w:r>
      <w:r>
        <w:rPr>
          <w:rFonts w:ascii="Times New Roman" w:hAnsi="Times New Roman"/>
          <w:color w:val="000000"/>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hAnsi="Times New Roman"/>
          <w:color w:val="000000"/>
          <w:sz w:val="20"/>
          <w:u w:val="single"/>
        </w:rPr>
        <w:t>Section 2(f)</w:t>
      </w:r>
      <w:r>
        <w:rPr>
          <w:rFonts w:ascii="Times New Roman" w:hAnsi="Times New Roman"/>
          <w:color w:val="000000"/>
          <w:sz w:val="20"/>
        </w:rPr>
        <w:t>).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before="0" w:after="0"/>
        <w:jc w:val="left"/>
        <w:rPr/>
      </w:pPr>
      <w:r>
        <w:rPr/>
      </w:r>
      <w:bookmarkStart w:id="944" w:name="z_DV_M27"/>
      <w:bookmarkStart w:id="945" w:name="z_DV_M27"/>
      <w:bookmarkEnd w:id="945"/>
    </w:p>
    <w:p>
      <w:pPr>
        <w:pStyle w:val="TextBody"/>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3.           RELATED COMPANY OBLIGATIONS.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946" w:name="z_DV_M28"/>
      <w:bookmarkEnd w:id="946"/>
      <w:r>
        <w:rPr>
          <w:rFonts w:ascii="Times New Roman" w:hAnsi="Times New Roman"/>
          <w:color w:val="000000"/>
          <w:sz w:val="20"/>
        </w:rPr>
        <w:t xml:space="preserve">With respect to the Registration Statement and whenever any Registrable Securities are to be Registered pursuant to </w:t>
      </w:r>
      <w:r>
        <w:rPr>
          <w:rFonts w:ascii="Times New Roman" w:hAnsi="Times New Roman"/>
          <w:color w:val="000000"/>
          <w:sz w:val="20"/>
          <w:u w:val="single"/>
        </w:rPr>
        <w:t>Section 2</w:t>
      </w:r>
      <w:r>
        <w:rPr>
          <w:rFonts w:ascii="Times New Roman" w:hAnsi="Times New Roman"/>
          <w:color w:val="000000"/>
          <w:sz w:val="20"/>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47" w:name="z_DV_M29"/>
      <w:bookmarkEnd w:id="947"/>
      <w:r>
        <w:rPr>
          <w:rFonts w:ascii="Times New Roman" w:hAnsi="Times New Roman"/>
          <w:color w:val="000000"/>
          <w:sz w:val="20"/>
        </w:rPr>
        <w:t xml:space="preserve">(a)        </w:t>
      </w:r>
      <w:r>
        <w:rPr>
          <w:rFonts w:ascii="Times New Roman" w:hAnsi="Times New Roman"/>
          <w:color w:val="000000"/>
          <w:sz w:val="20"/>
          <w:u w:val="single"/>
        </w:rPr>
        <w:t>Notifications</w:t>
      </w:r>
      <w:r>
        <w:rPr>
          <w:rFonts w:ascii="Times New Roman" w:hAnsi="Times New Roman"/>
          <w:color w:val="000000"/>
          <w:sz w:val="20"/>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Amendments.</w:t>
      </w:r>
      <w:r>
        <w:rPr>
          <w:rFonts w:ascii="Times New Roman" w:hAnsi="Times New Roman"/>
          <w:color w:val="000000"/>
          <w:sz w:val="20"/>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hAnsi="Times New Roman"/>
          <w:b/>
          <w:color w:val="000000"/>
          <w:sz w:val="20"/>
        </w:rPr>
        <w:t>Exchange Act</w:t>
      </w:r>
      <w:r>
        <w:rPr>
          <w:rFonts w:ascii="Times New Roman" w:hAnsi="Times New Roman"/>
          <w:color w:val="000000"/>
          <w:sz w:val="20"/>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48" w:name="z_DV_M33"/>
      <w:bookmarkEnd w:id="948"/>
      <w:r>
        <w:rPr>
          <w:rFonts w:ascii="Times New Roman" w:hAnsi="Times New Roman"/>
          <w:color w:val="000000"/>
          <w:sz w:val="20"/>
        </w:rPr>
        <w:t xml:space="preserve">(c)       </w:t>
      </w:r>
      <w:r>
        <w:rPr>
          <w:rFonts w:ascii="Times New Roman" w:hAnsi="Times New Roman"/>
          <w:color w:val="000000"/>
          <w:sz w:val="20"/>
          <w:u w:val="single"/>
        </w:rPr>
        <w:t>Investor Review</w:t>
      </w:r>
      <w:r>
        <w:rPr>
          <w:rFonts w:ascii="Times New Roman" w:hAnsi="Times New Roman"/>
          <w:color w:val="000000"/>
          <w:sz w:val="20"/>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49" w:name="z_Ref_ContractCompanion_9kb9Ur027"/>
      <w:bookmarkStart w:id="950" w:name="z_Ref_ContractCompanion_9kb9Ur025"/>
      <w:bookmarkEnd w:id="949"/>
      <w:bookmarkEnd w:id="950"/>
      <w:r>
        <w:rPr>
          <w:rFonts w:ascii="Times New Roman" w:hAnsi="Times New Roman"/>
          <w:color w:val="000000"/>
          <w:sz w:val="20"/>
        </w:rPr>
        <w:t xml:space="preserve">(d)        </w:t>
      </w:r>
      <w:r>
        <w:rPr>
          <w:rFonts w:ascii="Times New Roman" w:hAnsi="Times New Roman"/>
          <w:color w:val="000000"/>
          <w:sz w:val="20"/>
          <w:u w:val="single"/>
        </w:rPr>
        <w:t>Copies Available</w:t>
      </w:r>
      <w:r>
        <w:rPr>
          <w:rFonts w:ascii="Times New Roman" w:hAnsi="Times New Roman"/>
          <w:color w:val="000000"/>
          <w:sz w:val="20"/>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w:t>
      </w:r>
      <w:bookmarkStart w:id="951" w:name="z_cp_text_2_4"/>
      <w:bookmarkEnd w:id="951"/>
      <w:r>
        <w:rPr>
          <w:rFonts w:ascii="Times New Roman" w:hAnsi="Times New Roman"/>
          <w:color w:val="000000"/>
          <w:sz w:val="20"/>
        </w:rPr>
        <w:t>; provided, however, that the Company shall not be required to furnish any document to such Investor to the extent such document is available on EDGAR.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Notification of Stop Orders; Material Changes</w:t>
      </w:r>
      <w:r>
        <w:rPr>
          <w:rFonts w:ascii="Times New Roman" w:hAnsi="Times New Roman"/>
          <w:color w:val="000000"/>
          <w:sz w:val="20"/>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hAnsi="Times New Roman"/>
          <w:b/>
          <w:color w:val="000000"/>
          <w:sz w:val="20"/>
        </w:rPr>
        <w:t>Suspension Event</w:t>
      </w:r>
      <w:r>
        <w:rPr>
          <w:rFonts w:ascii="Times New Roman" w:hAnsi="Times New Roman"/>
          <w:color w:val="000000"/>
          <w:sz w:val="20"/>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color w:val="000000"/>
          <w:sz w:val="20"/>
          <w:u w:val="single"/>
        </w:rPr>
        <w:t>Section 3(e)</w:t>
      </w:r>
      <w:r>
        <w:rPr>
          <w:rFonts w:ascii="Times New Roman" w:hAnsi="Times New Roman"/>
          <w:color w:val="000000"/>
          <w:sz w:val="20"/>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30 consecutive calendar days; provided, further, that the Company may not suspend the use of all Registration Statements more than twice, or for more than 60 total calendar days, in each case during any twelve-month period.</w:t>
      </w:r>
    </w:p>
    <w:p>
      <w:pPr>
        <w:pStyle w:val="TextBody"/>
        <w:bidi w:val="0"/>
        <w:spacing w:before="0" w:after="0"/>
        <w:jc w:val="both"/>
        <w:rPr/>
      </w:pPr>
      <w:r>
        <w:rPr/>
      </w:r>
      <w:bookmarkStart w:id="952" w:name="z_DV_M43"/>
      <w:bookmarkStart w:id="953" w:name="z_DV_M37"/>
      <w:bookmarkStart w:id="954" w:name="z_DV_M43"/>
      <w:bookmarkStart w:id="955" w:name="z_DV_M37"/>
      <w:bookmarkEnd w:id="954"/>
      <w:bookmarkEnd w:id="955"/>
    </w:p>
    <w:p>
      <w:pPr>
        <w:pStyle w:val="TextBody"/>
        <w:bidi w:val="0"/>
        <w:spacing w:before="0" w:after="0"/>
        <w:ind w:left="0" w:right="0" w:firstLine="1440"/>
        <w:jc w:val="both"/>
        <w:rPr>
          <w:rFonts w:ascii="Times New Roman" w:hAnsi="Times New Roman"/>
          <w:color w:val="000000"/>
          <w:sz w:val="20"/>
        </w:rPr>
      </w:pPr>
      <w:bookmarkStart w:id="956" w:name="z_DV_M44"/>
      <w:bookmarkEnd w:id="956"/>
      <w:r>
        <w:rPr>
          <w:rFonts w:ascii="Times New Roman" w:hAnsi="Times New Roman"/>
          <w:color w:val="000000"/>
          <w:sz w:val="20"/>
        </w:rPr>
        <w:t>(f)          </w:t>
      </w:r>
      <w:r>
        <w:rPr>
          <w:rFonts w:ascii="Times New Roman" w:hAnsi="Times New Roman"/>
          <w:color w:val="000000"/>
          <w:sz w:val="20"/>
          <w:u w:val="single"/>
        </w:rPr>
        <w:t>Confirmation of Effectiveness</w:t>
      </w:r>
      <w:r>
        <w:rPr>
          <w:rFonts w:ascii="Times New Roman" w:hAnsi="Times New Roman"/>
          <w:color w:val="000000"/>
          <w:sz w:val="20"/>
        </w:rPr>
        <w:t xml:space="preserve">. If </w:t>
      </w:r>
      <w:bookmarkStart w:id="957" w:name="z_DV_M45"/>
      <w:bookmarkEnd w:id="957"/>
      <w:r>
        <w:rPr>
          <w:rFonts w:ascii="Times New Roman" w:hAnsi="Times New Roman"/>
          <w:color w:val="000000"/>
          <w:sz w:val="20"/>
        </w:rPr>
        <w:t xml:space="preserve">reasonably requested by an </w:t>
      </w:r>
      <w:bookmarkStart w:id="958" w:name="z_DV_C20"/>
      <w:bookmarkEnd w:id="958"/>
      <w:r>
        <w:rPr>
          <w:rFonts w:ascii="Times New Roman" w:hAnsi="Times New Roman"/>
          <w:color w:val="000000"/>
          <w:sz w:val="20"/>
        </w:rPr>
        <w:t>Investor at any time</w:t>
      </w:r>
      <w:bookmarkStart w:id="959" w:name="z_DV_M46"/>
      <w:bookmarkEnd w:id="959"/>
      <w:r>
        <w:rPr>
          <w:rFonts w:ascii="Times New Roman" w:hAnsi="Times New Roman"/>
          <w:color w:val="000000"/>
          <w:sz w:val="20"/>
        </w:rPr>
        <w:t xml:space="preserve"> in respect of any Registration Statement, the Company shall</w:t>
      </w:r>
      <w:bookmarkStart w:id="960" w:name="z_DV_C21"/>
      <w:bookmarkEnd w:id="960"/>
      <w:r>
        <w:rPr>
          <w:rFonts w:ascii="Times New Roman" w:hAnsi="Times New Roman"/>
          <w:color w:val="000000"/>
          <w:sz w:val="20"/>
        </w:rPr>
        <w:t> </w:t>
      </w:r>
      <w:bookmarkStart w:id="961" w:name="z_DV_M47"/>
      <w:bookmarkEnd w:id="961"/>
      <w:r>
        <w:rPr>
          <w:rFonts w:ascii="Times New Roman" w:hAnsi="Times New Roman"/>
          <w:color w:val="000000"/>
          <w:sz w:val="20"/>
        </w:rPr>
        <w:t>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Listing</w:t>
      </w:r>
      <w:r>
        <w:rPr>
          <w:rFonts w:ascii="Times New Roman" w:hAnsi="Times New Roman"/>
          <w:color w:val="000000"/>
          <w:sz w:val="20"/>
        </w:rPr>
        <w:t>. The Company shall use commercially reasonable efforts to cause all Registrable Securities covered by a Registration Statement to be listed on the Nasdaq Capital Market and/or any other National Exchange upon which the Registrable Securities are listed.</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Compliance</w:t>
      </w:r>
      <w:r>
        <w:rPr>
          <w:rFonts w:ascii="Times New Roman" w:hAnsi="Times New Roman"/>
          <w:color w:val="000000"/>
          <w:sz w:val="20"/>
        </w:rPr>
        <w:t xml:space="preserve">.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color w:val="000000"/>
          <w:sz w:val="20"/>
          <w:u w:val="single"/>
        </w:rPr>
        <w:t>Section 3(h)</w:t>
      </w:r>
      <w:r>
        <w:rPr>
          <w:rFonts w:ascii="Times New Roman" w:hAnsi="Times New Roman"/>
          <w:color w:val="000000"/>
          <w:sz w:val="20"/>
        </w:rPr>
        <w:t>, “</w:t>
      </w:r>
      <w:r>
        <w:rPr>
          <w:rFonts w:ascii="Times New Roman" w:hAnsi="Times New Roman"/>
          <w:b/>
          <w:color w:val="000000"/>
          <w:sz w:val="20"/>
        </w:rPr>
        <w:t>Availability Date</w:t>
      </w:r>
      <w:r>
        <w:rPr>
          <w:rFonts w:ascii="Times New Roman" w:hAnsi="Times New Roman"/>
          <w:color w:val="000000"/>
          <w:sz w:val="20"/>
        </w:rPr>
        <w:t>” means the 45th day following the end of the fourth fiscal quarter that includes the effective date of such Registration Statement, except that, if such fourth fiscal quarter is the last quarter of the Company’s fiscal year, “</w:t>
      </w:r>
      <w:r>
        <w:rPr>
          <w:rFonts w:ascii="Times New Roman" w:hAnsi="Times New Roman"/>
          <w:b/>
          <w:color w:val="000000"/>
          <w:sz w:val="20"/>
        </w:rPr>
        <w:t>Availability Date</w:t>
      </w:r>
      <w:r>
        <w:rPr>
          <w:rFonts w:ascii="Times New Roman" w:hAnsi="Times New Roman"/>
          <w:color w:val="000000"/>
          <w:sz w:val="20"/>
        </w:rPr>
        <w:t>” means the 90th day after the end of such fourth fiscal quarter).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w:t>
      </w:r>
      <w:r>
        <w:rPr>
          <w:rFonts w:ascii="Times New Roman" w:hAnsi="Times New Roman"/>
          <w:color w:val="000000"/>
          <w:sz w:val="20"/>
          <w:u w:val="single"/>
        </w:rPr>
        <w:t>Blue-Sky</w:t>
      </w:r>
      <w:r>
        <w:rPr>
          <w:rFonts w:ascii="Times New Roman" w:hAnsi="Times New Roman"/>
          <w:color w:val="000000"/>
          <w:sz w:val="20"/>
        </w:rPr>
        <w:t xml:space="preserve">. The Company shall use commercially reasonable efforts to register or qualify or cooperate with each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color w:val="000000"/>
          <w:sz w:val="20"/>
          <w:u w:val="single"/>
        </w:rPr>
        <w:t>Section 3(i)</w:t>
      </w:r>
      <w:r>
        <w:rPr>
          <w:rFonts w:ascii="Times New Roman" w:hAnsi="Times New Roman"/>
          <w:color w:val="000000"/>
          <w:sz w:val="20"/>
        </w:rPr>
        <w:t xml:space="preserve">, (ii) subject itself to general taxation in any jurisdiction where it would not otherwise be so subject but for this </w:t>
      </w:r>
      <w:r>
        <w:rPr>
          <w:rFonts w:ascii="Times New Roman" w:hAnsi="Times New Roman"/>
          <w:color w:val="000000"/>
          <w:sz w:val="20"/>
          <w:u w:val="single"/>
        </w:rPr>
        <w:t>Section 3(i)</w:t>
      </w:r>
      <w:r>
        <w:rPr>
          <w:rFonts w:ascii="Times New Roman" w:hAnsi="Times New Roman"/>
          <w:color w:val="000000"/>
          <w:sz w:val="20"/>
        </w:rPr>
        <w:t>, or (iii) file a general consent to service of process in any such jurisdiction.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w:t>
      </w:r>
      <w:r>
        <w:rPr>
          <w:rFonts w:ascii="Times New Roman" w:hAnsi="Times New Roman"/>
          <w:color w:val="000000"/>
          <w:sz w:val="20"/>
          <w:u w:val="single"/>
        </w:rPr>
        <w:t>Rule 144</w:t>
      </w:r>
      <w:r>
        <w:rPr>
          <w:rFonts w:ascii="Times New Roman" w:hAnsi="Times New Roman"/>
          <w:color w:val="000000"/>
          <w:sz w:val="20"/>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use commercially reasonable efforts, for so long as any Registrable Securities are outstanding, to (i) make and keep adequate current public information available, as those terms are understood and defined in Rule 144, until the date that all of the Registrable Securities may be sold without restriction by the holders thereof pursuant to Rule 144 or any other rule of similar effect (without the requirement for the Company to be in compliance with any current public information requirements);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Cooperation.</w:t>
      </w:r>
      <w:r>
        <w:rPr>
          <w:rFonts w:ascii="Times New Roman" w:hAnsi="Times New Roman"/>
          <w:color w:val="000000"/>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Piggyback Registration</w:t>
      </w:r>
      <w:r>
        <w:rPr>
          <w:rFonts w:ascii="Times New Roman" w:hAnsi="Times New Roman"/>
          <w:color w:val="000000"/>
          <w:sz w:val="20"/>
        </w:rPr>
        <w:t>. If the Company proposes to file a registration statement under the Securities Act with respect to an offering of Common Stock for cash (other than a registration statement on Form S-4 or Form S-8, or a registration relating solely to an at-the-market offering or employee benefit plans), or to conduct an underwritten offering pursuant to any such registration statement, then the Company shall give each Investor holding Registrable Securities written notice of such proposal and, upon the written request of any such Investor given within 5 Business Days after such notice, the Company shall include in such registration or offering the Registrable Securities requested to be included therein. The right of any Holder to include its Registrable Securities in such a registration shall be conditioned upon such Holder’s participation in the underwriting (if applicable) and the inclusion of such Holder’s Registrable Securities in the underwriting to the extent provided herein. All Holders proposing to sell any Registrable Securities through such underwriting shall enter into an underwriting agreement in customary form with the underwriter selected for such underwriting. Notwithstanding anything herein to the contrary, if the underwriter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(other than Holders who failed to timely elect to include their Registrable Securities in such underwriting or who indicated their decision not to do so), and indicate to each such Holder the number of Registrable Securities that may be included in such registration and underwriting, if any. The number of Registrable Securities to be included in such registration and underwriting shall be allocated first (i) to the Company, then (ii) to (A) Holders who have requested to sell in the registration and (B) selling shareholders who possess piggyback registration rights pursuant to that certain Registration Rights Agreement, dated on or about the date hereof, by and among the Company and certain former stockholders of Marea (the “</w:t>
      </w:r>
      <w:r>
        <w:rPr>
          <w:rFonts w:ascii="Times New Roman" w:hAnsi="Times New Roman"/>
          <w:b/>
          <w:color w:val="000000"/>
          <w:sz w:val="20"/>
        </w:rPr>
        <w:t>Marea RRA</w:t>
      </w:r>
      <w:r>
        <w:rPr>
          <w:rFonts w:ascii="Times New Roman" w:hAnsi="Times New Roman"/>
          <w:color w:val="000000"/>
          <w:sz w:val="20"/>
        </w:rPr>
        <w:t xml:space="preserve">”), who have requested to sell in the registration, in each case of (A) and (B) on a pro rata basis according to the number of Registrable Securities (as defined in this Agreement and in the Marea RRA) requested to be included therein, and then (iii) to all other selling shareholders. If any Holder disapproves of the terms of any such underwriting, such Holder may elect to withdraw such Holder’s Registrable Securities therefrom by delivering a written notice to the Company and the underwriter. A Holder whose Registrable Securities are included in any registration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 The Company shall have the right to terminate or withdraw any registration initiated by it before the effective date of such registration, whether or not any Holder has elected to include Registrable Securities in such registration. Notwithstanding the foregoing, the Company shall not be required to register any Registrable Securities pursuant to this </w:t>
      </w:r>
      <w:r>
        <w:rPr>
          <w:rFonts w:ascii="Times New Roman" w:hAnsi="Times New Roman"/>
          <w:color w:val="000000"/>
          <w:sz w:val="20"/>
          <w:u w:val="single"/>
        </w:rPr>
        <w:t>Section 3(l)</w:t>
      </w:r>
      <w:r>
        <w:rPr>
          <w:rFonts w:ascii="Times New Roman" w:hAnsi="Times New Roman"/>
          <w:color w:val="000000"/>
          <w:sz w:val="20"/>
        </w:rPr>
        <w:t xml:space="preserve"> that are eligible for resale pursuant to Rule 144 without restriction (other than Registrable Securities held by a Holder that is, or may reasonably be deemed to be, an affiliate of the Company) or that are the subject of a then-effective Registration Statement. The Company may postpone or withdraw the filing or effectiveness of any registration contemplated by this </w:t>
      </w:r>
      <w:r>
        <w:rPr>
          <w:rFonts w:ascii="Times New Roman" w:hAnsi="Times New Roman"/>
          <w:color w:val="000000"/>
          <w:sz w:val="20"/>
          <w:u w:val="single"/>
        </w:rPr>
        <w:t>Section 3(l)</w:t>
      </w:r>
      <w:r>
        <w:rPr>
          <w:rFonts w:ascii="Times New Roman" w:hAnsi="Times New Roman"/>
          <w:color w:val="000000"/>
          <w:sz w:val="20"/>
        </w:rPr>
        <w:t xml:space="preserve"> at any time in its sole discretion; provided that if the Company postpones or withdraws a registration or offering in which any Holder has elected to include Registrable Securities, the rights of the Holders under this Section shall continue to apply to any subsequent registration or offering.</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62" w:name="z_DV_M50"/>
      <w:bookmarkStart w:id="963" w:name="z_DV_M48"/>
      <w:bookmarkEnd w:id="962"/>
      <w:bookmarkEnd w:id="963"/>
      <w:r>
        <w:rPr>
          <w:rFonts w:ascii="Times New Roman" w:hAnsi="Times New Roman"/>
          <w:b/>
          <w:color w:val="000000"/>
          <w:sz w:val="20"/>
        </w:rPr>
        <w:t>4.           OBLIGATIONS OF THE INVESTORS.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64" w:name="z_DV_M51"/>
      <w:bookmarkEnd w:id="964"/>
      <w:r>
        <w:rPr>
          <w:rFonts w:ascii="Times New Roman" w:hAnsi="Times New Roman"/>
          <w:color w:val="000000"/>
          <w:sz w:val="20"/>
        </w:rPr>
        <w:t xml:space="preserve">(a)      </w:t>
      </w:r>
      <w:r>
        <w:rPr>
          <w:rFonts w:ascii="Times New Roman" w:hAnsi="Times New Roman"/>
          <w:color w:val="000000"/>
          <w:sz w:val="20"/>
          <w:u w:val="single"/>
        </w:rPr>
        <w:t>Investor Information</w:t>
      </w:r>
      <w:r>
        <w:rPr>
          <w:rFonts w:ascii="Times New Roman" w:hAnsi="Times New Roman"/>
          <w:color w:val="000000"/>
          <w:sz w:val="20"/>
        </w:rPr>
        <w:t xml:space="preserve">. Each Investor shall provide a completed Investor Questionnaire in the form attached hereto as </w:t>
      </w:r>
      <w:r>
        <w:rPr>
          <w:rFonts w:ascii="Times New Roman" w:hAnsi="Times New Roman"/>
          <w:color w:val="000000"/>
          <w:sz w:val="20"/>
          <w:u w:val="single"/>
        </w:rPr>
        <w:t>Exhibit B</w:t>
      </w:r>
      <w:r>
        <w:rPr>
          <w:rFonts w:ascii="Times New Roman" w:hAnsi="Times New Roman"/>
          <w:color w:val="000000"/>
          <w:sz w:val="20"/>
        </w:rPr>
        <w:t xml:space="preserve"> or such other form of questionnaire or information reasonably required by the Company in connection with the registration of the Registrable Securities within 3 Business Days of request by the Company and no later than the end of the third Business Day following the date on which such Investor receives draft materials in accordance with </w:t>
      </w:r>
      <w:r>
        <w:rPr>
          <w:rFonts w:ascii="Times New Roman" w:hAnsi="Times New Roman"/>
          <w:color w:val="000000"/>
          <w:sz w:val="20"/>
          <w:u w:val="single"/>
        </w:rPr>
        <w:t>Section 2(a)</w:t>
      </w:r>
      <w:r>
        <w:rPr>
          <w:rFonts w:ascii="Times New Roman" w:hAnsi="Times New Roman"/>
          <w:color w:val="000000"/>
          <w:sz w:val="20"/>
        </w:rPr>
        <w:t>. If the Company has not received such completed questionnaire from an Investor within 5 days of the Company’s request, the Company may file the Registration Statement without including such Investor’s Registrable Securities.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65" w:name="z_DV_M52"/>
      <w:bookmarkEnd w:id="965"/>
      <w:r>
        <w:rPr>
          <w:rFonts w:ascii="Times New Roman" w:hAnsi="Times New Roman"/>
          <w:color w:val="000000"/>
          <w:sz w:val="20"/>
        </w:rPr>
        <w:t xml:space="preserve">(b)        </w:t>
      </w:r>
      <w:r>
        <w:rPr>
          <w:rFonts w:ascii="Times New Roman" w:hAnsi="Times New Roman"/>
          <w:color w:val="000000"/>
          <w:sz w:val="20"/>
          <w:u w:val="single"/>
        </w:rPr>
        <w:t>Suspension of Sales</w:t>
      </w:r>
      <w:r>
        <w:rPr>
          <w:rFonts w:ascii="Times New Roman" w:hAnsi="Times New Roman"/>
          <w:color w:val="000000"/>
          <w:sz w:val="20"/>
        </w:rPr>
        <w:t>. Each Investor, severally and not jointly with any other Investor, agrees that, upon receipt of any notice from the Company of the existence of an Allowed Delay or a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Investor Cooperation</w:t>
      </w:r>
      <w:r>
        <w:rPr>
          <w:rFonts w:ascii="Times New Roman" w:hAnsi="Times New Roman"/>
          <w:color w:val="000000"/>
          <w:sz w:val="20"/>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66" w:name="z_DV_M53"/>
      <w:bookmarkEnd w:id="966"/>
      <w:r>
        <w:rPr>
          <w:rFonts w:ascii="Times New Roman" w:hAnsi="Times New Roman"/>
          <w:b/>
          <w:color w:val="000000"/>
          <w:sz w:val="20"/>
        </w:rPr>
        <w:t>5.           EXPENSES OF REGISTRATION.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67" w:name="z_DV_M54"/>
      <w:bookmarkEnd w:id="967"/>
      <w:r>
        <w:rPr>
          <w:rFonts w:ascii="Times New Roman" w:hAnsi="Times New Roman"/>
          <w:color w:val="000000"/>
          <w:sz w:val="20"/>
        </w:rPr>
        <w:t>All Registration Expenses incurred in connection with registrations pursuant to this Agreement shall be borne by the Company. All Selling Expenses relating to securities registered on behalf of the Investors shall be borne by the Investor incurring the relevant Selling Expenses.</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68" w:name="z_DV_M55"/>
      <w:bookmarkEnd w:id="968"/>
      <w:r>
        <w:rPr>
          <w:rFonts w:ascii="Times New Roman" w:hAnsi="Times New Roman"/>
          <w:b/>
          <w:color w:val="000000"/>
          <w:sz w:val="20"/>
        </w:rPr>
        <w:t>6.           INDEMNIFICATION.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69" w:name="z_DV_M56"/>
      <w:bookmarkEnd w:id="969"/>
      <w:r>
        <w:rPr>
          <w:rFonts w:ascii="Times New Roman" w:hAnsi="Times New Roman"/>
          <w:color w:val="000000"/>
          <w:sz w:val="20"/>
        </w:rPr>
        <w:t>(a)          To the fullest extent permitted by law, the Company will, and hereby does, indemnify, hold harmless and defend each Investor, each Person, if any, who controls each Investor, the members, shareholders, the directors, officers, partners, employees, members, managers, agents, representatives and advisors of each Investors and each Person, if any, who controls each Investor within the meaning of the Securities Act or the Exchange Act (each, an “</w:t>
      </w:r>
      <w:r>
        <w:rPr>
          <w:rFonts w:ascii="Times New Roman" w:hAnsi="Times New Roman"/>
          <w:b/>
          <w:color w:val="000000"/>
          <w:sz w:val="20"/>
        </w:rPr>
        <w:t>Indemnified Person</w:t>
      </w:r>
      <w:r>
        <w:rPr>
          <w:rFonts w:ascii="Times New Roman" w:hAnsi="Times New Roman"/>
          <w:color w:val="000000"/>
          <w:sz w:val="20"/>
        </w:rPr>
        <w:t>”), against any losses, obligation, claims, damages, liabilities, contingencies, judgments, fines, penalties, charges, costs (including, without limitation, court costs and costs of preparation), reasonable and documented attorneys’ fees, amounts paid in settlement (with the prior written consent of the Company, such consent not to be unreasonably withheld) or reasonable and documented expenses (collectively, “</w:t>
      </w:r>
      <w:r>
        <w:rPr>
          <w:rFonts w:ascii="Times New Roman" w:hAnsi="Times New Roman"/>
          <w:b/>
          <w:color w:val="000000"/>
          <w:sz w:val="20"/>
        </w:rPr>
        <w:t>Losses</w:t>
      </w:r>
      <w:r>
        <w:rPr>
          <w:rFonts w:ascii="Times New Roman" w:hAnsi="Times New Roman"/>
          <w:color w:val="000000"/>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(each, a “</w:t>
      </w:r>
      <w:r>
        <w:rPr>
          <w:rFonts w:ascii="Times New Roman" w:hAnsi="Times New Roman"/>
          <w:b/>
          <w:color w:val="000000"/>
          <w:sz w:val="20"/>
        </w:rPr>
        <w:t>Claim</w:t>
      </w:r>
      <w:r>
        <w:rPr>
          <w:rFonts w:ascii="Times New Roman" w:hAnsi="Times New Roman"/>
          <w:color w:val="000000"/>
          <w:sz w:val="20"/>
        </w:rPr>
        <w:t>”), whether or not an indemnified party is or may be a party thereto (“</w:t>
      </w:r>
      <w:r>
        <w:rPr>
          <w:rFonts w:ascii="Times New Roman" w:hAnsi="Times New Roman"/>
          <w:b/>
          <w:color w:val="000000"/>
          <w:sz w:val="20"/>
        </w:rPr>
        <w:t>Indemnified Damages</w:t>
      </w:r>
      <w:r>
        <w:rPr>
          <w:rFonts w:ascii="Times New Roman" w:hAnsi="Times New Roman"/>
          <w:color w:val="000000"/>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w:t>
      </w:r>
      <w:bookmarkStart w:id="970" w:name="z_DV_M57"/>
      <w:bookmarkStart w:id="971" w:name="z_DV_C17"/>
      <w:bookmarkEnd w:id="970"/>
      <w:bookmarkEnd w:id="971"/>
      <w:r>
        <w:rPr>
          <w:rFonts w:ascii="Times New Roman" w:hAnsi="Times New Roman"/>
          <w:color w:val="000000"/>
          <w:sz w:val="20"/>
        </w:rPr>
        <w: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w:t>
      </w:r>
      <w:bookmarkStart w:id="972" w:name="z_DV_M59"/>
      <w:bookmarkStart w:id="973" w:name="z_DV_C30"/>
      <w:bookmarkEnd w:id="972"/>
      <w:bookmarkEnd w:id="973"/>
      <w:r>
        <w:rPr>
          <w:rFonts w:ascii="Times New Roman" w:hAnsi="Times New Roman"/>
          <w:color w:val="000000"/>
          <w:sz w:val="20"/>
        </w:rPr>
        <w:t>ii) being, collectively, “</w:t>
      </w:r>
      <w:r>
        <w:rPr>
          <w:rFonts w:ascii="Times New Roman" w:hAnsi="Times New Roman"/>
          <w:b/>
          <w:color w:val="000000"/>
          <w:sz w:val="20"/>
        </w:rPr>
        <w:t>Violations</w:t>
      </w:r>
      <w:r>
        <w:rPr>
          <w:rFonts w:ascii="Times New Roman" w:hAnsi="Times New Roman"/>
          <w:color w:val="000000"/>
          <w:sz w:val="20"/>
        </w:rPr>
        <w:t xml:space="preserve">”). The Company shall reimburse each Indemnified Person promptly as such Losses are incurred and are due and payable by them in connection with investigating or defending any such Claim. </w:t>
      </w:r>
      <w:bookmarkStart w:id="974" w:name="z_DV_M60"/>
      <w:bookmarkEnd w:id="974"/>
      <w:r>
        <w:rPr>
          <w:rFonts w:ascii="Times New Roman" w:hAnsi="Times New Roman"/>
          <w:color w:val="000000"/>
          <w:sz w:val="20"/>
        </w:rPr>
        <w:t xml:space="preserve">Notwithstanding anything to the contrary contained herein, the indemnification agreement contained in this </w:t>
      </w:r>
      <w:r>
        <w:rPr>
          <w:rFonts w:ascii="Times New Roman" w:hAnsi="Times New Roman"/>
          <w:color w:val="000000"/>
          <w:sz w:val="20"/>
          <w:u w:val="single"/>
        </w:rPr>
        <w:t>Section 6(a)</w:t>
      </w:r>
      <w:r>
        <w:rPr>
          <w:rFonts w:ascii="Times New Roman" w:hAnsi="Times New Roman"/>
          <w:color w:val="000000"/>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w:t>
      </w:r>
      <w:bookmarkStart w:id="975" w:name="z_DV_C27"/>
      <w:bookmarkEnd w:id="975"/>
      <w:r>
        <w:rPr>
          <w:rFonts w:ascii="Times New Roman" w:hAnsi="Times New Roman"/>
          <w:color w:val="000000"/>
          <w:sz w:val="20"/>
        </w:rPr>
        <w:t xml:space="preserve">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a prospectus to the Persons asserting an untrue statement or omission or alleged untrue statement or omission;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color w:val="000000"/>
          <w:sz w:val="20"/>
          <w:u w:val="single"/>
        </w:rPr>
        <w:t>Section 8</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In connection with the Initial Registration Statement, any New Registration Statement or any prospectus, each Investor, severally and not jointly, agrees to </w:t>
      </w:r>
      <w:bookmarkStart w:id="976" w:name="z_DV_M64"/>
      <w:bookmarkEnd w:id="976"/>
      <w:r>
        <w:rPr>
          <w:rFonts w:ascii="Times New Roman" w:hAnsi="Times New Roman"/>
          <w:color w:val="000000"/>
          <w:sz w:val="20"/>
        </w:rPr>
        <w:t>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hAnsi="Times New Roman"/>
          <w:b/>
          <w:color w:val="000000"/>
          <w:sz w:val="20"/>
        </w:rPr>
        <w:t>Indemnified Party</w:t>
      </w:r>
      <w:r>
        <w:rPr>
          <w:rFonts w:ascii="Times New Roman" w:hAnsi="Times New Roman"/>
          <w:color w:val="000000"/>
          <w:sz w:val="20"/>
        </w:rPr>
        <w:t xml:space="preserve">”), against any losses, claims, damages, liabilities and expense (including reasonable attorney fees) resulting from any (i) any untrue statement or alleged untrue statement or omission or alleged omission of any material fact contained in any Registration Statement, any preliminary prospectus or final prospectus, or any amendment or supplement thereof, or (ii) any violation or alleged violation by the Investor of its obligations under this Agreement, in each case to the extent, and only to the extent, that such untrue statement, alleged untrue statement, omission, alleged omission, violation or alleged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under this </w:t>
      </w:r>
      <w:r>
        <w:rPr>
          <w:rFonts w:ascii="Times New Roman" w:hAnsi="Times New Roman"/>
          <w:color w:val="000000"/>
          <w:sz w:val="20"/>
          <w:u w:val="single"/>
        </w:rPr>
        <w:t>Section 6(b)</w:t>
      </w:r>
      <w:r>
        <w:rPr>
          <w:rFonts w:ascii="Times New Roman" w:hAnsi="Times New Roman"/>
          <w:color w:val="000000"/>
          <w:sz w:val="20"/>
        </w:rPr>
        <w:t xml:space="preserve"> be greater in amount than the dollar amount of the proceeds (net of all expense paid by such Investor in connection with any claim relating to this </w:t>
      </w:r>
      <w:r>
        <w:rPr>
          <w:rFonts w:ascii="Times New Roman" w:hAnsi="Times New Roman"/>
          <w:color w:val="000000"/>
          <w:sz w:val="20"/>
          <w:u w:val="single"/>
        </w:rPr>
        <w:t>Section 6</w:t>
      </w:r>
      <w:r>
        <w:rPr>
          <w:rFonts w:ascii="Times New Roman" w:hAnsi="Times New Roman"/>
          <w:color w:val="000000"/>
          <w:sz w:val="20"/>
        </w:rPr>
        <w:t xml:space="preserve"> and the amount of any damages such Investor has otherwise been required to pay by reason of such untrue statement, alleged untrue statement, omission, alleged omission, violation or alleged violation)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 Investor pursuant to </w:t>
      </w:r>
      <w:r>
        <w:rPr>
          <w:rFonts w:ascii="Times New Roman" w:hAnsi="Times New Roman"/>
          <w:color w:val="000000"/>
          <w:sz w:val="20"/>
          <w:u w:val="single"/>
        </w:rPr>
        <w:t>Section 8</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Promptly after receipt by an Indemnified Person or Indemnified Party under this </w:t>
      </w:r>
      <w:r>
        <w:rPr>
          <w:rFonts w:ascii="Times New Roman" w:hAnsi="Times New Roman"/>
          <w:color w:val="000000"/>
          <w:sz w:val="20"/>
          <w:u w:val="single"/>
        </w:rPr>
        <w:t>Section 6</w:t>
      </w:r>
      <w:r>
        <w:rPr>
          <w:rFonts w:ascii="Times New Roman" w:hAnsi="Times New Roman"/>
          <w:color w:val="000000"/>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color w:val="000000"/>
          <w:sz w:val="20"/>
          <w:u w:val="single"/>
        </w:rPr>
        <w:t>Section 6</w:t>
      </w:r>
      <w:r>
        <w:rPr>
          <w:rFonts w:ascii="Times New Roman" w:hAnsi="Times New Roman"/>
          <w:color w:val="000000"/>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indemnified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color w:val="000000"/>
          <w:sz w:val="20"/>
          <w:u w:val="single"/>
        </w:rPr>
        <w:t>Section 6</w:t>
      </w:r>
      <w:r>
        <w:rPr>
          <w:rFonts w:ascii="Times New Roman" w:hAnsi="Times New Roman"/>
          <w:color w:val="000000"/>
          <w:sz w:val="20"/>
        </w:rPr>
        <w:t>, except to the extent that the indemnifying party is prejudiced in its ability to defend such action.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77" w:name="z_DV_M66"/>
      <w:bookmarkEnd w:id="977"/>
      <w:r>
        <w:rPr>
          <w:rFonts w:ascii="Times New Roman" w:hAnsi="Times New Roman"/>
          <w:color w:val="000000"/>
          <w:sz w:val="20"/>
        </w:rPr>
        <w:t xml:space="preserve">(d)         The indemnification required by this </w:t>
      </w:r>
      <w:r>
        <w:rPr>
          <w:rFonts w:ascii="Times New Roman" w:hAnsi="Times New Roman"/>
          <w:color w:val="000000"/>
          <w:sz w:val="20"/>
          <w:u w:val="single"/>
        </w:rPr>
        <w:t>Section 6</w:t>
      </w:r>
      <w:r>
        <w:rPr>
          <w:rFonts w:ascii="Times New Roman" w:hAnsi="Times New Roman"/>
          <w:color w:val="000000"/>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color w:val="000000"/>
          <w:sz w:val="20"/>
          <w:u w:val="single"/>
        </w:rPr>
        <w:t>Section 6</w:t>
      </w:r>
      <w:r>
        <w:rPr>
          <w:rFonts w:ascii="Times New Roman" w:hAnsi="Times New Roman"/>
          <w:color w:val="000000"/>
          <w:sz w:val="20"/>
        </w:rPr>
        <w:t xml:space="preserve"> which person is later determined to not be entitled to such payment shall return such payment (including reimbursement of expenses) to the person making it.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78" w:name="z_DV_M61"/>
      <w:bookmarkStart w:id="979" w:name="z_DV_M67"/>
      <w:bookmarkEnd w:id="978"/>
      <w:bookmarkEnd w:id="979"/>
      <w:r>
        <w:rPr>
          <w:rFonts w:ascii="Times New Roman" w:hAnsi="Times New Roman"/>
          <w:color w:val="000000"/>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80" w:name="z_DV_M68"/>
      <w:bookmarkEnd w:id="980"/>
      <w:r>
        <w:rPr>
          <w:rFonts w:ascii="Times New Roman" w:hAnsi="Times New Roman"/>
          <w:b/>
          <w:color w:val="000000"/>
          <w:sz w:val="20"/>
        </w:rPr>
        <w:t>7.           CONTRIBUTION.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81" w:name="z_DV_M69"/>
      <w:bookmarkEnd w:id="981"/>
      <w:r>
        <w:rPr>
          <w:rFonts w:ascii="Times New Roman" w:hAnsi="Times New Roman"/>
          <w:color w:val="000000"/>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color w:val="000000"/>
          <w:sz w:val="20"/>
          <w:u w:val="single"/>
        </w:rPr>
        <w:t>Section 6</w:t>
      </w:r>
      <w:r>
        <w:rPr>
          <w:rFonts w:ascii="Times New Roman" w:hAnsi="Times New Roman"/>
          <w:color w:val="000000"/>
          <w:sz w:val="20"/>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color w:val="000000"/>
          <w:sz w:val="20"/>
          <w:u w:val="single"/>
        </w:rPr>
        <w:t>Section 7</w:t>
      </w:r>
      <w:r>
        <w:rPr>
          <w:rFonts w:ascii="Times New Roman" w:hAnsi="Times New Roman"/>
          <w:color w:val="000000"/>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8.           ASSIGNMENT OF REGISTRATION RIGHTS.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82" w:name="z_DV_M79"/>
      <w:bookmarkStart w:id="983" w:name="z_DV_M71"/>
      <w:bookmarkEnd w:id="982"/>
      <w:bookmarkEnd w:id="983"/>
      <w:r>
        <w:rPr>
          <w:rFonts w:ascii="Times New Roman" w:hAnsi="Times New Roman"/>
          <w:color w:val="000000"/>
          <w:sz w:val="20"/>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222222"/>
          <w:sz w:val="20"/>
        </w:rPr>
      </w:pPr>
      <w:r>
        <w:rPr>
          <w:rFonts w:ascii="Times New Roman" w:hAnsi="Times New Roman"/>
          <w:color w:val="222222"/>
          <w:sz w:val="20"/>
        </w:rPr>
        <w:t>No Investor may assign its rights under this Agreement, other than to an affiliate of such Investor or to any other investment funds or accounts managed or advised by the investment manager who acts on behalf of the Investor or in connection with a transfer of Registrable Securities prior to the occurrence of, or that does not result in, any Termination Event, without the prior written consent of the Company, which consent shall not be unreasonably withheld, conditioned or delayed.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color w:val="000000"/>
        </w:rPr>
      </w:pPr>
      <w:r>
        <w:rPr>
          <w:color w:val="222222"/>
        </w:rPr>
        <w:t> </w:t>
      </w:r>
      <w:r>
        <w:rPr>
          <w:rFonts w:ascii="Times New Roman" w:hAnsi="Times New Roman"/>
          <w:color w:val="000000"/>
          <w:sz w:val="20"/>
        </w:rPr>
        <w:t>The provisions of this Agreement shall be binding upon and inure to the benefit of the Investor and its successors and permitted assigns.</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bookmarkStart w:id="984" w:name="z_DV_M80"/>
      <w:bookmarkStart w:id="985" w:name="z_DV_M72"/>
      <w:bookmarkEnd w:id="984"/>
      <w:bookmarkEnd w:id="985"/>
      <w:r>
        <w:rPr>
          <w:rFonts w:ascii="Times New Roman" w:hAnsi="Times New Roman"/>
          <w:b/>
          <w:color w:val="000000"/>
          <w:sz w:val="20"/>
        </w:rPr>
        <w:t>9.           AMENDMENTS AND WAIVERS.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86" w:name="z_DV_M81"/>
      <w:bookmarkStart w:id="987" w:name="z_DV_M73"/>
      <w:bookmarkEnd w:id="986"/>
      <w:bookmarkEnd w:id="987"/>
      <w:r>
        <w:rPr>
          <w:rFonts w:ascii="Times New Roman" w:hAnsi="Times New Roman"/>
          <w:color w:val="000000"/>
          <w:sz w:val="20"/>
        </w:rPr>
        <w:t xml:space="preserve">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(3) </w:t>
      </w:r>
      <w:bookmarkStart w:id="988" w:name="z_Hlk196900106"/>
      <w:bookmarkEnd w:id="988"/>
      <w:r>
        <w:rPr>
          <w:rFonts w:ascii="Times New Roman" w:hAnsi="Times New Roman"/>
          <w:color w:val="000000"/>
          <w:sz w:val="20"/>
        </w:rPr>
        <w:t xml:space="preserve">any amendments to </w:t>
      </w:r>
      <w:r>
        <w:rPr>
          <w:rFonts w:ascii="Times New Roman" w:hAnsi="Times New Roman"/>
          <w:color w:val="000000"/>
          <w:sz w:val="20"/>
          <w:u w:val="single"/>
        </w:rPr>
        <w:t>Section 6</w:t>
      </w:r>
      <w:r>
        <w:rPr>
          <w:rFonts w:ascii="Times New Roman" w:hAnsi="Times New Roman"/>
          <w:color w:val="000000"/>
          <w:sz w:val="20"/>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Preferred Shares then outstanding have been converted in full without regard to any limitations on the conversion of such Preferred Shares) to which such waiver or consent relates; provided such consenting Investors shall not in any event be paid any separate consideration in connection with any such amendment or waiver.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b/>
          <w:color w:val="000000"/>
          <w:sz w:val="20"/>
        </w:rPr>
      </w:pPr>
      <w:bookmarkStart w:id="989" w:name="z_DV_M82"/>
      <w:bookmarkStart w:id="990" w:name="z_DV_M74"/>
      <w:bookmarkEnd w:id="989"/>
      <w:bookmarkEnd w:id="990"/>
      <w:r>
        <w:rPr>
          <w:rFonts w:ascii="Times New Roman" w:hAnsi="Times New Roman"/>
          <w:b/>
          <w:color w:val="000000"/>
          <w:sz w:val="20"/>
        </w:rPr>
        <w:t>10.         MISCELLANEOUS.</w:t>
      </w:r>
    </w:p>
    <w:p>
      <w:pPr>
        <w:pStyle w:val="TextBody"/>
        <w:bidi w:val="0"/>
        <w:spacing w:before="0" w:after="0"/>
        <w:jc w:val="both"/>
        <w:rPr/>
      </w:pPr>
      <w:r>
        <w:rPr/>
      </w:r>
      <w:bookmarkStart w:id="991" w:name="z_DV_M75"/>
      <w:bookmarkStart w:id="992" w:name="z_DV_M75"/>
      <w:bookmarkEnd w:id="992"/>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Notices</w:t>
      </w:r>
      <w:r>
        <w:rPr>
          <w:rFonts w:ascii="Times New Roman" w:hAnsi="Times New Roman"/>
          <w:color w:val="000000"/>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00000"/>
          <w:sz w:val="20"/>
        </w:rPr>
        <w:t>i.            If to the Company, addressed as follows:</w:t>
      </w:r>
    </w:p>
    <w:p>
      <w:pPr>
        <w:pStyle w:val="TextBody"/>
        <w:bidi w:val="0"/>
        <w:spacing w:before="0" w:after="0"/>
        <w:jc w:val="left"/>
        <w:rPr>
          <w:color w:val="000000"/>
        </w:rPr>
      </w:pPr>
      <w:r>
        <w:rPr>
          <w:color w:val="000000"/>
        </w:rPr>
        <w:t> </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Lisata Therapeutics, Inc.</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P.O. Box 173</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Liberty Corner, NJ 07938</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Attention: David J. Mazzo and Tariq Imam</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with a copy (which shall not constitute notice):</w:t>
      </w:r>
    </w:p>
    <w:p>
      <w:pPr>
        <w:pStyle w:val="TextBody"/>
        <w:bidi w:val="0"/>
        <w:spacing w:before="0" w:after="0"/>
        <w:jc w:val="left"/>
        <w:rPr>
          <w:color w:val="000000"/>
        </w:rPr>
      </w:pPr>
      <w:r>
        <w:rPr>
          <w:color w:val="000000"/>
        </w:rPr>
        <w:t> </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Mintz, Levin, Cohn, Ferris, Glovsky and Popeo, P.C.</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919 Third Avenue</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New York, NY 10022</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Attention:  Jeffrey P. Schultz, Esq.</w:t>
      </w:r>
    </w:p>
    <w:p>
      <w:pPr>
        <w:pStyle w:val="TextBody"/>
        <w:bidi w:val="0"/>
        <w:spacing w:before="0" w:after="0"/>
        <w:ind w:left="360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00000"/>
          <w:sz w:val="20"/>
        </w:rPr>
        <w:t xml:space="preserve">ii.          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color w:val="000000"/>
          <w:sz w:val="20"/>
          <w:u w:val="single"/>
        </w:rPr>
        <w:t>Section 10(a)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Person may change the address to which notices and communications to it are to be addressed by notification as provided for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993" w:name="z_DV_M119"/>
      <w:bookmarkStart w:id="994" w:name="z_DV_M106"/>
      <w:bookmarkEnd w:id="993"/>
      <w:bookmarkEnd w:id="994"/>
      <w:r>
        <w:rPr>
          <w:rFonts w:ascii="Times New Roman" w:hAnsi="Times New Roman"/>
          <w:color w:val="000000"/>
          <w:sz w:val="20"/>
        </w:rPr>
        <w:t>(b)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Waiver</w:t>
      </w:r>
      <w:r>
        <w:rPr>
          <w:rFonts w:ascii="Times New Roman" w:hAnsi="Times New Roman"/>
          <w:color w:val="000000"/>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No failure or delay on the part of any party hereto in the exercise of any power, right or privilege under this Agreement shall operate as a waiver 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995" w:name="z_DV_M120"/>
      <w:bookmarkStart w:id="996" w:name="z_DV_M107"/>
      <w:bookmarkEnd w:id="995"/>
      <w:bookmarkEnd w:id="996"/>
      <w:r>
        <w:rPr>
          <w:rFonts w:ascii="Times New Roman" w:hAnsi="Times New Roman"/>
          <w:color w:val="000000"/>
          <w:sz w:val="20"/>
        </w:rPr>
        <w:t xml:space="preserve">(d)        </w:t>
      </w:r>
      <w:r>
        <w:rPr>
          <w:rFonts w:ascii="Times New Roman" w:hAnsi="Times New Roman"/>
          <w:color w:val="000000"/>
          <w:sz w:val="20"/>
          <w:u w:val="single"/>
        </w:rPr>
        <w:t>Governing Law</w:t>
      </w:r>
      <w:r>
        <w:rPr>
          <w:rFonts w:ascii="Times New Roman" w:hAnsi="Times New Roman"/>
          <w:color w:val="000000"/>
          <w:sz w:val="20"/>
        </w:rPr>
        <w:t xml:space="preserve">. The provisions of </w:t>
      </w:r>
      <w:r>
        <w:rPr>
          <w:rFonts w:ascii="Times New Roman" w:hAnsi="Times New Roman"/>
          <w:color w:val="000000"/>
          <w:sz w:val="20"/>
          <w:u w:val="single"/>
        </w:rPr>
        <w:t>Section 8.6</w:t>
      </w:r>
      <w:r>
        <w:rPr>
          <w:rFonts w:ascii="Times New Roman" w:hAnsi="Times New Roman"/>
          <w:color w:val="000000"/>
          <w:sz w:val="20"/>
        </w:rPr>
        <w:t xml:space="preserve"> of the Purchase Agreement are incorporated by reference herein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0"/>
        <w:jc w:val="both"/>
        <w:rPr/>
      </w:pPr>
      <w:r>
        <w:rPr/>
      </w:r>
      <w:bookmarkStart w:id="997" w:name="z_DV_M122"/>
      <w:bookmarkStart w:id="998" w:name="z_DV_M109"/>
      <w:bookmarkStart w:id="999" w:name="z_DV_M121"/>
      <w:bookmarkStart w:id="1000" w:name="z_DV_M108"/>
      <w:bookmarkStart w:id="1001" w:name="z_DV_M122"/>
      <w:bookmarkStart w:id="1002" w:name="z_DV_M109"/>
      <w:bookmarkStart w:id="1003" w:name="z_DV_M121"/>
      <w:bookmarkStart w:id="1004" w:name="z_DV_M108"/>
      <w:bookmarkEnd w:id="1001"/>
      <w:bookmarkEnd w:id="1002"/>
      <w:bookmarkEnd w:id="1003"/>
      <w:bookmarkEnd w:id="1004"/>
    </w:p>
    <w:p>
      <w:pPr>
        <w:pStyle w:val="TextBody"/>
        <w:bidi w:val="0"/>
        <w:spacing w:before="0" w:after="0"/>
        <w:ind w:left="0" w:right="0" w:firstLine="1440"/>
        <w:jc w:val="both"/>
        <w:rPr>
          <w:rFonts w:ascii="Times New Roman" w:hAnsi="Times New Roman"/>
          <w:color w:val="000000"/>
          <w:sz w:val="20"/>
        </w:rPr>
      </w:pPr>
      <w:bookmarkStart w:id="1005" w:name="z_DV_M123"/>
      <w:bookmarkStart w:id="1006" w:name="z_DV_M110"/>
      <w:bookmarkEnd w:id="1005"/>
      <w:bookmarkEnd w:id="1006"/>
      <w:r>
        <w:rPr>
          <w:rFonts w:ascii="Times New Roman" w:hAnsi="Times New Roman"/>
          <w:color w:val="000000"/>
          <w:sz w:val="20"/>
        </w:rPr>
        <w:t xml:space="preserve">(e)        </w:t>
      </w:r>
      <w:r>
        <w:rPr>
          <w:rFonts w:ascii="Times New Roman" w:hAnsi="Times New Roman"/>
          <w:color w:val="000000"/>
          <w:sz w:val="20"/>
          <w:u w:val="single"/>
        </w:rPr>
        <w:t>Integration</w:t>
      </w:r>
      <w:r>
        <w:rPr>
          <w:rFonts w:ascii="Times New Roman" w:hAnsi="Times New Roman"/>
          <w:color w:val="000000"/>
          <w:sz w:val="20"/>
        </w:rPr>
        <w:t>. This Agreement and the other Transaction Agreement (including all schedules and exhibits hereto and thereto) constitute the entire agreement among the parties hereto respecting the subject matter hereof and thereof and supersede all prior agreements, negotiations, understandings, representations and statements respecting the subject matter hereof and thereof, whether written or oral.</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Headings</w:t>
      </w:r>
      <w:r>
        <w:rPr>
          <w:rFonts w:ascii="Times New Roman" w:hAnsi="Times New Roman"/>
          <w:color w:val="000000"/>
          <w:sz w:val="20"/>
        </w:rPr>
        <w:t>. The titles, subtitles and headings in this Agreement are for convenience of reference and shall not form part of, or affect the interpretation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1007" w:name="z_DV_M111"/>
      <w:bookmarkEnd w:id="1007"/>
      <w:r>
        <w:rPr>
          <w:rFonts w:ascii="Times New Roman" w:hAnsi="Times New Roman"/>
          <w:color w:val="000000"/>
          <w:sz w:val="20"/>
        </w:rPr>
        <w:t xml:space="preserve">(g)         </w:t>
      </w:r>
      <w:r>
        <w:rPr>
          <w:rFonts w:ascii="Times New Roman" w:hAnsi="Times New Roman"/>
          <w:color w:val="000000"/>
          <w:sz w:val="20"/>
          <w:u w:val="single"/>
        </w:rPr>
        <w:t>Counterparts</w:t>
      </w:r>
      <w:r>
        <w:rPr>
          <w:rFonts w:ascii="Times New Roman" w:hAnsi="Times New Roman"/>
          <w:color w:val="000000"/>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1008" w:name="z_DV_M112"/>
      <w:bookmarkEnd w:id="1008"/>
      <w:r>
        <w:rPr>
          <w:rFonts w:ascii="Times New Roman" w:hAnsi="Times New Roman"/>
          <w:color w:val="000000"/>
          <w:sz w:val="20"/>
        </w:rPr>
        <w:t xml:space="preserve">(h)          </w:t>
      </w:r>
      <w:r>
        <w:rPr>
          <w:rFonts w:ascii="Times New Roman" w:hAnsi="Times New Roman"/>
          <w:color w:val="000000"/>
          <w:sz w:val="20"/>
          <w:u w:val="single"/>
        </w:rPr>
        <w:t>Further Assurances</w:t>
      </w:r>
      <w:r>
        <w:rPr>
          <w:rFonts w:ascii="Times New Roman" w:hAnsi="Times New Roman"/>
          <w:color w:val="000000"/>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Contract Interpretation</w:t>
      </w:r>
      <w:r>
        <w:rPr>
          <w:rFonts w:ascii="Times New Roman" w:hAnsi="Times New Roman"/>
          <w:color w:val="000000"/>
          <w:sz w:val="20"/>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1009" w:name="z_DV_M127"/>
      <w:bookmarkStart w:id="1010" w:name="z_DV_M114"/>
      <w:bookmarkEnd w:id="1009"/>
      <w:bookmarkEnd w:id="1010"/>
      <w:r>
        <w:rPr>
          <w:rFonts w:ascii="Times New Roman" w:hAnsi="Times New Roman"/>
          <w:color w:val="000000"/>
          <w:sz w:val="20"/>
        </w:rPr>
        <w:t>(j)          </w:t>
      </w:r>
      <w:r>
        <w:rPr>
          <w:rFonts w:ascii="Times New Roman" w:hAnsi="Times New Roman"/>
          <w:color w:val="000000"/>
          <w:sz w:val="20"/>
          <w:u w:val="single"/>
        </w:rPr>
        <w:t>No Third Party Beneficiaries</w:t>
      </w:r>
      <w:r>
        <w:rPr>
          <w:rFonts w:ascii="Times New Roman" w:hAnsi="Times New Roman"/>
          <w:color w:val="000000"/>
          <w:sz w:val="20"/>
        </w:rPr>
        <w:t xml:space="preserve">. Except as set forth in </w:t>
      </w:r>
      <w:r>
        <w:rPr>
          <w:rFonts w:ascii="Times New Roman" w:hAnsi="Times New Roman"/>
          <w:color w:val="000000"/>
          <w:sz w:val="20"/>
          <w:u w:val="single"/>
        </w:rPr>
        <w:t>Section 6</w:t>
      </w:r>
      <w:r>
        <w:rPr>
          <w:rFonts w:ascii="Times New Roman" w:hAnsi="Times New Roman"/>
          <w:color w:val="000000"/>
          <w:sz w:val="20"/>
        </w:rPr>
        <w:t xml:space="preserve"> and </w:t>
      </w:r>
      <w:r>
        <w:rPr>
          <w:rFonts w:ascii="Times New Roman" w:hAnsi="Times New Roman"/>
          <w:color w:val="000000"/>
          <w:sz w:val="20"/>
          <w:u w:val="single"/>
        </w:rPr>
        <w:t>Section 7</w:t>
      </w:r>
      <w:r>
        <w:rPr>
          <w:rFonts w:ascii="Times New Roman" w:hAnsi="Times New Roman"/>
          <w:color w:val="000000"/>
          <w:sz w:val="20"/>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Severability</w:t>
      </w:r>
      <w:r>
        <w:rPr>
          <w:rFonts w:ascii="Times New Roman" w:hAnsi="Times New Roman"/>
          <w:color w:val="000000"/>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Non-Recourse</w:t>
      </w:r>
      <w:r>
        <w:rPr>
          <w:rFonts w:ascii="Times New Roman" w:hAnsi="Times New Roman"/>
          <w:color w:val="000000"/>
          <w:sz w:val="20"/>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Specific Performance.</w:t>
      </w:r>
      <w:r>
        <w:rPr>
          <w:rFonts w:ascii="Times New Roman" w:hAnsi="Times New Roman"/>
          <w:color w:val="000000"/>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          </w:t>
      </w:r>
      <w:r>
        <w:rPr>
          <w:rFonts w:ascii="Times New Roman" w:hAnsi="Times New Roman"/>
          <w:color w:val="000000"/>
          <w:sz w:val="20"/>
          <w:u w:val="single"/>
        </w:rPr>
        <w:t>Cumulative Remedies</w:t>
      </w:r>
      <w:r>
        <w:rPr>
          <w:rFonts w:ascii="Times New Roman" w:hAnsi="Times New Roman"/>
          <w:color w:val="000000"/>
          <w:sz w:val="20"/>
        </w:rPr>
        <w:t>. The remedies provided herein are cumulative and not exclusive of any remedies provided by law.</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bookmarkStart w:id="1011" w:name="z_DV_M115"/>
      <w:bookmarkStart w:id="1012" w:name="z_DV_M128"/>
      <w:bookmarkEnd w:id="1011"/>
      <w:bookmarkEnd w:id="1012"/>
      <w:r>
        <w:rPr>
          <w:rFonts w:ascii="Times New Roman" w:hAnsi="Times New Roman"/>
          <w:i/>
          <w:color w:val="000000"/>
          <w:sz w:val="20"/>
        </w:rPr>
        <w:t>[Signature Page Follows]</w:t>
      </w:r>
    </w:p>
    <w:p>
      <w:pPr>
        <w:pStyle w:val="TextBody"/>
        <w:bidi w:val="0"/>
        <w:spacing w:before="0" w:after="0"/>
        <w:jc w:val="center"/>
        <w:rPr>
          <w:i/>
          <w:color w:val="000000"/>
        </w:rPr>
      </w:pPr>
      <w:r>
        <w:rPr>
          <w:i/>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xml:space="preserve"> the parties have caused this Registration Rights Agreement to be duly executed as of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13" w:name="z12c1cc878e774c7191e36850a8c987d2"/>
      <w:bookmarkStart w:id="1014" w:name="z12c1cc878e774c7191e36850a8c987d2"/>
      <w:bookmarkEnd w:id="1014"/>
    </w:p>
    <w:tbl>
      <w:tblPr>
        <w:tblW w:w="2404" w:type="dxa"/>
        <w:jc w:val="left"/>
        <w:tblInd w:w="0" w:type="dxa"/>
        <w:tblLayout w:type="fixed"/>
        <w:tblCellMar>
          <w:top w:w="0" w:type="dxa"/>
          <w:left w:w="0" w:type="dxa"/>
          <w:bottom w:w="0" w:type="dxa"/>
          <w:right w:w="0" w:type="dxa"/>
        </w:tblCellMar>
      </w:tblPr>
      <w:tblGrid>
        <w:gridCol w:w="60"/>
        <w:gridCol w:w="798"/>
        <w:gridCol w:w="1546"/>
      </w:tblGrid>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jc w:val="left"/>
              <w:rPr>
                <w:b/>
              </w:rPr>
            </w:pPr>
            <w:r>
              <w:rPr>
                <w:b/>
              </w:rPr>
              <w:t>COMPANY:</w:t>
            </w:r>
          </w:p>
        </w:tc>
      </w:tr>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jc w:val="left"/>
              <w:rPr/>
            </w:pPr>
            <w:r>
              <w:rPr/>
              <w:t>Lisata Therapeutics, Inc.</w:t>
            </w:r>
          </w:p>
        </w:tc>
      </w:tr>
      <w:tr>
        <w:trPr/>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0"/>
              <w:jc w:val="left"/>
              <w:rPr/>
            </w:pPr>
            <w:r>
              <w:rPr/>
              <w:t>By:</w:t>
            </w:r>
          </w:p>
        </w:tc>
        <w:tc>
          <w:tcPr>
            <w:tcW w:w="154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0"/>
              <w:jc w:val="left"/>
              <w:rPr/>
            </w:pPr>
            <w:r>
              <w:rPr/>
              <w:t>Name:</w:t>
            </w:r>
          </w:p>
        </w:tc>
      </w:tr>
      <w:tr>
        <w:trPr/>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0"/>
              <w:jc w:val="left"/>
              <w:rPr/>
            </w:pPr>
            <w:r>
              <w:rPr/>
              <w:t>Title:</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bookmarkStart w:id="1015" w:name="SWStart"/>
      <w:bookmarkEnd w:id="1015"/>
      <w:r>
        <w:rPr>
          <w:rFonts w:ascii="Times New Roman" w:hAnsi="Times New Roman"/>
          <w:i/>
          <w:color w:val="000000"/>
          <w:sz w:val="20"/>
        </w:rPr>
        <w:t>[Signature Page to Registration Rights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xml:space="preserve"> the parties have caused this Registration Rights Agreement to be duly executed as of date first written above.</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16" w:name="z3c8b3d0577aa480f88980ae32c61ff2c"/>
      <w:bookmarkStart w:id="1017" w:name="z3c8b3d0577aa480f88980ae32c61ff2c"/>
      <w:bookmarkEnd w:id="1017"/>
    </w:p>
    <w:tbl>
      <w:tblPr>
        <w:tblW w:w="1429" w:type="dxa"/>
        <w:jc w:val="left"/>
        <w:tblInd w:w="0" w:type="dxa"/>
        <w:tblLayout w:type="fixed"/>
        <w:tblCellMar>
          <w:top w:w="0" w:type="dxa"/>
          <w:left w:w="0" w:type="dxa"/>
          <w:bottom w:w="0" w:type="dxa"/>
          <w:right w:w="0" w:type="dxa"/>
        </w:tblCellMar>
      </w:tblPr>
      <w:tblGrid>
        <w:gridCol w:w="60"/>
        <w:gridCol w:w="1144"/>
        <w:gridCol w:w="225"/>
      </w:tblGrid>
      <w:tr>
        <w:trPr/>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0"/>
              <w:jc w:val="left"/>
              <w:rPr>
                <w:b/>
              </w:rPr>
            </w:pPr>
            <w:r>
              <w:rPr>
                <w:b/>
              </w:rPr>
              <w:t>INVESTOR:</w:t>
            </w:r>
          </w:p>
        </w:tc>
      </w:tr>
      <w:tr>
        <w:trPr/>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0"/>
              <w:jc w:val="left"/>
              <w:rPr>
                <w:b/>
              </w:rPr>
            </w:pPr>
            <w:r>
              <w:rPr>
                <w:b/>
              </w:rPr>
              <w:t>[NAME]</w:t>
            </w:r>
          </w:p>
        </w:tc>
      </w:tr>
      <w:tr>
        <w:trPr/>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0"/>
              <w:jc w:val="left"/>
              <w:rPr/>
            </w:pPr>
            <w:r>
              <w:rPr/>
              <w:t>By:</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8" w:name="z648d54e300e74cb1aa321d9760062e43"/>
      <w:bookmarkStart w:id="1019" w:name="z648d54e300e74cb1aa321d9760062e43"/>
      <w:bookmarkEnd w:id="1019"/>
    </w:p>
    <w:tbl>
      <w:tblPr>
        <w:tblW w:w="770" w:type="dxa"/>
        <w:jc w:val="left"/>
        <w:tblInd w:w="0" w:type="dxa"/>
        <w:tblLayout w:type="fixed"/>
        <w:tblCellMar>
          <w:top w:w="0" w:type="dxa"/>
          <w:left w:w="0" w:type="dxa"/>
          <w:bottom w:w="0" w:type="dxa"/>
          <w:right w:w="0" w:type="dxa"/>
        </w:tblCellMar>
      </w:tblPr>
      <w:tblGrid>
        <w:gridCol w:w="60"/>
        <w:gridCol w:w="650"/>
        <w:gridCol w:w="60"/>
      </w:tblGrid>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0" w:name="z0c1d22c01d4f4cf497d5d77d338ebeaf"/>
      <w:bookmarkStart w:id="1021" w:name="z0c1d22c01d4f4cf497d5d77d338ebeaf"/>
      <w:bookmarkEnd w:id="1021"/>
    </w:p>
    <w:tbl>
      <w:tblPr>
        <w:tblW w:w="635" w:type="dxa"/>
        <w:jc w:val="left"/>
        <w:tblInd w:w="0" w:type="dxa"/>
        <w:tblLayout w:type="fixed"/>
        <w:tblCellMar>
          <w:top w:w="0" w:type="dxa"/>
          <w:left w:w="0" w:type="dxa"/>
          <w:bottom w:w="0" w:type="dxa"/>
          <w:right w:w="0" w:type="dxa"/>
        </w:tblCellMar>
      </w:tblPr>
      <w:tblGrid>
        <w:gridCol w:w="60"/>
        <w:gridCol w:w="515"/>
        <w:gridCol w:w="60"/>
      </w:tblGrid>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pPr>
            <w:r>
              <w:rPr/>
              <w:t>Title: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to Registration Rights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bookmarkStart w:id="1022" w:name="toc496215_7"/>
      <w:bookmarkEnd w:id="1022"/>
      <w:r>
        <w:rPr>
          <w:rFonts w:ascii="Times New Roman" w:hAnsi="Times New Roman"/>
          <w:b/>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PLAN OF DISTRIBUTION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selling stockholders may use any one or more of the following methods when disposing of shares or interests therein: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3" w:name="z3b25de9401a448d8bf08ec940bff3e96"/>
      <w:bookmarkStart w:id="1024" w:name="z3b25de9401a448d8bf08ec940bff3e96"/>
      <w:bookmarkEnd w:id="1024"/>
    </w:p>
    <w:tbl>
      <w:tblPr>
        <w:tblW w:w="9378" w:type="dxa"/>
        <w:jc w:val="left"/>
        <w:tblInd w:w="0" w:type="dxa"/>
        <w:tblLayout w:type="fixed"/>
        <w:tblCellMar>
          <w:top w:w="0" w:type="dxa"/>
          <w:left w:w="0" w:type="dxa"/>
          <w:bottom w:w="0" w:type="dxa"/>
          <w:right w:w="0" w:type="dxa"/>
        </w:tblCellMar>
      </w:tblPr>
      <w:tblGrid>
        <w:gridCol w:w="38"/>
        <w:gridCol w:w="110"/>
        <w:gridCol w:w="92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230" w:type="dxa"/>
            <w:tcBorders/>
            <w:vAlign w:val="center"/>
          </w:tcPr>
          <w:p>
            <w:pPr>
              <w:pStyle w:val="TableContents"/>
              <w:bidi w:val="0"/>
              <w:spacing w:before="0" w:after="0"/>
              <w:jc w:val="left"/>
              <w:rPr>
                <w:color w:val="000000"/>
              </w:rPr>
            </w:pPr>
            <w:r>
              <w:rPr>
                <w:color w:val="000000"/>
              </w:rPr>
              <w:t>distributions to members, partners, stockholders or other equityholders of the selling stockholders;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5" w:name="z37a68d58cd054100800f9faa62db7962"/>
      <w:bookmarkStart w:id="1026" w:name="z37a68d58cd054100800f9faa62db7962"/>
      <w:bookmarkEnd w:id="1026"/>
    </w:p>
    <w:tbl>
      <w:tblPr>
        <w:tblW w:w="9108" w:type="dxa"/>
        <w:jc w:val="left"/>
        <w:tblInd w:w="0" w:type="dxa"/>
        <w:tblLayout w:type="fixed"/>
        <w:tblCellMar>
          <w:top w:w="0" w:type="dxa"/>
          <w:left w:w="0" w:type="dxa"/>
          <w:bottom w:w="0" w:type="dxa"/>
          <w:right w:w="0" w:type="dxa"/>
        </w:tblCellMar>
      </w:tblPr>
      <w:tblGrid>
        <w:gridCol w:w="38"/>
        <w:gridCol w:w="110"/>
        <w:gridCol w:w="8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60" w:type="dxa"/>
            <w:tcBorders/>
            <w:vAlign w:val="center"/>
          </w:tcPr>
          <w:p>
            <w:pPr>
              <w:pStyle w:val="TableContents"/>
              <w:bidi w:val="0"/>
              <w:spacing w:before="0" w:after="0"/>
              <w:jc w:val="left"/>
              <w:rPr>
                <w:color w:val="000000"/>
              </w:rPr>
            </w:pPr>
            <w:r>
              <w:rPr>
                <w:color w:val="000000"/>
              </w:rPr>
              <w:t>ordinary brokerage transactions and transactions in which the broker-dealer solicits purchasers;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7" w:name="z77f5656d5eb64bdb914daf993f95a2dc"/>
      <w:bookmarkStart w:id="1028" w:name="z77f5656d5eb64bdb914daf993f95a2dc"/>
      <w:bookmarkEnd w:id="10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block trades in which the broker-dealer will attempt to sell the shares as agent, but may position and resell a portion of the block as principal to facilitate the transaction;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9" w:name="zbc48e797d80a4c2aab24b05c5d8942c5"/>
      <w:bookmarkStart w:id="1030" w:name="zbc48e797d80a4c2aab24b05c5d8942c5"/>
      <w:bookmarkEnd w:id="1030"/>
    </w:p>
    <w:tbl>
      <w:tblPr>
        <w:tblW w:w="8463" w:type="dxa"/>
        <w:jc w:val="left"/>
        <w:tblInd w:w="0" w:type="dxa"/>
        <w:tblLayout w:type="fixed"/>
        <w:tblCellMar>
          <w:top w:w="0" w:type="dxa"/>
          <w:left w:w="0" w:type="dxa"/>
          <w:bottom w:w="0" w:type="dxa"/>
          <w:right w:w="0" w:type="dxa"/>
        </w:tblCellMar>
      </w:tblPr>
      <w:tblGrid>
        <w:gridCol w:w="38"/>
        <w:gridCol w:w="110"/>
        <w:gridCol w:w="83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15" w:type="dxa"/>
            <w:tcBorders/>
            <w:vAlign w:val="center"/>
          </w:tcPr>
          <w:p>
            <w:pPr>
              <w:pStyle w:val="TableContents"/>
              <w:bidi w:val="0"/>
              <w:spacing w:before="0" w:after="0"/>
              <w:jc w:val="left"/>
              <w:rPr>
                <w:color w:val="000000"/>
              </w:rPr>
            </w:pPr>
            <w:r>
              <w:rPr>
                <w:color w:val="000000"/>
              </w:rPr>
              <w:t>purchases by a broker-dealer as principal and resale by the broker-dealer for its account;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1" w:name="zf14e4a2b5e2f498e9c8d98c10823ee2b"/>
      <w:bookmarkStart w:id="1032" w:name="zf14e4a2b5e2f498e9c8d98c10823ee2b"/>
      <w:bookmarkEnd w:id="1032"/>
    </w:p>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685" w:type="dxa"/>
            <w:tcBorders/>
            <w:vAlign w:val="center"/>
          </w:tcPr>
          <w:p>
            <w:pPr>
              <w:pStyle w:val="TableContents"/>
              <w:bidi w:val="0"/>
              <w:spacing w:before="0" w:after="0"/>
              <w:jc w:val="left"/>
              <w:rPr>
                <w:color w:val="000000"/>
              </w:rPr>
            </w:pPr>
            <w:r>
              <w:rPr>
                <w:color w:val="000000"/>
              </w:rPr>
              <w:t>an exchange distribution in accordance with the rules of the applicable exchange;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3" w:name="z0c7b55a24a9043bfbe01974500fca9ce"/>
      <w:bookmarkStart w:id="1034" w:name="z0c7b55a24a9043bfbe01974500fca9ce"/>
      <w:bookmarkEnd w:id="1034"/>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125" w:type="dxa"/>
            <w:tcBorders/>
            <w:vAlign w:val="center"/>
          </w:tcPr>
          <w:p>
            <w:pPr>
              <w:pStyle w:val="TableContents"/>
              <w:bidi w:val="0"/>
              <w:spacing w:before="0" w:after="0"/>
              <w:jc w:val="left"/>
              <w:rPr>
                <w:color w:val="000000"/>
              </w:rPr>
            </w:pPr>
            <w:r>
              <w:rPr>
                <w:color w:val="000000"/>
              </w:rPr>
              <w:t>privately negotiated transactions;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5" w:name="ze3900126f8e94b84b4c2a8ce783ccfec"/>
      <w:bookmarkStart w:id="1036" w:name="ze3900126f8e94b84b4c2a8ce783ccfec"/>
      <w:bookmarkEnd w:id="10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short sales and settlement of short sales entered into after the effective date of the registration statement of which this prospectus is a part;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7" w:name="zf804155c5e6e4388a289d53d963fd98e"/>
      <w:bookmarkStart w:id="1038" w:name="zf804155c5e6e4388a289d53d963fd98e"/>
      <w:bookmarkEnd w:id="10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through the writing or settlement of options or other hedging transactions, whether through an options exchange or otherwise;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9" w:name="z7617bb91b67648e1a932301de766a412"/>
      <w:bookmarkStart w:id="1040" w:name="z7617bb91b67648e1a932301de766a412"/>
      <w:bookmarkEnd w:id="104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broker-dealers may agree with the selling stockholders to sell a specified number of such shares at a stipulated price per share;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1" w:name="zf4fb88c114c7448294e2d8a5e8d653bb"/>
      <w:bookmarkStart w:id="1042" w:name="zf4fb88c114c7448294e2d8a5e8d653bb"/>
      <w:bookmarkEnd w:id="1042"/>
    </w:p>
    <w:tbl>
      <w:tblPr>
        <w:tblW w:w="4668" w:type="dxa"/>
        <w:jc w:val="left"/>
        <w:tblInd w:w="0" w:type="dxa"/>
        <w:tblLayout w:type="fixed"/>
        <w:tblCellMar>
          <w:top w:w="0" w:type="dxa"/>
          <w:left w:w="0" w:type="dxa"/>
          <w:bottom w:w="0" w:type="dxa"/>
          <w:right w:w="0" w:type="dxa"/>
        </w:tblCellMar>
      </w:tblPr>
      <w:tblGrid>
        <w:gridCol w:w="38"/>
        <w:gridCol w:w="110"/>
        <w:gridCol w:w="4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520" w:type="dxa"/>
            <w:tcBorders/>
            <w:vAlign w:val="center"/>
          </w:tcPr>
          <w:p>
            <w:pPr>
              <w:pStyle w:val="TableContents"/>
              <w:bidi w:val="0"/>
              <w:spacing w:before="0" w:after="0"/>
              <w:jc w:val="left"/>
              <w:rPr>
                <w:color w:val="000000"/>
              </w:rPr>
            </w:pPr>
            <w:r>
              <w:rPr>
                <w:color w:val="000000"/>
              </w:rPr>
              <w:t>a combination of any such methods of sale;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3" w:name="z6021ea3194c74abbb7b6926fd5aa960f"/>
      <w:bookmarkStart w:id="1044" w:name="z6021ea3194c74abbb7b6926fd5aa960f"/>
      <w:bookmarkEnd w:id="1044"/>
    </w:p>
    <w:tbl>
      <w:tblPr>
        <w:tblW w:w="5373" w:type="dxa"/>
        <w:jc w:val="left"/>
        <w:tblInd w:w="0" w:type="dxa"/>
        <w:tblLayout w:type="fixed"/>
        <w:tblCellMar>
          <w:top w:w="0" w:type="dxa"/>
          <w:left w:w="0" w:type="dxa"/>
          <w:bottom w:w="0" w:type="dxa"/>
          <w:right w:w="0" w:type="dxa"/>
        </w:tblCellMar>
      </w:tblPr>
      <w:tblGrid>
        <w:gridCol w:w="38"/>
        <w:gridCol w:w="110"/>
        <w:gridCol w:w="52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25" w:type="dxa"/>
            <w:tcBorders/>
            <w:vAlign w:val="center"/>
          </w:tcPr>
          <w:p>
            <w:pPr>
              <w:pStyle w:val="TableContents"/>
              <w:bidi w:val="0"/>
              <w:spacing w:before="0" w:after="0"/>
              <w:jc w:val="left"/>
              <w:rPr>
                <w:color w:val="000000"/>
              </w:rPr>
            </w:pPr>
            <w:r>
              <w:rPr>
                <w:color w:val="000000"/>
              </w:rPr>
              <w:t>any other method permitted pursuant to applicable law.</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Investor Questionnaire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provides the following information to the Company and represents and warrants that such information is accurate: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QUESTIONNAIRE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5" w:name="z6b1f3b91f05d463ebc9ff0c960f2ceb8"/>
      <w:bookmarkStart w:id="1046" w:name="z6b1f3b91f05d463ebc9ff0c960f2ceb8"/>
      <w:bookmarkEnd w:id="1046"/>
    </w:p>
    <w:tbl>
      <w:tblPr>
        <w:tblW w:w="910" w:type="dxa"/>
        <w:jc w:val="left"/>
        <w:tblInd w:w="0" w:type="dxa"/>
        <w:tblLayout w:type="fixed"/>
        <w:tblCellMar>
          <w:top w:w="0" w:type="dxa"/>
          <w:left w:w="0" w:type="dxa"/>
          <w:bottom w:w="0" w:type="dxa"/>
          <w:right w:w="0" w:type="dxa"/>
        </w:tblCellMar>
      </w:tblPr>
      <w:tblGrid>
        <w:gridCol w:w="215"/>
        <w:gridCol w:w="695"/>
      </w:tblGrid>
      <w:tr>
        <w:trPr/>
        <w:tc>
          <w:tcPr>
            <w:tcW w:w="215" w:type="dxa"/>
            <w:tcBorders/>
            <w:vAlign w:val="center"/>
          </w:tcPr>
          <w:p>
            <w:pPr>
              <w:pStyle w:val="TableContents"/>
              <w:bidi w:val="0"/>
              <w:spacing w:before="0" w:after="283"/>
              <w:jc w:val="left"/>
              <w:rPr>
                <w:b/>
              </w:rPr>
            </w:pPr>
            <w:r>
              <w:rPr>
                <w:b/>
              </w:rPr>
              <w:t>1.</w:t>
            </w:r>
          </w:p>
        </w:tc>
        <w:tc>
          <w:tcPr>
            <w:tcW w:w="695" w:type="dxa"/>
            <w:tcBorders/>
            <w:vAlign w:val="center"/>
          </w:tcPr>
          <w:p>
            <w:pPr>
              <w:pStyle w:val="TableContents"/>
              <w:bidi w:val="0"/>
              <w:spacing w:before="0" w:after="0"/>
              <w:jc w:val="left"/>
              <w:rPr>
                <w:b/>
              </w:rPr>
            </w:pPr>
            <w:r>
              <w:rPr>
                <w:b/>
              </w:rPr>
              <w:t>Name.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7" w:name="z197f091cc24d4dbf9d73afad9359b157"/>
      <w:bookmarkStart w:id="1048" w:name="z197f091cc24d4dbf9d73afad9359b157"/>
      <w:bookmarkEnd w:id="1048"/>
    </w:p>
    <w:tbl>
      <w:tblPr>
        <w:tblW w:w="3033" w:type="dxa"/>
        <w:jc w:val="left"/>
        <w:tblInd w:w="0" w:type="dxa"/>
        <w:tblLayout w:type="fixed"/>
        <w:tblCellMar>
          <w:top w:w="0" w:type="dxa"/>
          <w:left w:w="0" w:type="dxa"/>
          <w:bottom w:w="0" w:type="dxa"/>
          <w:right w:w="0" w:type="dxa"/>
        </w:tblCellMar>
      </w:tblPr>
      <w:tblGrid>
        <w:gridCol w:w="38"/>
        <w:gridCol w:w="275"/>
        <w:gridCol w:w="272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2720" w:type="dxa"/>
            <w:tcBorders/>
            <w:vAlign w:val="center"/>
          </w:tcPr>
          <w:p>
            <w:pPr>
              <w:pStyle w:val="TableContents"/>
              <w:bidi w:val="0"/>
              <w:spacing w:before="0" w:after="0"/>
              <w:jc w:val="both"/>
              <w:rPr/>
            </w:pPr>
            <w:r>
              <w:rPr/>
              <w:t>Full Legal Name of Investor</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1049" w:name="z7717413b0d594940a79978165fa060e3"/>
      <w:bookmarkStart w:id="1050" w:name="z7717413b0d594940a79978165fa060e3"/>
      <w:bookmarkEnd w:id="1050"/>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1051" w:name="z502bc960062046c3ba96593f71b35ca0"/>
      <w:bookmarkStart w:id="1052" w:name="z502bc960062046c3ba96593f71b35ca0"/>
      <w:bookmarkEnd w:id="1052"/>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0"/>
              <w:jc w:val="both"/>
              <w:rPr/>
            </w:pPr>
            <w:r>
              <w:rPr/>
              <w:t>Full Legal Name of Registered Holder (if not the same as (a) above) through which Registrable Securities are held:</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1053" w:name="z87a6eced55734fec8638da5af18423d7"/>
      <w:bookmarkStart w:id="1054" w:name="z87a6eced55734fec8638da5af18423d7"/>
      <w:bookmarkEnd w:id="1054"/>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1055" w:name="z0a15b1bfe6904d88ad03d017640bc53d"/>
      <w:bookmarkStart w:id="1056" w:name="z0a15b1bfe6904d88ad03d017640bc53d"/>
      <w:bookmarkEnd w:id="1056"/>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0"/>
              <w:jc w:val="both"/>
              <w:rPr/>
            </w:pPr>
            <w:r>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1057" w:name="z6ea19ef968694f77b50b77446d34d161"/>
      <w:bookmarkStart w:id="1058" w:name="z6ea19ef968694f77b50b77446d34d161"/>
      <w:bookmarkEnd w:id="1058"/>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1059" w:name="za77b2d0fb4fc417ab262c43524fba35f"/>
      <w:bookmarkStart w:id="1060" w:name="za77b2d0fb4fc417ab262c43524fba35f"/>
      <w:bookmarkEnd w:id="1060"/>
    </w:p>
    <w:tbl>
      <w:tblPr>
        <w:tblW w:w="3475" w:type="dxa"/>
        <w:jc w:val="left"/>
        <w:tblInd w:w="0" w:type="dxa"/>
        <w:tblLayout w:type="fixed"/>
        <w:tblCellMar>
          <w:top w:w="0" w:type="dxa"/>
          <w:left w:w="0" w:type="dxa"/>
          <w:bottom w:w="0" w:type="dxa"/>
          <w:right w:w="0" w:type="dxa"/>
        </w:tblCellMar>
      </w:tblPr>
      <w:tblGrid>
        <w:gridCol w:w="215"/>
        <w:gridCol w:w="3260"/>
      </w:tblGrid>
      <w:tr>
        <w:trPr/>
        <w:tc>
          <w:tcPr>
            <w:tcW w:w="215" w:type="dxa"/>
            <w:tcBorders/>
            <w:vAlign w:val="center"/>
          </w:tcPr>
          <w:p>
            <w:pPr>
              <w:pStyle w:val="TableContents"/>
              <w:bidi w:val="0"/>
              <w:spacing w:before="0" w:after="0"/>
              <w:jc w:val="left"/>
              <w:rPr>
                <w:b/>
              </w:rPr>
            </w:pPr>
            <w:r>
              <w:rPr>
                <w:b/>
              </w:rPr>
              <w:t>2.</w:t>
            </w:r>
          </w:p>
        </w:tc>
        <w:tc>
          <w:tcPr>
            <w:tcW w:w="3260" w:type="dxa"/>
            <w:tcBorders/>
            <w:vAlign w:val="center"/>
          </w:tcPr>
          <w:p>
            <w:pPr>
              <w:pStyle w:val="TableContents"/>
              <w:bidi w:val="0"/>
              <w:spacing w:before="0" w:after="0"/>
              <w:ind w:left="1440" w:right="0" w:hanging="1440"/>
              <w:jc w:val="left"/>
              <w:rPr>
                <w:b/>
              </w:rPr>
            </w:pPr>
            <w:r>
              <w:rPr>
                <w:b/>
              </w:rPr>
              <w:t>Address for Notices to Investor: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1" w:name="z9a0bcb70c9b04b0499dbeb9915307028"/>
      <w:bookmarkStart w:id="1062" w:name="z9a0bcb70c9b04b0499dbeb9915307028"/>
      <w:bookmarkEnd w:id="1062"/>
    </w:p>
    <w:tbl>
      <w:tblPr>
        <w:tblW w:w="1115" w:type="dxa"/>
        <w:jc w:val="left"/>
        <w:tblInd w:w="0" w:type="dxa"/>
        <w:tblLayout w:type="fixed"/>
        <w:tblCellMar>
          <w:top w:w="0" w:type="dxa"/>
          <w:left w:w="0" w:type="dxa"/>
          <w:bottom w:w="28" w:type="dxa"/>
          <w:right w:w="0" w:type="dxa"/>
        </w:tblCellMar>
      </w:tblPr>
      <w:tblGrid>
        <w:gridCol w:w="1115"/>
      </w:tblGrid>
      <w:tr>
        <w:trPr/>
        <w:tc>
          <w:tcPr>
            <w:tcW w:w="1115" w:type="dxa"/>
            <w:tcBorders>
              <w:bottom w:val="single" w:sz="12" w:space="0" w:color="000000"/>
            </w:tcBorders>
            <w:vAlign w:val="center"/>
          </w:tcPr>
          <w:p>
            <w:pPr>
              <w:pStyle w:val="TableContents"/>
              <w:bidi w:val="0"/>
              <w:spacing w:before="0" w:after="283"/>
              <w:jc w:val="left"/>
              <w:rPr/>
            </w:pPr>
            <w:r>
              <w:rPr/>
              <w:t> </w:t>
            </w:r>
          </w:p>
        </w:tc>
      </w:tr>
      <w:tr>
        <w:trPr/>
        <w:tc>
          <w:tcPr>
            <w:tcW w:w="1115" w:type="dxa"/>
            <w:tcBorders>
              <w:bottom w:val="single" w:sz="12" w:space="0" w:color="000000"/>
            </w:tcBorders>
            <w:vAlign w:val="center"/>
          </w:tcPr>
          <w:p>
            <w:pPr>
              <w:pStyle w:val="TableContents"/>
              <w:bidi w:val="0"/>
              <w:spacing w:before="0" w:after="283"/>
              <w:jc w:val="left"/>
              <w:rPr/>
            </w:pPr>
            <w:r>
              <w:rPr/>
              <w:t> </w:t>
            </w:r>
          </w:p>
        </w:tc>
      </w:tr>
      <w:tr>
        <w:trPr/>
        <w:tc>
          <w:tcPr>
            <w:tcW w:w="1115" w:type="dxa"/>
            <w:tcBorders>
              <w:bottom w:val="single" w:sz="12" w:space="0" w:color="000000"/>
            </w:tcBorders>
            <w:vAlign w:val="center"/>
          </w:tcPr>
          <w:p>
            <w:pPr>
              <w:pStyle w:val="TableContents"/>
              <w:bidi w:val="0"/>
              <w:spacing w:before="0" w:after="283"/>
              <w:jc w:val="left"/>
              <w:rPr/>
            </w:pPr>
            <w:r>
              <w:rPr/>
              <w:t> </w:t>
            </w:r>
          </w:p>
        </w:tc>
      </w:tr>
      <w:tr>
        <w:trPr/>
        <w:tc>
          <w:tcPr>
            <w:tcW w:w="1115" w:type="dxa"/>
            <w:tcBorders/>
            <w:tcMar>
              <w:bottom w:w="0" w:type="dxa"/>
            </w:tcMar>
            <w:vAlign w:val="center"/>
          </w:tcPr>
          <w:p>
            <w:pPr>
              <w:pStyle w:val="TableContents"/>
              <w:bidi w:val="0"/>
              <w:spacing w:before="0" w:after="0"/>
              <w:jc w:val="left"/>
              <w:rPr/>
            </w:pPr>
            <w:r>
              <w:rPr/>
              <w:t>Telephone:</w:t>
            </w:r>
          </w:p>
        </w:tc>
      </w:tr>
      <w:tr>
        <w:trPr/>
        <w:tc>
          <w:tcPr>
            <w:tcW w:w="111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3" w:name="z6754eb8c41194337b1a5df219c353b60"/>
      <w:bookmarkStart w:id="1064" w:name="z6754eb8c41194337b1a5df219c353b60"/>
      <w:bookmarkEnd w:id="1064"/>
    </w:p>
    <w:tbl>
      <w:tblPr>
        <w:tblW w:w="1519" w:type="dxa"/>
        <w:jc w:val="left"/>
        <w:tblInd w:w="0" w:type="dxa"/>
        <w:tblLayout w:type="fixed"/>
        <w:tblCellMar>
          <w:top w:w="0" w:type="dxa"/>
          <w:left w:w="0" w:type="dxa"/>
          <w:bottom w:w="0" w:type="dxa"/>
          <w:right w:w="0" w:type="dxa"/>
        </w:tblCellMar>
      </w:tblPr>
      <w:tblGrid>
        <w:gridCol w:w="1321"/>
        <w:gridCol w:w="99"/>
        <w:gridCol w:w="99"/>
      </w:tblGrid>
      <w:tr>
        <w:trPr/>
        <w:tc>
          <w:tcPr>
            <w:tcW w:w="1321" w:type="dxa"/>
            <w:tcBorders/>
            <w:vAlign w:val="center"/>
          </w:tcPr>
          <w:p>
            <w:pPr>
              <w:pStyle w:val="TableContents"/>
              <w:bidi w:val="0"/>
              <w:spacing w:before="0" w:after="0"/>
              <w:jc w:val="left"/>
              <w:rPr/>
            </w:pPr>
            <w:r>
              <w:rPr/>
              <w:t xml:space="preserve">E-Mail: </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519" w:type="dxa"/>
            <w:gridSpan w:val="3"/>
            <w:tcBorders/>
            <w:vAlign w:val="center"/>
          </w:tcPr>
          <w:p>
            <w:pPr>
              <w:pStyle w:val="TableContents"/>
              <w:bidi w:val="0"/>
              <w:spacing w:before="0" w:after="283"/>
              <w:jc w:val="left"/>
              <w:rPr/>
            </w:pPr>
            <w:r>
              <w:rPr/>
              <w:t> </w:t>
            </w:r>
          </w:p>
        </w:tc>
      </w:tr>
      <w:tr>
        <w:trPr/>
        <w:tc>
          <w:tcPr>
            <w:tcW w:w="1519" w:type="dxa"/>
            <w:gridSpan w:val="3"/>
            <w:tcBorders/>
            <w:vAlign w:val="center"/>
          </w:tcPr>
          <w:p>
            <w:pPr>
              <w:pStyle w:val="TableContents"/>
              <w:bidi w:val="0"/>
              <w:spacing w:before="0" w:after="0"/>
              <w:jc w:val="left"/>
              <w:rPr/>
            </w:pPr>
            <w:r>
              <w:rPr/>
              <w:t>Contact Person:</w:t>
            </w:r>
          </w:p>
        </w:tc>
      </w:tr>
      <w:tr>
        <w:trPr/>
        <w:tc>
          <w:tcPr>
            <w:tcW w:w="1519" w:type="dxa"/>
            <w:gridSpan w:val="3"/>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65" w:name="ze834804749ae4a1ab777d245d8b50b18"/>
      <w:bookmarkStart w:id="1066" w:name="ze834804749ae4a1ab777d245d8b50b18"/>
      <w:bookmarkEnd w:id="1066"/>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0"/>
              <w:jc w:val="left"/>
              <w:rPr>
                <w:b/>
              </w:rPr>
            </w:pPr>
            <w:r>
              <w:rPr>
                <w:b/>
              </w:rPr>
              <w:t>3.</w:t>
            </w:r>
          </w:p>
        </w:tc>
        <w:tc>
          <w:tcPr>
            <w:tcW w:w="2285" w:type="dxa"/>
            <w:tcBorders/>
            <w:vAlign w:val="center"/>
          </w:tcPr>
          <w:p>
            <w:pPr>
              <w:pStyle w:val="TableContents"/>
              <w:bidi w:val="0"/>
              <w:spacing w:before="0" w:after="0"/>
              <w:ind w:left="1440" w:right="0" w:hanging="1440"/>
              <w:jc w:val="left"/>
              <w:rPr>
                <w:b/>
              </w:rPr>
            </w:pPr>
            <w:r>
              <w:rPr>
                <w:b/>
              </w:rPr>
              <w:t>Broker-Dealer Status: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7" w:name="z57b943c2248840f89b3594b7a87818c0"/>
      <w:bookmarkStart w:id="1068" w:name="z57b943c2248840f89b3594b7a87818c0"/>
      <w:bookmarkEnd w:id="1068"/>
    </w:p>
    <w:tbl>
      <w:tblPr>
        <w:tblW w:w="2718" w:type="dxa"/>
        <w:jc w:val="left"/>
        <w:tblInd w:w="0" w:type="dxa"/>
        <w:tblLayout w:type="fixed"/>
        <w:tblCellMar>
          <w:top w:w="0" w:type="dxa"/>
          <w:left w:w="0" w:type="dxa"/>
          <w:bottom w:w="0" w:type="dxa"/>
          <w:right w:w="0" w:type="dxa"/>
        </w:tblCellMar>
      </w:tblPr>
      <w:tblGrid>
        <w:gridCol w:w="38"/>
        <w:gridCol w:w="275"/>
        <w:gridCol w:w="24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2405" w:type="dxa"/>
            <w:tcBorders/>
            <w:vAlign w:val="center"/>
          </w:tcPr>
          <w:p>
            <w:pPr>
              <w:pStyle w:val="TableContents"/>
              <w:bidi w:val="0"/>
              <w:spacing w:before="0" w:after="0"/>
              <w:jc w:val="both"/>
              <w:rPr/>
            </w:pPr>
            <w:r>
              <w:rPr/>
              <w:t>Are you a broker-dealer?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9" w:name="zd3b2c56ba3d94d12910438aaef05d968"/>
      <w:bookmarkStart w:id="1070" w:name="zd3b2c56ba3d94d12910438aaef05d968"/>
      <w:bookmarkEnd w:id="1070"/>
    </w:p>
    <w:tbl>
      <w:tblPr>
        <w:tblW w:w="1375" w:type="dxa"/>
        <w:jc w:val="center"/>
        <w:tblInd w:w="0" w:type="dxa"/>
        <w:tblLayout w:type="fixed"/>
        <w:tblCellMar>
          <w:top w:w="0" w:type="dxa"/>
          <w:left w:w="0" w:type="dxa"/>
          <w:bottom w:w="0" w:type="dxa"/>
          <w:right w:w="0" w:type="dxa"/>
        </w:tblCellMar>
      </w:tblPr>
      <w:tblGrid>
        <w:gridCol w:w="725"/>
        <w:gridCol w:w="650"/>
      </w:tblGrid>
      <w:tr>
        <w:trPr/>
        <w:tc>
          <w:tcPr>
            <w:tcW w:w="725" w:type="dxa"/>
            <w:tcBorders/>
            <w:vAlign w:val="center"/>
          </w:tcPr>
          <w:p>
            <w:pPr>
              <w:pStyle w:val="TableContents"/>
              <w:bidi w:val="0"/>
              <w:spacing w:before="0" w:after="0"/>
              <w:jc w:val="both"/>
              <w:rPr/>
            </w:pPr>
            <w:r>
              <w:rPr/>
              <w:t>Yes  ☐</w:t>
            </w:r>
          </w:p>
        </w:tc>
        <w:tc>
          <w:tcPr>
            <w:tcW w:w="650"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71" w:name="z2fea11c71bad40958c6008c8ed209475"/>
      <w:bookmarkStart w:id="1072" w:name="z2fea11c71bad40958c6008c8ed209475"/>
      <w:bookmarkEnd w:id="1072"/>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both"/>
              <w:rPr/>
            </w:pPr>
            <w:r>
              <w:rPr/>
              <w:t>If “yes” to Section 3(a), did you receive your Registrable Securities as compensation for investment banking services to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3" w:name="z9d67090dd0d748ed945c13d34554aae5"/>
      <w:bookmarkStart w:id="1074" w:name="z9d67090dd0d748ed945c13d34554aae5"/>
      <w:bookmarkEnd w:id="1074"/>
    </w:p>
    <w:tbl>
      <w:tblPr>
        <w:tblW w:w="1405" w:type="dxa"/>
        <w:jc w:val="center"/>
        <w:tblInd w:w="0" w:type="dxa"/>
        <w:tblLayout w:type="fixed"/>
        <w:tblCellMar>
          <w:top w:w="0" w:type="dxa"/>
          <w:left w:w="0" w:type="dxa"/>
          <w:bottom w:w="0" w:type="dxa"/>
          <w:right w:w="0" w:type="dxa"/>
        </w:tblCellMar>
      </w:tblPr>
      <w:tblGrid>
        <w:gridCol w:w="740"/>
        <w:gridCol w:w="665"/>
      </w:tblGrid>
      <w:tr>
        <w:trPr/>
        <w:tc>
          <w:tcPr>
            <w:tcW w:w="740" w:type="dxa"/>
            <w:tcBorders/>
            <w:vAlign w:val="center"/>
          </w:tcPr>
          <w:p>
            <w:pPr>
              <w:pStyle w:val="TableContents"/>
              <w:bidi w:val="0"/>
              <w:spacing w:before="0" w:after="0"/>
              <w:jc w:val="both"/>
              <w:rPr/>
            </w:pPr>
            <w:r>
              <w:rPr/>
              <w:t>Yes  ☐</w:t>
            </w:r>
          </w:p>
        </w:tc>
        <w:tc>
          <w:tcPr>
            <w:tcW w:w="665"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75" w:name="zf277b5306a8c4950a440584dd225024d"/>
      <w:bookmarkStart w:id="1076" w:name="zf277b5306a8c4950a440584dd225024d"/>
      <w:bookmarkEnd w:id="1076"/>
    </w:p>
    <w:tbl>
      <w:tblPr>
        <w:tblW w:w="10205" w:type="dxa"/>
        <w:jc w:val="left"/>
        <w:tblInd w:w="0" w:type="dxa"/>
        <w:tblLayout w:type="fixed"/>
        <w:tblCellMar>
          <w:top w:w="0" w:type="dxa"/>
          <w:left w:w="0" w:type="dxa"/>
          <w:bottom w:w="0" w:type="dxa"/>
          <w:right w:w="0" w:type="dxa"/>
        </w:tblCellMar>
      </w:tblPr>
      <w:tblGrid>
        <w:gridCol w:w="38"/>
        <w:gridCol w:w="527"/>
        <w:gridCol w:w="9640"/>
      </w:tblGrid>
      <w:tr>
        <w:trPr/>
        <w:tc>
          <w:tcPr>
            <w:tcW w:w="38" w:type="dxa"/>
            <w:tcBorders/>
            <w:vAlign w:val="center"/>
          </w:tcPr>
          <w:p>
            <w:pPr>
              <w:pStyle w:val="TableContents"/>
              <w:bidi w:val="0"/>
              <w:spacing w:before="0" w:after="283"/>
              <w:jc w:val="left"/>
              <w:rPr/>
            </w:pPr>
            <w:r>
              <w:rPr/>
            </w:r>
          </w:p>
        </w:tc>
        <w:tc>
          <w:tcPr>
            <w:tcW w:w="527" w:type="dxa"/>
            <w:tcBorders/>
            <w:vAlign w:val="center"/>
          </w:tcPr>
          <w:p>
            <w:pPr>
              <w:pStyle w:val="TableContents"/>
              <w:bidi w:val="0"/>
              <w:spacing w:before="0" w:after="283"/>
              <w:jc w:val="left"/>
              <w:rPr/>
            </w:pPr>
            <w:r>
              <w:rPr/>
              <w:t>Note:</w:t>
            </w:r>
          </w:p>
        </w:tc>
        <w:tc>
          <w:tcPr>
            <w:tcW w:w="9640" w:type="dxa"/>
            <w:tcBorders/>
            <w:vAlign w:val="center"/>
          </w:tcPr>
          <w:p>
            <w:pPr>
              <w:pStyle w:val="TableContents"/>
              <w:bidi w:val="0"/>
              <w:spacing w:before="0" w:after="0"/>
              <w:jc w:val="both"/>
              <w:rPr/>
            </w:pPr>
            <w:r>
              <w:rPr/>
              <w:t>If “no” to Section 3(b), the Commission’s staff has indicated that you should be identified as an underwriter in the Registration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7" w:name="zf3210eaeb004471fae51e90f5b83dc21"/>
      <w:bookmarkStart w:id="1078" w:name="zf3210eaeb004471fae51e90f5b83dc21"/>
      <w:bookmarkEnd w:id="1078"/>
    </w:p>
    <w:tbl>
      <w:tblPr>
        <w:tblW w:w="4023" w:type="dxa"/>
        <w:jc w:val="left"/>
        <w:tblInd w:w="0" w:type="dxa"/>
        <w:tblLayout w:type="fixed"/>
        <w:tblCellMar>
          <w:top w:w="0" w:type="dxa"/>
          <w:left w:w="0" w:type="dxa"/>
          <w:bottom w:w="0" w:type="dxa"/>
          <w:right w:w="0" w:type="dxa"/>
        </w:tblCellMar>
      </w:tblPr>
      <w:tblGrid>
        <w:gridCol w:w="38"/>
        <w:gridCol w:w="275"/>
        <w:gridCol w:w="371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3710" w:type="dxa"/>
            <w:tcBorders/>
            <w:vAlign w:val="center"/>
          </w:tcPr>
          <w:p>
            <w:pPr>
              <w:pStyle w:val="TableContents"/>
              <w:bidi w:val="0"/>
              <w:spacing w:before="0" w:after="0"/>
              <w:jc w:val="both"/>
              <w:rPr/>
            </w:pPr>
            <w:r>
              <w:rPr/>
              <w:t>Are you an affiliate of a broker-dealer?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9" w:name="z31e9bed7498642b8aa310bc529f699bd"/>
      <w:bookmarkStart w:id="1080" w:name="z31e9bed7498642b8aa310bc529f699bd"/>
      <w:bookmarkEnd w:id="1080"/>
    </w:p>
    <w:tbl>
      <w:tblPr>
        <w:tblW w:w="1405" w:type="dxa"/>
        <w:jc w:val="center"/>
        <w:tblInd w:w="0" w:type="dxa"/>
        <w:tblLayout w:type="fixed"/>
        <w:tblCellMar>
          <w:top w:w="0" w:type="dxa"/>
          <w:left w:w="0" w:type="dxa"/>
          <w:bottom w:w="0" w:type="dxa"/>
          <w:right w:w="0" w:type="dxa"/>
        </w:tblCellMar>
      </w:tblPr>
      <w:tblGrid>
        <w:gridCol w:w="740"/>
        <w:gridCol w:w="665"/>
      </w:tblGrid>
      <w:tr>
        <w:trPr/>
        <w:tc>
          <w:tcPr>
            <w:tcW w:w="740" w:type="dxa"/>
            <w:tcBorders/>
            <w:vAlign w:val="center"/>
          </w:tcPr>
          <w:p>
            <w:pPr>
              <w:pStyle w:val="TableContents"/>
              <w:bidi w:val="0"/>
              <w:spacing w:before="0" w:after="0"/>
              <w:jc w:val="both"/>
              <w:rPr/>
            </w:pPr>
            <w:r>
              <w:rPr/>
              <w:t>Yes  ☐</w:t>
            </w:r>
          </w:p>
        </w:tc>
        <w:tc>
          <w:tcPr>
            <w:tcW w:w="665"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1" w:name="zbabbcc592f34410eb46444bfa03ff10a"/>
      <w:bookmarkStart w:id="1082" w:name="zbabbcc592f34410eb46444bfa03ff10a"/>
      <w:bookmarkEnd w:id="1082"/>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0"/>
              <w:jc w:val="both"/>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3" w:name="za5ba4256d27f4929b502c9b95e50ea9d"/>
      <w:bookmarkStart w:id="1084" w:name="za5ba4256d27f4929b502c9b95e50ea9d"/>
      <w:bookmarkEnd w:id="1084"/>
    </w:p>
    <w:tbl>
      <w:tblPr>
        <w:tblW w:w="1405" w:type="dxa"/>
        <w:jc w:val="center"/>
        <w:tblInd w:w="0" w:type="dxa"/>
        <w:tblLayout w:type="fixed"/>
        <w:tblCellMar>
          <w:top w:w="0" w:type="dxa"/>
          <w:left w:w="0" w:type="dxa"/>
          <w:bottom w:w="0" w:type="dxa"/>
          <w:right w:w="0" w:type="dxa"/>
        </w:tblCellMar>
      </w:tblPr>
      <w:tblGrid>
        <w:gridCol w:w="740"/>
        <w:gridCol w:w="665"/>
      </w:tblGrid>
      <w:tr>
        <w:trPr/>
        <w:tc>
          <w:tcPr>
            <w:tcW w:w="740" w:type="dxa"/>
            <w:tcBorders/>
            <w:vAlign w:val="center"/>
          </w:tcPr>
          <w:p>
            <w:pPr>
              <w:pStyle w:val="TableContents"/>
              <w:bidi w:val="0"/>
              <w:spacing w:before="0" w:after="0"/>
              <w:jc w:val="both"/>
              <w:rPr/>
            </w:pPr>
            <w:r>
              <w:rPr/>
              <w:t>Yes  ☐</w:t>
            </w:r>
          </w:p>
        </w:tc>
        <w:tc>
          <w:tcPr>
            <w:tcW w:w="665" w:type="dxa"/>
            <w:tcBorders/>
            <w:vAlign w:val="center"/>
          </w:tcPr>
          <w:p>
            <w:pPr>
              <w:pStyle w:val="TableContents"/>
              <w:bidi w:val="0"/>
              <w:spacing w:before="0" w:after="0"/>
              <w:jc w:val="both"/>
              <w:rPr/>
            </w:pPr>
            <w:r>
              <w:rPr/>
              <w:t>No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5" w:name="z08141918d72d40679bf23b2950e3eb85"/>
      <w:bookmarkStart w:id="1086" w:name="z08141918d72d40679bf23b2950e3eb85"/>
      <w:bookmarkEnd w:id="1086"/>
    </w:p>
    <w:tbl>
      <w:tblPr>
        <w:tblW w:w="10205" w:type="dxa"/>
        <w:jc w:val="left"/>
        <w:tblInd w:w="0" w:type="dxa"/>
        <w:tblLayout w:type="fixed"/>
        <w:tblCellMar>
          <w:top w:w="0" w:type="dxa"/>
          <w:left w:w="0" w:type="dxa"/>
          <w:bottom w:w="0" w:type="dxa"/>
          <w:right w:w="0" w:type="dxa"/>
        </w:tblCellMar>
      </w:tblPr>
      <w:tblGrid>
        <w:gridCol w:w="38"/>
        <w:gridCol w:w="527"/>
        <w:gridCol w:w="9640"/>
      </w:tblGrid>
      <w:tr>
        <w:trPr/>
        <w:tc>
          <w:tcPr>
            <w:tcW w:w="38" w:type="dxa"/>
            <w:tcBorders/>
            <w:vAlign w:val="center"/>
          </w:tcPr>
          <w:p>
            <w:pPr>
              <w:pStyle w:val="TableContents"/>
              <w:bidi w:val="0"/>
              <w:spacing w:before="0" w:after="283"/>
              <w:jc w:val="left"/>
              <w:rPr/>
            </w:pPr>
            <w:r>
              <w:rPr/>
            </w:r>
          </w:p>
        </w:tc>
        <w:tc>
          <w:tcPr>
            <w:tcW w:w="527" w:type="dxa"/>
            <w:tcBorders/>
            <w:vAlign w:val="center"/>
          </w:tcPr>
          <w:p>
            <w:pPr>
              <w:pStyle w:val="TableContents"/>
              <w:bidi w:val="0"/>
              <w:spacing w:before="0" w:after="283"/>
              <w:jc w:val="left"/>
              <w:rPr/>
            </w:pPr>
            <w:r>
              <w:rPr/>
              <w:t>Note:</w:t>
            </w:r>
          </w:p>
        </w:tc>
        <w:tc>
          <w:tcPr>
            <w:tcW w:w="9640" w:type="dxa"/>
            <w:tcBorders/>
            <w:vAlign w:val="center"/>
          </w:tcPr>
          <w:p>
            <w:pPr>
              <w:pStyle w:val="TableContents"/>
              <w:bidi w:val="0"/>
              <w:spacing w:before="0" w:after="0"/>
              <w:jc w:val="both"/>
              <w:rPr/>
            </w:pPr>
            <w:r>
              <w:rPr/>
              <w:t>If “no” to Section 3(d), the Commission’s staff has indicated that you should be identified as an underwriter in the Registration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7" w:name="z2d87a4affcf94681bacebd771c2827ff"/>
      <w:bookmarkStart w:id="1088" w:name="z2d87a4affcf94681bacebd771c2827ff"/>
      <w:bookmarkEnd w:id="1088"/>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0"/>
              <w:jc w:val="left"/>
              <w:rPr>
                <w:b/>
              </w:rPr>
            </w:pPr>
            <w:r>
              <w:rPr>
                <w:b/>
              </w:rPr>
              <w:t>4.</w:t>
            </w:r>
          </w:p>
        </w:tc>
        <w:tc>
          <w:tcPr>
            <w:tcW w:w="7640" w:type="dxa"/>
            <w:tcBorders/>
            <w:vAlign w:val="center"/>
          </w:tcPr>
          <w:p>
            <w:pPr>
              <w:pStyle w:val="TableContents"/>
              <w:bidi w:val="0"/>
              <w:spacing w:before="0" w:after="0"/>
              <w:ind w:left="1440" w:right="0" w:hanging="1440"/>
              <w:jc w:val="left"/>
              <w:rPr>
                <w:b/>
              </w:rPr>
            </w:pPr>
            <w:r>
              <w:rPr>
                <w:b/>
              </w:rPr>
              <w:t>Beneficial Ownership of Securities of the Company Owned by the Investor.</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i/>
          <w:color w:val="000000"/>
          <w:sz w:val="20"/>
        </w:rPr>
      </w:pPr>
      <w:r>
        <w:rPr>
          <w:rFonts w:ascii="Times New Roman" w:hAnsi="Times New Roman"/>
          <w:i/>
          <w:color w:val="000000"/>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9" w:name="z973c6af2757a40ce80abffb38705258b"/>
      <w:bookmarkStart w:id="1090" w:name="z973c6af2757a40ce80abffb38705258b"/>
      <w:bookmarkEnd w:id="1090"/>
    </w:p>
    <w:tbl>
      <w:tblPr>
        <w:tblW w:w="7203" w:type="dxa"/>
        <w:jc w:val="left"/>
        <w:tblInd w:w="0" w:type="dxa"/>
        <w:tblLayout w:type="fixed"/>
        <w:tblCellMar>
          <w:top w:w="0" w:type="dxa"/>
          <w:left w:w="0" w:type="dxa"/>
          <w:bottom w:w="0" w:type="dxa"/>
          <w:right w:w="0" w:type="dxa"/>
        </w:tblCellMar>
      </w:tblPr>
      <w:tblGrid>
        <w:gridCol w:w="38"/>
        <w:gridCol w:w="275"/>
        <w:gridCol w:w="689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6890" w:type="dxa"/>
            <w:tcBorders/>
            <w:vAlign w:val="center"/>
          </w:tcPr>
          <w:p>
            <w:pPr>
              <w:pStyle w:val="TableContents"/>
              <w:bidi w:val="0"/>
              <w:spacing w:before="0" w:after="0"/>
              <w:jc w:val="both"/>
              <w:rPr/>
            </w:pPr>
            <w:r>
              <w:rPr/>
              <w:t>Type and Amount of other securities beneficially owned by the Investor:</w:t>
            </w:r>
          </w:p>
        </w:tc>
      </w:tr>
    </w:tbl>
    <w:p>
      <w:pPr>
        <w:pStyle w:val="TextBody"/>
        <w:bidi w:val="0"/>
        <w:spacing w:before="0" w:after="0"/>
        <w:jc w:val="left"/>
        <w:rPr>
          <w:color w:val="000000"/>
        </w:rPr>
      </w:pPr>
      <w:r>
        <w:rPr>
          <w:color w:val="000000"/>
        </w:rPr>
        <w:t> </w:t>
      </w:r>
    </w:p>
    <w:p>
      <w:pPr>
        <w:pStyle w:val="Normal"/>
        <w:bidi w:val="0"/>
        <w:spacing w:before="0" w:after="0"/>
        <w:ind w:left="1440" w:right="0" w:hanging="0"/>
        <w:jc w:val="left"/>
        <w:rPr>
          <w:sz w:val="4"/>
          <w:szCs w:val="4"/>
        </w:rPr>
      </w:pPr>
      <w:r>
        <w:rPr>
          <w:sz w:val="4"/>
          <w:szCs w:val="4"/>
        </w:rPr>
      </w:r>
      <w:bookmarkStart w:id="1091" w:name="z4cc5f52289fa455f85bb0d56dab3f173"/>
      <w:bookmarkStart w:id="1092" w:name="z4cc5f52289fa455f85bb0d56dab3f173"/>
      <w:bookmarkEnd w:id="1092"/>
    </w:p>
    <w:tbl>
      <w:tblPr>
        <w:tblW w:w="90" w:type="dxa"/>
        <w:jc w:val="left"/>
        <w:tblInd w:w="144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144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93" w:name="z01cc22a4a5f248568ff9323dadf2487c"/>
      <w:bookmarkStart w:id="1094" w:name="z01cc22a4a5f248568ff9323dadf2487c"/>
      <w:bookmarkEnd w:id="1094"/>
    </w:p>
    <w:tbl>
      <w:tblPr>
        <w:tblW w:w="3640" w:type="dxa"/>
        <w:jc w:val="left"/>
        <w:tblInd w:w="0" w:type="dxa"/>
        <w:tblLayout w:type="fixed"/>
        <w:tblCellMar>
          <w:top w:w="0" w:type="dxa"/>
          <w:left w:w="0" w:type="dxa"/>
          <w:bottom w:w="0" w:type="dxa"/>
          <w:right w:w="0" w:type="dxa"/>
        </w:tblCellMar>
      </w:tblPr>
      <w:tblGrid>
        <w:gridCol w:w="215"/>
        <w:gridCol w:w="3425"/>
      </w:tblGrid>
      <w:tr>
        <w:trPr/>
        <w:tc>
          <w:tcPr>
            <w:tcW w:w="215" w:type="dxa"/>
            <w:tcBorders/>
            <w:vAlign w:val="center"/>
          </w:tcPr>
          <w:p>
            <w:pPr>
              <w:pStyle w:val="TableContents"/>
              <w:bidi w:val="0"/>
              <w:spacing w:before="0" w:after="0"/>
              <w:jc w:val="left"/>
              <w:rPr>
                <w:b/>
              </w:rPr>
            </w:pPr>
            <w:r>
              <w:rPr>
                <w:b/>
              </w:rPr>
              <w:t>5.</w:t>
            </w:r>
          </w:p>
        </w:tc>
        <w:tc>
          <w:tcPr>
            <w:tcW w:w="3425" w:type="dxa"/>
            <w:tcBorders/>
            <w:vAlign w:val="center"/>
          </w:tcPr>
          <w:p>
            <w:pPr>
              <w:pStyle w:val="TableContents"/>
              <w:bidi w:val="0"/>
              <w:spacing w:before="0" w:after="0"/>
              <w:ind w:left="1440" w:right="0" w:hanging="1440"/>
              <w:jc w:val="left"/>
              <w:rPr>
                <w:b/>
              </w:rPr>
            </w:pPr>
            <w:r>
              <w:rPr>
                <w:b/>
              </w:rPr>
              <w:t>Relationships with the Company:</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i/>
          <w:color w:val="000000"/>
          <w:sz w:val="20"/>
        </w:rPr>
      </w:pPr>
      <w:r>
        <w:rPr>
          <w:rFonts w:ascii="Times New Roman" w:hAnsi="Times New Roman"/>
          <w:i/>
          <w:color w:val="000000"/>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jc w:val="left"/>
        <w:rPr>
          <w:color w:val="000000"/>
        </w:rPr>
      </w:pPr>
      <w:r>
        <w:rPr>
          <w:color w:val="000000"/>
        </w:rPr>
        <w:t> </w:t>
      </w:r>
    </w:p>
    <w:p>
      <w:pPr>
        <w:pStyle w:val="TextBody"/>
        <w:bidi w:val="0"/>
        <w:spacing w:before="0" w:after="0"/>
        <w:ind w:left="1440" w:right="0" w:hanging="720"/>
        <w:jc w:val="left"/>
        <w:rPr>
          <w:rFonts w:ascii="Times New Roman" w:hAnsi="Times New Roman"/>
          <w:color w:val="000000"/>
          <w:sz w:val="20"/>
        </w:rPr>
      </w:pPr>
      <w:r>
        <w:rPr>
          <w:rFonts w:ascii="Times New Roman" w:hAnsi="Times New Roman"/>
          <w:color w:val="000000"/>
          <w:sz w:val="20"/>
        </w:rPr>
        <w:t>State any exceptions here:</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1095" w:name="z5a7a86b8585f445181f5579302edc7b7"/>
      <w:bookmarkStart w:id="1096" w:name="z5a7a86b8585f445181f5579302edc7b7"/>
      <w:bookmarkEnd w:id="1096"/>
    </w:p>
    <w:tbl>
      <w:tblPr>
        <w:tblW w:w="90" w:type="dxa"/>
        <w:jc w:val="left"/>
        <w:tblInd w:w="72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bottom w:val="single" w:sz="12"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undersigned, by authority duly given, has caused this Notice and Questionnaire to be executed and delivered either in person or by its duly authorized agent.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7" w:name="z6507e7a303cb4ea1a7ddc39e0a9c0650"/>
      <w:bookmarkStart w:id="1098" w:name="z6507e7a303cb4ea1a7ddc39e0a9c0650"/>
      <w:bookmarkEnd w:id="1098"/>
    </w:p>
    <w:tbl>
      <w:tblPr>
        <w:tblW w:w="2470" w:type="dxa"/>
        <w:jc w:val="left"/>
        <w:tblInd w:w="0" w:type="dxa"/>
        <w:tblLayout w:type="fixed"/>
        <w:tblCellMar>
          <w:top w:w="0" w:type="dxa"/>
          <w:left w:w="0" w:type="dxa"/>
          <w:bottom w:w="0" w:type="dxa"/>
          <w:right w:w="0" w:type="dxa"/>
        </w:tblCellMar>
      </w:tblPr>
      <w:tblGrid>
        <w:gridCol w:w="530"/>
        <w:gridCol w:w="60"/>
        <w:gridCol w:w="60"/>
        <w:gridCol w:w="1760"/>
        <w:gridCol w:w="60"/>
      </w:tblGrid>
      <w:tr>
        <w:trPr/>
        <w:tc>
          <w:tcPr>
            <w:tcW w:w="530" w:type="dxa"/>
            <w:tcBorders/>
            <w:vAlign w:val="center"/>
          </w:tcPr>
          <w:p>
            <w:pPr>
              <w:pStyle w:val="TableContents"/>
              <w:bidi w:val="0"/>
              <w:spacing w:before="0" w:after="0"/>
              <w:jc w:val="left"/>
              <w:rPr/>
            </w:pPr>
            <w:r>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Beneficial Owner:</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99" w:name="za851b70f7bc143ecad19781d60d9a2d7"/>
      <w:bookmarkStart w:id="1100" w:name="za851b70f7bc143ecad19781d60d9a2d7"/>
      <w:bookmarkEnd w:id="1100"/>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PLEASE EMAIL A .PDF COPY OF THE COMPLETED AND EXECUTED QUESTIONNAIRE TO: LSOUSA@GOODWINLAW.COM</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6</w:t>
      </w:r>
      <w:r>
        <w:rPr>
          <w:rFonts w:ascii="Times New Roman" w:hAnsi="Times New Roman"/>
          <w:color w:val="000000"/>
          <w:sz w:val="2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01" w:name="ef20082158_ex99-1.htm"/>
      <w:bookmarkStart w:id="1102" w:name="ksef20082158_ex991"/>
      <w:bookmarkStart w:id="1103" w:name="ef20082158_ex99-1.htm"/>
      <w:bookmarkStart w:id="1104" w:name="ksef20082158_ex991"/>
      <w:bookmarkEnd w:id="1103"/>
      <w:bookmarkEnd w:id="110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Announces Acquisition of Marea Therapeutics and $225 Million Concurrent Private Placement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Combined company to focus on developing first-in-class next-generation medicines for cardioendocrine diseases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Marea has multiple late-stage clinical product candidates: MAR001/005 for severe hypertriglyceridemia (sHTG) currently in Phase 2b and MAR002 for the treatment of acromegaly which is advancing to a Phase 2 study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Concurrent financing of $225 million from leading life sciences investors and other institutional investors projected to fund operations into 2028</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Liberty Corner, N.J., September 17, 2026</w:t>
      </w:r>
      <w:r>
        <w:rPr>
          <w:rFonts w:ascii="Times New Roman" w:hAnsi="Times New Roman"/>
          <w:color w:val="000000"/>
          <w:sz w:val="20"/>
        </w:rPr>
        <w:t xml:space="preserve"> – Lisata Therapeutics, Inc. (Nasdaq: LSTA) (“Lisata”), a clinical-stage pharmaceutical company, today announced that it has acquired Marea Therapeutics, Inc. (“Marea”), a clinical-stage biotechnology company harnessing the latest advances in human genetics to develop first-in-class, next-generation medicines for cardioendocrine diseases.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Concurrent with the acquisition, Lisata entered into a definitive purchase agreement for the sale of Series C non-voting convertible preferred stock in a private placement financing, which is expected to result in gross proceeds to Lisata of approximately $225 million before deducting placement agent and other offering expenses. The oversubscribed financing included participation from leading life sciences investors including RA Capital Management, Forbion, Third Rock Ventures, Alpha Wave, Perceptive Advisors, Sofinnova Investments, Omega Funds, Surveyor Capital (a Citadel company), Columbia Threadneedle Investments, Nantahala Capital, Affinity Asset Advisors, LLC, venBio, Rock Springs Capital and other institutional investors.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Lisata plans to use the net proceeds primarily to advance MAR001/005 and MAR002 through key clinical milestones, including the completion of an ongoing Phase 2b trial in patients with severe hypertriglyceridemia, as well as a Phase 2 trial in patients with acromegaly.  Both studies are expected to report topline data in the fourth quarter of 2027.  Remaining proceeds will be used for general corporate purposes.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After a thorough review of strategic alternatives, the acquisition of Marea marks a significant milestone for Lisata as we broaden our focus toward advancing Marea’s product candidate portfolio, which addresses significant unmet need across a range of cardioendocrine diseases,” said Dr. David J. Mazzo, CEO of Lisata. “This pipeline, led by MAR001, is designed to overcome the limitations of current treatment paradigms and has the potential to establish a new standard of care in the treatment of severe hypertriglyceridemia (sHTG). With a strong balance sheet, we believe that we are well-positioned to drive these programs through their next stages of development and ultimately deliver meaningful benefit to patients. We believe that this acquisition, in combination with our parallel efforts to evaluate possible next steps in the development of certepetide, can provide long-term value to our shareholders.”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This transaction provides the combined company with the resources to advance our two clinical stage drug candidates through pivotal milestones, including MAR001 topline Phase 2b data in severe hypertriglyceridemia and MAR002 Phase 2 proof of concept data in patients with acromegaly next year, as well as initiation of Phase 3 registrational studies for both programs,” said Dr. Josh Lehrer, newly appointed Chief Operating Officer and President of Lisata Therapeutics and Chief Executive Officer of Marea. “Joining with Lisata gives our first-in-class antibody programs a faster path to patients who today have limited options for these serious cardioendocrine diseases, and we’re grateful for the continued confidence of our new and existing investors.”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the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acquisition of Marea was structured as a stock-for-stock transaction pursuant to which all of Marea’s outstanding equity interests were exchanged based on a fixed exchange ratio for a combination of 1,793,129 shares of Lisata common stock and 211,365.213 shares of Series C non-voting convertible preferred stock (representing in the aggregate 213,158,342 shares of Lisata common stock on an as-converted-to-common stock basis), in each case, calculated on a fully-diluted basis (and without giving effect to any beneficial ownership limitations). Concurrently with the acquisition of Marea, Lisata entered into a definitive purchase agreement for a private placement financing with leading life sciences investors and other institutional investors to raise $225 million in which the investors will be issued an aggregate of 150,867.995 shares of Series C non-voting convertible preferred stock (or 150,867,995 shares of Lisata common stock on an as-converted-to-common stock basis and without giving effect to any beneficial ownership limitations) at a price of approximately $1,491.37 per share (or approximately $1.4914 per share of common stock on an as-converted-to-common stock basis). Subject to Lisata stockholder approval, each share of Series C non-voting convertible preferred stock will automatically convert into 1,000 shares of common stock, subject to certain beneficial ownership limitations set by each holder. As a result of the transactions, equity holders of Lisata immediately prior to the acquisition will own approximately 2.39% of Lisata’s common stock, equity holders of Marea immediately prior to the acquisition will own approximately 59.54% of Lisata’s common stock and investors in the private placement financing will own approximately 38.07% of Lisata’s common stock, in each case, calculated on a fully-diluted, as-converted-to-common-basis (and without giving effect to any beneficial ownership limitations) using the treasury stock method and based on the implied equity values of Lisata and Marea.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acquisition was approved by the Board of Directors of Lisata and the Board of Directors and stockholders of Marea. The acquisition and private placement financing were not subject to the approval of Lisata’s stockholders. The approval of Lisata’s stockholders is required under the terms of the Series C non-voting convertible preferred stock in order for the Series C non-voting convertible preferred stock to be converted into shares of Lisata common stock, and Lisata is required to hold a stockholder meeting for such vote. On an as-converted basis and after accounting for these transactions (and without giving effect to any beneficial ownership limitations), the total number of shares of Lisata common stock (including shares underlying the Series C non-voting convertible preferred stock) will be approximately 396,315,542.</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H.C. Wainwright is serving as financial advisor to Lisata. Mintz, Levin, Cohn, Ferris, Glovsky and Popeo, P.C. is serving as legal counsel to Lisata. Leerink Partners is serving as financial advisor to Marea. Jefferies, Leerink Partners, Guggenheim Securities, Cantor and LifeSci Capital are acting as placement agents for the concurrent private placement financing. Goodwin Procter LLP is serving as legal counsel to Marea. Cooley LLP is serving as legal counsel to the placement agents.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Lisata Therapeutics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Lisata Therapeutics is a clinical-stage pharmaceutical company dedicated to the discovery, development and commercialization of innovative therapies for the treatment of advanced solid tumors and other major diseases. Lisata’s cyclic peptide product candidate, certepetide, is an investigational drug designed to activate a novel uptake pathway that allows co-administered or tethered anti-cancer drugs to selectively target and penetrate solid tumors more effectively. Lisata has established noteworthy partnerships based on its CendR Platform® technology. For a comprehensive overview of certepetide’s mechanism of action, please view our informative short film.</w:t>
      </w:r>
    </w:p>
    <w:p>
      <w:pPr>
        <w:pStyle w:val="TextBody"/>
        <w:bidi w:val="0"/>
        <w:spacing w:before="0" w:after="0"/>
        <w:jc w:val="left"/>
        <w:rPr>
          <w:color w:val="000000"/>
        </w:rPr>
      </w:pPr>
      <w:r>
        <w:rPr>
          <w:color w:val="000000"/>
        </w:rPr>
        <w:t> </w:t>
      </w:r>
    </w:p>
    <w:p>
      <w:pPr>
        <w:pStyle w:val="TextBody"/>
        <w:bidi w:val="0"/>
        <w:jc w:val="left"/>
        <w:rPr>
          <w:rFonts w:ascii="Times New Roman" w:hAnsi="Times New Roman"/>
          <w:b/>
          <w:color w:val="000000"/>
          <w:sz w:val="20"/>
        </w:rPr>
      </w:pPr>
      <w:r>
        <w:rPr>
          <w:rFonts w:ascii="Times New Roman" w:hAnsi="Times New Roman"/>
          <w:b/>
          <w:color w:val="000000"/>
          <w:sz w:val="20"/>
        </w:rPr>
        <w:t>About Marea Therapeutics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Marea Therapeutics is a clinical-stage biotechnology company harnessing the latest advances in human genetics to develop first-in-class, next-generation medicines for cardioendocrine diseases. The company’s lead product candidate, MAR001, is in Phase 2b clinical development for the treatment of severe hypertriglyceridemia (sHTG), a condition characterized by very high triglyceride levels. The company is also advancing MAR002 for the treatment of acromegaly.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MAR001/005</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MAR001 is a potential first-in-class monoclonal antibody in clinical development that targets ANGPTL4, a protein that is highly expressed in adipose tissue. By inhibiting ANGPTL4 and thereby augmenting lipoprotein lipase (LPL) activity, MAR001 is designed to lower triglycerides and improve adipose tissue function. Human genetic data has identified ANGPTL4 as a highly promising therapeutic target because loss of function alleles lead to lower triglyceride levels, improved adipose distribution, better insulin sensitivity, and protection from cardiovascular disease and type 2 diabetes.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MAR005, a half-life-extended version of MAR001 with an improved pharmacokinetic profile, is Marea’s planned Phase 3 candidate and is in clinical development for the treatment of severe hypertriglyceridemia (sHTG), a condition characterized by very high triglyceride levels. Preclinical models with MAR001 demonstrated reduction in triglycerides, remnant cholesterol and ectopic fat, and improved insulin sensitivity. MAR001 has demonstrated strong Phase 1a and 2a results and is in Phase 2b clinical development.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Severe Hypertriglyceridemia (sHTG)</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Severe hypertriglyceridemia (sHTG) is a serious and often under-recognized metabolic condition marked by triglyceride levels high enough to place patients at significant risk of acute pancreatitis, a painful and potentially life-threatening complication that frequently results in hospitalization. Patients with sHTG also commonly present with a broader burden of cardiometabolic comorbidities, including insulin resistance, type 2 diabetes, and cardiovascular disease, compounding the overall health risks associated with the condition. Despite the availability of lifestyle modification and existing lipid-lowering therapies, many patients with sHTG continue to experience dangerously elevated triglycerides and recurrent pancreatitis events, underscoring a persistent gap in disease management.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MAR002</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MAR002 is a potent and selective half-life-extended, allosteric, human monoclonal growth hormone receptor antagonist (GHRA) antibody being developed for the treatment of acromegaly. The </w:t>
      </w:r>
      <w:r>
        <w:rPr>
          <w:rFonts w:ascii="Times New Roman" w:hAnsi="Times New Roman"/>
          <w:i/>
          <w:color w:val="000000"/>
          <w:sz w:val="20"/>
        </w:rPr>
        <w:t>in vivo</w:t>
      </w:r>
      <w:r>
        <w:rPr>
          <w:rFonts w:ascii="Times New Roman" w:hAnsi="Times New Roman"/>
          <w:color w:val="000000"/>
          <w:sz w:val="20"/>
        </w:rPr>
        <w:t xml:space="preserve"> PK and PD properties of MAR002 are predictable and typical of a half-life extended human antibody, showing a long duration of action compatible with infrequent subcutaneous dose administration in humans. These characteristics support its potential to offer an effective and convenient treatment for patients with acromegaly.  In a Phase 1 study in healthy volunteers, MAR002 achieved proof-of-concept dose-dependent suppression of IGF-1, and was generally well tolerated with no serious adverse events. Marea is currently evaluating MAR002 in a Phase 2 trial of patients with acromegaly.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Acromegaly</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Acromegaly is an orphan disease characterized by the excess secretion of growth hormone (GH) from a benign pituitary adenoma. Acromegaly affects approximately 30,000 patients in the U.S. If left untreated, acromegaly is highly morbid, leading to significant comorbidities such as GH-induced insulin resistance and diabetes, and serious cardiovascular pathology. The median lifespan of patients can be shortened by 10 years without effective therapy, and incomplete IGF-1 normalization is associated with increased mortality. Despite its severity, acromegaly is often under or misdiagnosed, with an average time from symptom onset to diagnosis of approximately eight years.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current treatment paradigm for acromegaly often involves surgery, performed in over 90% of patients, which achieves remission in about 50% of cases, though this can degrade over time. Medical therapy is required for approximately 65% (around 20,000 in the U.S.) of patients during their disease journey. Current medical treatments include somatostatin receptor ligands (SRLs) and GHRA pegvisomant. However, most patients do not achieve biochemical control with existing therapies.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concerning Lisata, Marea, the concurrent private placement financing and the acquisition of Marea by Lisata (the “Transactions”) and other matters. These forward-looking statements include, but are not limited to, express or implied statements relating to the company’s expectations, hopes, beliefs, intentions or strategies regarding the future including, without limitation, statements regarding: the Transactions, including the closing of the concurrent private placement financing, and the expected effects, perceived benefits or opportunities and related timing with respect thereto; expectations regarding or plans for Marea’s pipeline, including its ongoing clinical trials, research and development programs and the expected timing for key milestones, including the release of clinical data; the potential benefits of MAR001/005 and MAR002; and expectations regarding the use of proceeds from the concurrent private placement financing and cash runway expectations therefrom, including such proceeds funding the company through key clinical milestones. In addition, any statements that refer to projections, forecasts or other characterizations of future events or circumstances, including any underlying assumptions, are forward-looking statements. The words “opportunity,” “potential,” “milestones,” “pipeline,” “can,” “goal,” “aim,” “strategy,” “target,” “seek,” “anticipate,” “achieve,” “believe,” “contemplate,” “continue,” “could,” “estimate,” “expect,” “intends,” “may,” “might,” “plan,” “possible,”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or the Transactions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uncertainties and factors described under the heading “Risk Factors” and in the company’s most recent Annual Report on Form 10-K for the year ended December 31, 2025, filed with the Securities and Exchange Commission (the “SEC”) on March 12, 2026, as well as discussions of potential risks, uncertainties, and other important factors included in other filings by the company from time to time, as well as risk factors associated with companies, such as Marea, that operate in the biotechnology industry. Should one or more of these risks or uncertainties materialize, or should any of the company’s assumptions prove incorrect, actual results may vary in material respects from those projected in these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The company does not undertake or accept any duty to release publicly any updates or revisions to any forward-looking statements. This press release does not purport to summarize all of the conditions, risks and other attributes of an investment in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Contacts: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Lisata: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 and 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John Menditto</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jmenditto@lisata.com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Marea: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1AB</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Katie Engleman</w:t>
        <w:br/>
        <w:t xml:space="preserve">katie@1abmedia.com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Meru Advisors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Lauren Glaser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lglaser@meruadvisors.com </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05" w:name="ef20082158_ex99-2.htm"/>
      <w:bookmarkStart w:id="1106" w:name="ksef20082158_ex992"/>
      <w:bookmarkStart w:id="1107" w:name="ef20082158_ex99-2.htm"/>
      <w:bookmarkStart w:id="1108" w:name="ksef20082158_ex992"/>
      <w:bookmarkEnd w:id="1107"/>
      <w:bookmarkEnd w:id="110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268200" cy="6924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68200" cy="69246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Marea TherapeuticsTransformative cardioendocrine therapies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Forward Looking Statements &amp; Disclaimers  Confidential  This presentation has been prepared by the Company based on information and data which the Company considers reliable, but no reliance shall be placed on, and no representation or warranty, express or implied, whatsoever is or will be given by the Company or any of its affiliates, directors, officers, employees or advisers or any other person as to the truth, accuracy, completeness, fairness, and reasonableness of the contents of this presentation. This presentation may not be all-inclusive and does not purport to contain all of the information that may be required to evaluate a possible investment decision with respect to the Company. The recipient agrees and acknowledges that (i) this presentation is not intended to form the basis of any investment decision by the recipient and does not constitute investment, tax or legal advice, and (ii) the information contained in this presentation is subject to change, and any such changes may be material. Any liability in respect of the contents of or any omission from this presentation is expressly excluded.  Forward-Looking Statements  This presentation contains forward-looking statements. Such statements include, but are not limited to, statements regarding our research, preclinical and clinical development activities, plans and projected timelines for our product candidates, plans regarding regulatory filings, our expectations regarding the relative benefits of our product candidates versus competitive therapies, our expectations regarding the therapeutics and commercial potential of our product candidates, our expectations regarding the completion of the Private Placement and the anticipated use of proceeds from the Private Placement. The words “believe,” “may,” should,” “will,” “estimate,” “promise,” “plan,” “continue,” “anticipate,” “intend,” “expect,” “potential” and similar expressions including the negative thereof) are intended to identify forward-looking statements. Because such statements are subject to risks and uncertainties, actual results may differ materially from those expressed or implied by such forward-looking statements. Risks that contribute to the uncertain nature of the forward-looking statements include: our preclinical studies and clinical trials may not be successful; the U.S. Food and Drug Administration may not agree with our interpretation of the data from clinical trials of our product candidates; we may experience delays in the commencement, enrollment, completion or analysis of clinical testing for our product candidates, or in the reporting of data from such clinical testing; significant issues regarding the adequacy of our clinical trial designs or the execution of our clinical trials may arise, which could result in increased costs and delays, or limit our ability to obtain regulatory approval; our product candidates may not receive regulatory approval or be successfully commercialized; unexpected adverse side effects or inadequate therapeutic efficacy of our product candidates could delay or prevent regulatory approval or commercialization; and we may not be able to obtain additional financing. Additional risks and uncertainties may emerge from time to time, and it is not possible for our management to predict all risks and uncertainties.  All forward-looking statements contained in this presentation speak only as of the date on which they were made. We undertake no obligation to update such statements to reflect events that occur or circumstances that exist after the date on which they were made.  Use of Trademarks, Trade Names and other Marks  All service marks, trademarks and trade names appearing in this presentation are the property of their respective owners. Solely for convenience, the trademarks and trade names referred to in this presentation appear without the ® and TM symbols, but those references are not intended to indicate, in any way, that we will assert, to the fullest extent under applicable law, our rights, or the right of the applicable licensor to these trademarks and trade names. The information herein is for informational purposes only and represents the current view of Marea as of the date of this presentation (or as of an earlier date if specifically noted).  Disclaimers  This presentation is strictly confidential and being made to you solely as a prospective investor in the proposed private placement (the “Private Placement") of securities of Lisata Therapeutics, Inc. in connection with their contemplated merger transaction with Marea Therapeutics, Inc. ("we," "us," "our" or the "Company"). The securities have not been and will not be registered under the U.S. Securities Act of 1933 (as amended, the "Securities Act") or any state securities laws or the laws of any foreign jurisdiction. The securities are being offered only to persons in reliance upon the exemption from securities registration for transactions not involving any public offering afforded by Section 4(a)(2) of the Securities Act. The securities have not been approved or disapproved by the United States Securities and Exchange Commission, or any other securities regulating body or agency, nor has any such authority, commission, or body passed on the accuracy or adequacy of this presentation. Any representation to the contrary is a criminal offense. By accepting this presentation, you will be deemed to represent that you are an accredited investor, have the capacity to protect your own interests in connection with the Private Placement, and have sufficient knowledge and experience in investing in investments similar to the securities to properly evaluate the merits and risks of the investment in the securities. This presentation is meant only for the intended recipient based on its representations regarding such qualifications.   This presentation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 This presentation is for informational purposes only and only a summary of certain information related to the Company. It does not purport to be complete and does not contain all information that an investor may need to consider in making an investment decision. You may not take away, reproduce, or distribute this presentation, in whole or in part, and you may not disclose any of the contents of this presentation to any other person. Acceptance of this presentation constitutes an agreement to be bound by the terms set forth herein. The information contained herein does not constitute investment, legal, accounting, regulatory, taxation or other advice, and the information does not take into account your investment objectives or legal, accounting, regulatory, taxation or financial situation or particular needs. Investors must conduct their own investigation of the investment opportunity and evaluate the risks of acquiring the securities based solely upon such investor's independent examination and judgment as to the prospects of the Company as determined from information in the possession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herein is correct as of any time subsequent to such date. The Company is under no obligation to update or keep current the information contained in this document. No representation or warranty, express or implied, is made as to, and no reliance should be placed on, the fairness, accuracy, completeness or correctness of the information or opinions contained herein, and any reliance you place on them will be at your sole risk. The Company, its affiliates and advisors do not accept any liability whatsoever for any loss howsoever arising, directly or indirectly, from the use of this document or its contents, or otherwise arising in connection with the Private Placement.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Transaction Summary  Transaction Structure  Proposed sign-and-close merger whereby Lisata Therapeutics would acquire 100% of the outstanding equity interests of Marea Therapeutics in exchange for a combination of common stock and Series C non-voting convertible preferred stock of Lisata, as well as Lisata options exercisable for Series C non-voting convertible preferred stock.  Financing  Concurrent with the acquisition of Marea, Lisata executed a definitive agreement for an oversubscribed private placement of approximately $225 million in gross proceeds.  The financing included participation from RA Capital Management, Forbion, Third Rock Ventures, Alpha Wave Global, Perceptive Advisors, Sofinnova Investments, Omega Funds, Surveyor Capital (a Citadel company), Columbia Threadneedle Investments, Nantahala Capital, Affinity Asset Advisors, LLC, venBio, Rock Springs Capital and other institutional investors.  Management and BOD  Continuing leadership includes Josh Lehrer, newly appointed President and Chief Operating Officer of Lisata Therapeutics and Chief Executive Officer of Marea.   Use of Proceeds  The net proceeds from the private placement are primarily to advance MAR001/005 and MAR002 through key clinical milestones, including completion of an ongoing Phase 2b trial in patients with severe hypertriglyceridemia and a Phase 2 trial in patients with acromegaly. Both studies are expected to report topline data in the fourth quarter of 2027. Remaining proceeds will be used for general corporate purposes.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296775" cy="691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296775" cy="6915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Capitalization  Lisata issued shares of common stock and Series C non-voting convertible preferred stock to Marea security holders and options exercisable for Series C non-voting convertible preferred stock to Marea option holders, in exchange for all of Marea’s outstanding equity interest.  Shares of Series C non-voting convertible preferred stock are issuable to investors upon the closing of the $225 million private placement.  Shares of Series C non-voting convertible preferred stock will automatically convert into 1,000 shares of common stock, subject to certain beneficial ownership limitations set by each holder and approval by Lisata’s stockholders.  Please refer to Lisata’s SEC filings for additional information.  1. Includes 178,673 restricted stock awards.   2. Calculated using the treasury stock method.  3. Common stock consideration is capped at 19.9% of pre-acquisition Lisata common stock outstanding and reflects certificate-level rounding.   4. Represents shares of Series C non-voting convertible preferred stock issuable upon exercise of Lisata Options issued in exchange for outstanding Marea options. Included on a fully diluted basis and equivalent to 22,801,406 shares of Lisata common stock on an as-converted basis.   5. Represents shares of Series C non-voting convertible preferred stock issuable upon the closing of the concurrent financing.  6. Calculated on an as-converted-to-common-stock basis.   7. Represents Lisata’s pre-acquisition common stock outstanding and equity awards, parent common stock and Series C non-voting preferred stock issued to Marea security holders, Series C non-voting preferred stock underlying Lisata options issued in exchange for outstanding Marea options, and Series C non-voting preferred stock issued in the concurrent financing, calculated on an as-converted basis.  8. Market Cap at Deal Price calculated using treasury stock method equals to $580,734,913.  Confidential  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Rapid Path to Value Creation  1. Christian JB, et al., Am J Cardiol. 2011;107(6):891–897; 2. Zafrir B, et al. J Clin Lipidol 2018;12(4):928-936; 3. Marea data on file; 4. Burton T et al. Pituitary 2016;19(3):262-267; 5. EvaluatePharma, ClearView market research, company press releases  Abbreviations: GHR: growth hormone receptor; sHTG: Severe Hypertriglyceridemia; SRL: somatostatin receptor ligand *MAR001 is parent antibody; MAR005 formerly known as MAR001-HLE  Two potentially first-in-class assets with best-in-disease potential in large addressable markets  Confidential  Severe Hypertriglyceridemia  Potent sHTG candidate with a clean metabolic profile  &gt;3M US patients¹  At risk of acute pancreatitis; APOC3 drugs worsen diabetes / liver fat  ~70% TG reduction3  Phase 2b sHTG POC (subgroup with baseline TG&gt;500, n=7)  TG lowering in Phase 2 similar to approved APOC3s  &gt;$10B market opportunity5  First choice for &gt;1.8M2 diabetics with sHTG  Clean metabolic profile  No HbA1c increase or liver-fat penalty to date – potentially differentiated from approved APOCs  MAR002  Acromegaly  First long-acting GHR antagonist candidate for acromegaly  ~30K US patients4  Highly morbid; &gt;70% uncontrolled  Potential Best-in-class anti-GHR mAb  Target profile: Best-in-class efficacy, safety and biweekly dosing  Phase 1 proof of mechanism  Promising IGF-1 suppression (approvable endpoint)  &gt;$1B in SRL sales5  Potential to address 3x more patients than SRLs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Molecule  Target  Indication  Disc  IND-E  Ph1  Ph2  Ph3  Anticipated Near-term Milestones  MAR001  (parent mAb)  ANGPTL4  sHTG  MAR005  (half-life extended MAR001)  ANGPTL4  sHTG  MAR002  Growth hormone receptor  Acromegaly  Advancing a Late-Stage Cardioendocrine Pipeline Toward Potential 2026-27 Value Inflections  MAR001 Phase 2b TYDAL (mHTG/sHTG)  Abbreviations: NHV: normal healthy volunteer; sHTG: Severe Hypertriglyceridemia  Q2 2026  Phase 2/2b 12-week data  H2 2026  Phase 2/2b 24-week data  H2 2027  Phase 2 extension (sHTG) topline data  Q1 2026  Phase 1 (NHV) topline data  Mid-2026  Initiate Phase 2 study  Mid-2027  Interim Phase 2 data  Q4 2027  Phase 2 topline data  H1 2028  Phase 3 FPI  MAR001 Phase 2 Mechanistic Study  Endocrine     Cardiometabolic  Mid-2027  Phase 3 MAR005 dose selection including additional TG efficacy/PD  H2 2027  Phase 3 FPI     MAR001 Phase 2b extension (sHTG)     MAR001 has established POC in Phase 2. MAR005 is our Phase 3 candidate- it is an improved version of MAR001 with half-life extension and improved PK. The FDA agreed to PK bridging to Phase 3.  Marea also has developed a SiRNA platform and is developing adipose tissue targeted SiRNAs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MAR005 for sHTG  Potent sHTG candidate with a clean metabolic profile  Section IV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Recurrent Pancreatitis in sHTG: A Life-Altering Condition with Limited Options  &gt;3 million Americans; $9B in healthcare costs, no approved prevention therapies until recently  The Unmet Need  Limited Generic Options  The Critical Gap  Inadequate TG lowering  ~30% reduction leaves most sHTG patients above the AP risk threshold  No evidence for AP prevention  Poor tolerability  1. Marston, NA, et al., N Engl J Med 2025;394:429-441; 2. Gurevitz, C et al., JACC: Advances 2024;3(5) 3. Lee PJ,. Nat Rev Gastroenterol Hepatol. 2019;16(8):479-496; 4. Lu J, et al., BMC Gastroenterology. 2025;25:374. Abbreviations: SOC: standard-of-care; AP: acute pancreatitis; MI: myocardial infarction; CAD: coronary artery disease. 4. Marea claims data analysis  Until Recently: Limited Options  &gt;3M Americans with sHTG face recurrent AP attacks  Up to 20% mortality per episode4   Cumulative attacks cause irreversible pancreatic destruction, chronic pain, and secondary diabetes   60% T2DM1, 30% CAD1, 70% fatty liver 2 : a high-risk population with &gt;$9B annual cost burden3  30% have poorly controlled T2DM (HbA1c&gt;9%)4  Fibrates  Omega-3 Fatty Acids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APOC3 Inhibition: New Treatments Driving a Potential Multi-Billion Dollar Opportunity  Sources: Marston, NA, et al., N Engl J Med 2025;394:429-441; Ionis AHA 2025 press release; Arrowhead July 2026 press release; Overall NNT=20; ClearView market research; AP: acute pancreatitis; SOC: standard of care  First class of medications to demonstrate acute pancreatitis (AP) event reduction  Next-Gen Rx sHTG Opportunity  60-80%  TG reduction — dramatically superior to fibrates or omega-3 fish oil  78-85%  Reduction in AP events first proven AP reduction in sHTG  &gt;80%  Patients reaching TG &lt;500 mg/dL vs. 35% placebo — bringing most patients below the AP-risk threshold at 12 months  Clinical benefit supports premium list pricing at $40–45k  PROJECTED US MARKET  &gt;$10B  Olezarsen (Ionis): &gt;$3B projected peak sales  Plozasiran (Arrowhead): $3–4B projected peak sales  “What patients really look for is not going through [AP] again. If you can reduce it to almost zero, that’s what patients care about most.”  — Endocrinologist  “It’s more effective than 6 or 9 fish oil pills and a fibrate every day, forever … one shot at home, every four weeks. I have no trouble convincing somebody.”  — PCP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HbA1c +0.3 despite Rx; Hyperglycemia AEs were most common Plozasiran AE1,4; Plozasiran excluded HBA1c&gt;9  Population  Drug / Study  TG Reduction  Adverse Effects on Glycemic Control (in T2DM)  Source  mHTG  Plozasiran — MUIR Ph2b, Wk 24  58% (56% pbo corrected) – 25mg  +0.36% (25mg) absolute vs. placebo  Ballantyne, NEJM 2024  sHTG  Plozasiran — SHASTA-2 Ph2b, Wk 24  70% (53% pbo-corrected) - 25mg  Worsening glycemic control TEAE 16.4% (25 mg) vs 11.5% pbo  Gaudet, JAMA Cardiol 2024  sHTG + mHTG  Plozasiran — SHASTA-2 + MUIR OLE, 24 mo  −83% (SHASTA-2 OLE) – 25mg  −67% (MUIR OLE) – 25mg  9.6% T2DM / 6.7% DM / 4.1% "HbA1c increased" as TEAEs; glycemic terms drove 69% of drug d/c  Ballantyne, Am J Prev Cardiol 2026  sHTG  Plozasiran — SHASTA-3/4  79-81% (52-54% pbo-corrected*) – 25mg, 12 mo  +0.2-0.3% in overall population at 6 months (T2DM subgroup not yet reported); 14% glycemic AEs vs 8.7% pbo despite active protocol- mandated management  Watts GF, ESC Congress 2026  sHTG  Olezarsen — CORE/CORE2 Ph3  63% (49-63% pbo corrected) – 50mg, 6 mo  68-73% (55-72 pbo corrected) – 80mg, 6 mo  +0.34% (50mg) / +0.25% (80mg) pbo-adj. at 12 mo, both p&lt;0.05  Marston, NEJM 2025  sHTG  Olezarsen – approved sHTG label  As above  Hepatic fat in Warnings &amp; Precautions   Increase in glucose, worse in diabetics (clinical trial section of label)  FDA-approved USPI  FCS  Plozasiran — PALISADE, 10 mo  80% (59% pbo corrected) – 25mg  +0.36% HbA1c (25mg); FPG +9 mg/dL (diabetic+nondiabetic); hyperglycemia 40% (nondiabetic) vs 20% placebo  Redemplo USPI, Nov 2025  FCS  Olezarsen — approved FCS label  30% (43% pbo corrected) – 80mg  Hyperglycemia 52% (nondiabetic) vs 35% placebo  Tryngolza USPI  Summary: APOC3 class effect; 2 molecules, 3 populations (mHTG, sHTG, FCS); 5+ independent studies and 2 FDA labels all show the same ~0.3–0.4% HbA1c signal despite antidiabetic meds  1. Ballantyne et al., NEJM 2024 &amp; Am J Prev Cardiol 2026; 2. Marston et al., NEJM 2025; 3. Gaudet et al., JAMA Cardiol 2024; 4. Tryngolza &amp; Redemplo USP; 5. Watts GF, et al. SHASTA-3/SHASTA-4. ESC Congress 2026  *Placebo correction calculated by Marea  APOC3 Class Comes at a Cost:Deterioration in Glycemia / Exclusion of the 30% Patients with Poorly Controlled T2DM  Confidential  Cross-trial comparisons are subject to inherent limitations and should be interpreted with caution; no head-to-head studies were conducted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Biology and Genetics Support Inhibition of ANGPTL4 as Potential Best-in-Disease Profile  The first physiologic sink for excess triglycerides  Genetics predict differentiated impact on glycemic control*  APOC3 Inhibition (Olezarsen/Plozasiran)  ANGPTL4 Inhibition (MAR001/5)  Abbreviations: LPL: lipoprotein lipase; HFF: hepatic fat fraction;* https://academic.oup.com/ehjopen/article/4/3/oeae035/7659859; https://doi. org/10.1186/s12933-026-03209-w; https://doi.org/10.1038/s41467-018-04611-z  A potential mechanism with no observed metabolic penalty  Forced hepatic TG clearance  HbA1c increases in patients with T2DM  HFF increases   Physiological adipose TG clearance  No hepatic fat loading  TG lowering scales with disease severity  APOC3  ANGPTL4  T2DM risk  Glucose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TYDAL-TIMI 78 Phase 2b: Establishing a Potential Best in Disease Profile  &gt;60% T2DM/pre-DM informs metabolic safety profile; sHTG subgroup informs clinical activity  Pre-read  1. Participants are randomized 3:1 MAR001 to placebo (~59 participants per arm); TG: triglycerides; RC: remnant cholesterol; TD2M: Type-2 diabetes mellitus; https://timi.org/tydal-timi-78; 2. 12-week efficacy data available for 23 patients; efficacy numbers are median change to 12 weeks  Day 1  Randomization  Week 12:  Primary Endpoint  300 mg  450 mg  900 mg  Placebo  MAR001  Active  Treatment  Arms  (Q4W)  Week 24  Confidential  Study Population (N=235)  Key Inclusion Criteria:  TG ≥ 150 to &lt; 880 mg/dL  Baseline characteristics  ~61% pre-DM/T2DM  ≥400 mg/dL subgroup (n=252): baseline TG = 495 mg/dL  ≥500 mg/dL subgroup (n=12): baseline TG = 606 mg/dL  Key Endpoints:  Primary (at 12 weeks):   % Reduction in TG  % Reduction in RC  Other secondary and exploratory endpoints  HbA1c  Lipids at Week 12 and 24  Key 12-week Topline Data  Approx 40% TG lowering overall  TG lowering scales with baseline TG  &gt;65% in TG≥400 mg/dL group (n=15; MAR001 pooled)  ~70% in TG≥500 mg/dL group (n=7; MAR001 pooled)  Consistent effects at 24 weeks  Safety profile consistent with placebo (overall TEAES &lt; pbo)  No increase in HbA1c (numeric reduction)  No liver enzyme elevation signal (numeric reductions)  Injection site reactions similar to placebo  PK/PD supports go-forward MAR005 dose of 300mg monthly for Phase 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MAR001: Emerging Clinical Data Supports Potential Best-in-Disease Profile  1. Marston, NA, et al. N Engl J Med 2025;394:429-441; 2. Gaudet D, et al. JAMA Cardiol. 2024;9(7):620-630; 3. Cummings, B, et al. The Lancet. 2025;405(10493):1923-1934; 4. Ballantyne C, et al. N Engl J Med 2024;391(10):899-912; (the SHASTA-2 study did not report HbA1c in T2DM, this data is from the MUIR study of Plozasiran in mixed dyslipidemia); 5. Marea data on file from MAR-102 and MAR-104; 6. Lepor N, et al. WCIRDC 2025; Poster #0034; 7. Watts GF, et al. SHASTA-3/SHASTA-4. ESC Congress 2026  Confidential  MAR001/005  Olezarsen1  Plozasiran2,4,6, 7  TG Lowering  HbA1c  Hepatic Fat  Dosing  -70% +  Phase 2b, pooled 450/900 mg dose; &gt;500 mg/dL subgroup; median TG 606 mg/dL at baseline  -63 to -73%  Phase 3 efficacy; median TG 793 mg/dL at baseline  -79 to -81%  -27% pbo  Phase 3 efficacy; median TG 677 mg/dL at baseline  -0.2%  Decrease in Phase 2b vs. pbo (prelim. &amp; not significant)  +0.25 to +0.34%  Increase in T2D subgroup in Phase 3 vs. pbo  +0.36%  Increase in T2D subgroup in Phase 2b vs. pbo; up to 20% diabetes AEs  0%  No hepatic fat increase3, 5  +2 to +4%  Absolute increase in hepatic fat fraction  +1.5%  Absolute increase in hepatic fat fraction vs pbo in Phase 3 (NS, p=0.70)  Q4W–Q12W  SC dosing with MAR005  Q4W  SC dosing  Q12W  SC dosing  Cross-trial comparisons are subject to inherent limitations and should be interpreted with caution; no head-to-head studies were conducted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+0.3 HbA1c difference could be clinically meaningful  Even small, sustained HbA1c increases carry independent cardiovascular risk1  +0.3 HbA1c increase is estimated to lead to ~6% higher risk of diabetes-related death and ~11% higher risk of microvascular complications2  HbA1c drives physician choice in sHTG  HbA1c stabilization #1 physician weighted attribute for new sHTG drugs in T2DM patients3  Potential for 1/3 or more of a $10B market  Driven by uptake in the 1.8 M patients with sHTG+T2DM where at least 50% have uncontrolled glucose4 and where competitors excluded poorly controlled T2DM (30% of sHTG patients)  “Any new starts would probably go to the ANGPTL4 inhibitor … a much cleaner profile without the hepatic-fat increase, and you don’t see an A1C increase.”  — Endocrinologist  “The main difference is in the safety category, which I put at the top … there’s no hepatic-fat issue, there’s no A1C issue.”  — Cardiologist  1. Luo S, et al. Diabetologia 2021;64(11):2502–2510; 2. Stratton IM, et al. BMJ 2000;321(7258):405–412. Data above are an illustrative linear scaling of this relationship to a 0.3-point change and are not a direct finding from APOC3 clinical trials.  3. Market research conducted by ClearView Healthcare Partners (Q1 2026): quantitative physician survey (N=151: 75 endocrinologists, 70 cardiologists, 6 lipidologists) plus N=15 in-depth qualitative interviews incorporating a blinded discrete-choice/conjoint exercise to isolate the relative importance of individual product attributes (efficacy, safety, dosing) on treatment share; 4. "Trends in Diabetes Treatment and Control in U.S. Adults, 1999–2018," N Engl J Med 2021;384:2219–2228  “I would target the use of [MAR005] for patients who have diabetes or prediabetes, or I think are at high risk for developing diabetes”  -Cardiologist  Confidential  MAR001/5 Profile: Highly Differentiated; Compelling to Physicians; Represents Large Potential Opportunity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As Predicted by Biology: ANGPTL4 Inhibition Overperforms in sHTG vs. mHTG  TG lowering scales with baseline TGs: MAR001 is competitive with APOC3 inhibitors in severe patients  Notes: Clinical Data from MAR001 and APOC3 Programs; data extrapolation and curve fitting are based on the following:  Olezarsen data are from four trials (BRIDGE-TIMI 73a, ESSENCE-TIMI 73b, CORE-TIMI 72a, CORE2-TIMI 72b) at both the 50mg and 80mg Q4W doses, with overall trial populations at Month 6.  Plozasiran data are from the MUIR trial (25mg Q12W, overall population, Week 24) and the SHASTA-2 trial (25mg Q12W, overall population, Week 24). Phase 3 plozasiran data pending  MAR001 data are from three studies: the Phase 1 single-dose study (450mg, overall populations from Parts IA, IB, and IC at Day 15), the Phase 1b/2a multidose study (MAR-102; 450mg Q2W, overall population, Week 12), and TYDAL-TIMI 78 (MAR-103; 900mg Q4W, overall population and baseline TG subgroups ≥300, ≥400, and ≥500 mg/dL, Week 12).   Confidential  APOC3: (Olezarsen, Plozasiran)  MAR001  Cross-trial comparisons are subject to inherent limitations and should be interpreted with caution; no head-to-head studies were conducted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MAR-104 Study: Potential Best-in-Class Suppression of Postprandial TGs  MAR001 flattens the post-prandial TG surge, the key driver of AP risk  Participants are randomized 2:1 MAR001 to placebo (~21 participants in MAR001 arm and 10 patients in placebo arm) TG: triglycerides; AP; acute pancreatitis, iAUC is AUC corrected for baseline fasting TGs  Kraaijenhof JM et al. "Plasma reduction of apolipoprotein C-III with olezarsen leads to significant reductions in postprandial triglyceride levels: results from a randomized trial." Eur J Prev Cardiol 2025; Estimate from figure 1D  Post-prandial TG suppression similar to or greater than results with Olezarsan (↓50% AUC, 28% iAUC)2  Study Population (N=31)  Key Inclusion Criteria  TG ≥ 175 to &lt; 500 mg/dL   HbA1c: 5.5 to 9%  Key Baseline Characteristics  % Pts with Pre-DM/T2DM: 87%  Mean TG: 261 mg/dL  Key Endpoints  Post-prandial TG at week 12 and 24  Day 1  Randomization  Week 12:  Primary Endpoint  MAR001 900 mg Q4W   Placebo Q4W  Week 24  Key 12-week topline data  42% reduction in TG AUC at 12 weeks for MAR001 vs. Pbo  40% reduction in TG iAUC at 12 weeks vs pbo  Confidential  mixed meal challenge  TG (mg/dL)  Hours Post-Meal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MAR002 for Acromegaly  First long-acting GHR antagonist candidate for acromegaly  Section IV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Acromegaly: Serious Disease with Inadequate Options for Medical Therapy  ~30K patients US   caused by excess GH production from benign pituitary adenoma.  Early Mortality and High Morbidity  Bone/organ overgrowth, cardiovascular &amp; metabolic disease.  Median lifespan shortened by ~10 years without effective therapy.  Medical Therapy Goals:  Decrease tumor volume (some patients)  Normalize IGF-1 levels (all patients)  &gt;70% of patients are addressable: Approx 9K US patients need a better GH antagonist to achieve IGF-1 normalization  Efficient Development Path: IGF-1 is an established clinical and regulatory endpoint.  Abbreviations: GH: Growth Hormone; GHR; Growth Hormone Receptor; SRL: Somatostatin Receptor Ligand  Sources: UpToDate; Holdaway et al., Eur J Endo, 2008; Moustaki et al, Endocrine, 2023; van der Lely et al., Lancet, 2001  The Burden &amp; Opportunity  Pituitary Gland  Liver  Body Tissue  Excess IGF-1  Somatic Growth &amp; Metabolic Dysfunction  Inhibit Secretion (e.g., SRLs)  Acts on pituitary to reduce GH release  Can also shrink tumor  1  x  Block Action (e.g., Somavert)  Blocks GH receptor signaling.  2  Two Approaches to Medical Therapy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Medical Therapy Treatment Guidelines: Direct Growth Hormone Antagonists Critical for &gt;70% of Patients  IGF-1 &gt; ULN after surgery  T2DM, unfavorable tumor histology  lower IGF-1, favorable tumor histology, tumor mass concerns  Direct GHRA (somavert)  SRL or Dopamine Agonists  IGF-1 uncontrolled  add GHRA  IGF-1 and glucose uncontrolled, no tumor mass concerns  switch to GHRA  IGF-1 uncontrolled + tumor mass concerns  ~80%  ~10-20%  &gt;70%  SRLs often initiated first for tumor volume control  Role for first line GHRA in ~10-20% of patients  70% of patients prescribed SRLs require second-line GHRA  First Line  Second Line  Sources: Melmed &amp; Giustina, Nat Rev Endocrinol, 2025; Fleseriu et al., J Endocr Soc, 2023; Moustaki et al., Endocrine, 2023; Carmichael et al., J Clin Endocrinol Metab, 2014; Colao et al., J Clin Endocrinol Metab, 2014.   Abbreviations: GHRA: growth hormone receptor antagonist; SRL: somatostatin receptor ligand.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Marea Opportunity  Most patients are not fully controlled or cannot tolerate current therapies  MAR002 (anti-GHR mAb)  A Potential Optimal Direct GHRA  SRLs: First line, but limited control  Somatostatin receptor ligands: &lt;30% disease control  SRL class causes GI intolerance and hyperglycemia  Often used first-line for tumor mass control  A $1B US market despite addressing only 30% of patients  The most effective drug class is underused  Direct GHRA: 81% disease2 control  The only approved GHRA has poor PK, tolerability  1-2 daily painful injections, LFTs  Real-world efficacy is only 50% (low compliance)  $300M global sales despite severe limitations  Strong drive to treat patients to IGF-1 Goal  2.5x mortality rate in patients who do not achieve IGF-1 normalization1  Guidelines mandate medical therapy to control  1. Holdaway IM, et al. Eur J Endocrinol 2008;159(2):89–95; 2. Trainer PJ, et al. N Engl J Med 2000;342(16):1171–1177; 3. Marea data on file; 4. Cross-trial comparisons are subject to inherent limitations and should be interpreted with caution. MAR002: Marea data on file (single 900 mg SC dose, n=8); Pegvisomant (Somavert) comparator estimated from Thorner MO, et al. J Clin Endocrinol Metab 1999;84(6):2098–2103, Fig 6 (single 1.0 mg/kg SC dose, n=6); *SRL projected market opportunity; Abbreviations: GHRA: growth hormone receptor antagonist  IGF-1 max suppression3  &gt;60%  &gt;10x  Longer duration of &gt;45% IGF-1 suppression vs. Somavert in healthy volunteers4  &gt;$1B*  Potential to address 3x more patients than SRLs  “I loved how I felt on GHR-antagonist therapy, but the daily injections were hard to sustain. Having that same level of clinical control without the daily burden would be life-changing. MAR002 isn’t just a new drug; it’s a chance to get our lives back.”  Jill Sisco, President, Acromegaly Community  This drug could improve control in most patients, either alone or in combination with an SRL.   leading U.S. KOL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An Optimal Direct GHRA Could Address 3-4x More Patients than the SRL Class  A better GHRA than Somavert is needed to address &gt;9K patients  Sources: Crinetics, FDA Pegvisomant and Paltusotine labelling; https://www.accessdata.fda.gov/drugsatfda_docs/label/2025/219070s000lbl.pdf; https://labeling.pfizer.com/ShowLabeling.aspx?id=3213   SRLs: &lt;30% Disease Control in   Treatment-naïve patients  (Paltusotine)   GH Antagonist: &gt;90% Disease Control  (Somavert)   Treatment-naive subgroup (n=22) analysis from Phase 3 Pathfinder-2 Study  Safety: mechanism-related hyperglycemia (74% of treated participants developed at least 1 incident) and GI AEs  Limitations: daily, painful injections, LFT elevations related to pegylation, poor access   IGF &gt; normal  (uncontrolled,   2.5x mortality)  77%   IGF normal  (controlled)  Naïve to GHRA treatment  18%  23%   82%   Phase 3  The Marea opportunity  Mono-and combination with SRLs  TAM 3-4x SRL class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MAR002: Allosteric Mechanism, Potential for greater Efficacy than Somavert  Maintains Potent GHR Antagonism at High GH Levels (Preclinical Data)  Confidential  Somavert: loses efficacy at high GH concentrations  MAR002: maintains reduction at high GH concentrations  Increasing growth hormone levels  Growth hormone signaling  No drug: increasing GH leads to increased signaling   Source: Kurylo K, et al. Development and characterization of a long-acting allosteric GHRA for acromegaly. Endocrinology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Phase 1 Healthy Volunteer Study Established Potential Best-in-Class Profile  Potential best-in-disease suppression; 300 mg Q2W predicted clinical dose  1. Cross-trial comparison, not a head-to-head study. MAR002: Marea data on file (single 900 mg SC dose, n=8); Pegvisomant (Somavert) comparator estimated from Thorner MO, et al. J Clin Endocrinol Metab 1999;84(6):2098–2103, Fig 6 (single 1.0 mg/kg SC dose, n=6); 2. Tiberg F et al. Br J Clin Pharmacol 2015;80(3):460–472. 3. Madan A et al. Pituitary 2022;25(2):328–339; Abbreviations: FIH: first-inhuman; POM: proof-of-mechanism; SAD: single ascending dose; BL: baseline; SC: subcutaneous; all cohorts N = 8 (6:2); All doses of MAR002 were a single dose except for 900mgx3  Confidential  Phase 1 Study Design  Healthy men (n=45), baseline IGF-1 &gt; 100 ng/ml  MAR002 Safety Summary to Date  Generally well tolerated  No serious AEs  All doses tolerated  No related signals  Somavert (49%)1  SRLs (37-40%)2,3  Somavert  (&lt;4 days)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MAR002: Emerging Clinical Data Supports Potential Best-in-Class Profile  Confidential  MAR002  Somavert  Peak IGF-1 Suppression in HV  In vitro potency with excess GH  IGF-1 Normalization  PK/Dosing  -64%  -49%1  90% suppression  24% suppression2  competitive peptide  Expected &gt; Somavert  81% IGF-1 normalization in patients3 (Phase 3)  Q2W SC  Qday dosing4  Painful injections  Vial and syringe  Allosteric mAb  Tolerability  No signals to date  Significant LFTs, ISRs4  1. Thorner MO, et al. J Clin Endocrinol Metab 1999;84:2098–2103 (single 1.0 mg/kg SC, day 5, n=6); 2. Kurylo K, et al. Development and characterization of a long-acting allosteric GHRA for acromegaly. Endocrinology 2026; 3. Trainer PJ, et al. N Engl J Med 2000;342:1171–1177 (15 mg/day, week 12, n=112); 4. SOMAVERT (pegvisomant) US Prescribing Information, rev. 7/2023, §§2.1, 5.2, 6.1, 16.  Cross-trial comparisons are subject to inherent limitations and should be interpreted with caution; no head-to-head studies were conducted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Efficient Development to POC to Evaluate 1st and 2nd Line Label  Phase 2 study population supports 1) first line monotherapy 2) second line combination therapy 3) second line monotherapy  Week 10:  Primary Endpoint  150 mg Q2W  300 mg Q2W  600 mg Q2W  Placebo  + Open Label Extension  MAR002  Active  Treatment  Arms  Study Population  (N~72)  All-Comers  Untreated   Controlled on peg therapy – washout   Uncontrolled on stable medical therapy - add on  IGF-1 &gt; 1.3x ULN  1st dose: 900 mg loading dose  Key week-10 Topline Data  Assess the effect on serum insulin-like growth factor 1 (IGF-1) response  Explore effects on acromegaly symptoms  Assess safety and tolerability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Molecule  Target  Indication  Disc  IND-E  Ph1  Ph2  Ph3  Anticipated Near-term Milestones  MAR001  (parent mAb)  ANGPTL4  sHTG  MAR005  (half-life extended MAR001)  ANGPTL4  sHTG  MAR002  Growth hormone receptor  Acromegaly  Advancing a Late-Stage Cardioendocrine Pipeline Toward Potential 2026-27 Value Inflections  MAR001 Phase 2b TYDAL (mHTG/sHTG)  Abbreviations: NHV: normal healthy volunteer; sHTG: Severe Hypertriglyceridemia  Q2 2026  Phase 2/2b 12-week data  H2 2026  Phase 2/2b 24-week data  H2 2027  Phase 2 extension (sHTG) topline data  Q1 2026  Phase 1 (NHV) topline data  Mid-2026  Initiate Phase 2 study  Mid-2027  Interim Phase 2 data  Q4 2027  Phase 2 topline data  H1 2028  Phase 3 FPI  MAR001 Phase 2 Mechanistic Study  Endocrine     Cardiometabolic  Mid-2027  Phase 3 MAR005 dose selection including additional TG efficacy/PD  H2 2027  Phase 3 FPI     MAR001 Phase 2b extension (sHTG)     MAR001 has established POC in Phase 2. MAR005 is our Phase 3 candidate- it is an improved version of MAR001 with half-life extension and improved PK. The FDA agreed to PK bridging to Phase 3.  Marea also has developed a SiRNA platform and is developing adipose tissue targeted SiRNAs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Experienced Team; Strong Investor Base  MANAGEMENT TEAM  Josh Lehrer, MD  CEO  Caitlin Murray, Esq  Fractional GC  Ian Clements, PhD  CFO  Ethan Weiss, MD  CSO, Scientific Founder  Shishir Gadam, PhD  CTO  Max Zeiberg  SVP, Corp Dev  Rebecca Juliano, PhD  CDO  SCIENTIFIC FOUNDERS  Joshua Rabinowitz, MD, PhD  Professor of Chemistry,                  Princeton University  Sir Stephen O’Rahilly, MD, FRS  Professor of Clinical Biochemistry &amp; Medicine, University of Cambridge  Charles Homcy, MD  Founder: Myokardia, GBT, BridgeBio, Portola, Maze, Pliant  INVESTORS  Confidential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©2026 Marea Therapeutics, Inc. All rights reserved.   Confidential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125262</Words>
  <Characters>674896</Characters>
  <CharactersWithSpaces>805995</CharactersWithSpaces>
  <Paragraphs>3945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