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 10-Q</w:t>
      </w:r>
    </w:p>
    <w:p>
      <w:pPr>
        <w:spacing w:after="0" w:line="139" w:lineRule="exact"/>
        <w:rPr>
          <w:sz w:val="24"/>
          <w:szCs w:val="24"/>
          <w:color w:val="auto"/>
        </w:rPr>
      </w:pPr>
    </w:p>
    <w:p>
      <w:pPr>
        <w:ind w:left="400" w:hanging="376"/>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Quarterly Period Ended September 30, 2023</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139" w:lineRule="exact"/>
        <w:rPr>
          <w:sz w:val="24"/>
          <w:szCs w:val="24"/>
          <w:color w:val="auto"/>
        </w:rPr>
      </w:pPr>
    </w:p>
    <w:p>
      <w:pPr>
        <w:ind w:left="360" w:hanging="336"/>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312" w:lineRule="exact"/>
        <w:rPr>
          <w:sz w:val="24"/>
          <w:szCs w:val="24"/>
          <w:color w:val="auto"/>
        </w:rPr>
      </w:pPr>
    </w:p>
    <w:p>
      <w:pPr>
        <w:ind w:left="2460"/>
        <w:spacing w:after="0"/>
        <w:rPr>
          <w:sz w:val="20"/>
          <w:szCs w:val="20"/>
          <w:color w:val="auto"/>
        </w:rPr>
      </w:pPr>
      <w:r>
        <w:rPr>
          <w:rFonts w:ascii="Arial" w:cs="Arial" w:eastAsia="Arial" w:hAnsi="Arial"/>
          <w:sz w:val="18"/>
          <w:szCs w:val="18"/>
          <w:color w:val="auto"/>
        </w:rPr>
        <w:t>For the Transition Period from __________________  to _________________________</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001-33650</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LISATA THERAPEUTICS, INC.</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94" w:lineRule="exact"/>
        <w:rPr>
          <w:sz w:val="24"/>
          <w:szCs w:val="24"/>
          <w:color w:val="auto"/>
        </w:rPr>
      </w:pPr>
    </w:p>
    <w:tbl>
      <w:tblPr>
        <w:tblLayout w:type="fixed"/>
        <w:tblInd w:w="100" w:type="dxa"/>
        <w:tblCellMar>
          <w:top w:w="0" w:type="dxa"/>
          <w:left w:w="0" w:type="dxa"/>
          <w:bottom w:w="0" w:type="dxa"/>
          <w:right w:w="0" w:type="dxa"/>
        </w:tblCellMar>
      </w:tblPr>
      <w:tr>
        <w:trPr>
          <w:trHeight w:val="224"/>
        </w:trPr>
        <w:tc>
          <w:tcPr>
            <w:tcW w:w="20" w:type="dxa"/>
            <w:vAlign w:val="bottom"/>
          </w:tcPr>
          <w:p>
            <w:pPr>
              <w:spacing w:after="0"/>
              <w:rPr>
                <w:sz w:val="19"/>
                <w:szCs w:val="19"/>
                <w:color w:val="auto"/>
              </w:rPr>
            </w:pPr>
          </w:p>
        </w:tc>
        <w:tc>
          <w:tcPr>
            <w:tcW w:w="4600" w:type="dxa"/>
            <w:vAlign w:val="bottom"/>
          </w:tcPr>
          <w:p>
            <w:pPr>
              <w:jc w:val="center"/>
              <w:ind w:left="1151"/>
              <w:spacing w:after="0"/>
              <w:rPr>
                <w:sz w:val="20"/>
                <w:szCs w:val="20"/>
                <w:color w:val="auto"/>
              </w:rPr>
            </w:pPr>
            <w:r>
              <w:rPr>
                <w:rFonts w:ascii="Arial" w:cs="Arial" w:eastAsia="Arial" w:hAnsi="Arial"/>
                <w:sz w:val="18"/>
                <w:szCs w:val="18"/>
                <w:color w:val="auto"/>
                <w:w w:val="89"/>
              </w:rPr>
              <w:t>Delaware</w:t>
            </w:r>
          </w:p>
        </w:tc>
        <w:tc>
          <w:tcPr>
            <w:tcW w:w="2160" w:type="dxa"/>
            <w:vAlign w:val="bottom"/>
          </w:tcPr>
          <w:p>
            <w:pPr>
              <w:spacing w:after="0"/>
              <w:rPr>
                <w:sz w:val="19"/>
                <w:szCs w:val="19"/>
                <w:color w:val="auto"/>
              </w:rPr>
            </w:pPr>
          </w:p>
        </w:tc>
        <w:tc>
          <w:tcPr>
            <w:tcW w:w="4320" w:type="dxa"/>
            <w:vAlign w:val="bottom"/>
          </w:tcPr>
          <w:p>
            <w:pPr>
              <w:jc w:val="right"/>
              <w:ind w:right="2051"/>
              <w:spacing w:after="0"/>
              <w:rPr>
                <w:sz w:val="20"/>
                <w:szCs w:val="20"/>
                <w:color w:val="auto"/>
              </w:rPr>
            </w:pPr>
            <w:r>
              <w:rPr>
                <w:rFonts w:ascii="Arial" w:cs="Arial" w:eastAsia="Arial" w:hAnsi="Arial"/>
                <w:sz w:val="18"/>
                <w:szCs w:val="18"/>
                <w:color w:val="auto"/>
              </w:rPr>
              <w:t>22-2343568</w:t>
            </w:r>
          </w:p>
        </w:tc>
      </w:tr>
      <w:tr>
        <w:trPr>
          <w:trHeight w:val="226"/>
        </w:trPr>
        <w:tc>
          <w:tcPr>
            <w:tcW w:w="20" w:type="dxa"/>
            <w:vAlign w:val="bottom"/>
          </w:tcPr>
          <w:p>
            <w:pPr>
              <w:spacing w:after="0"/>
              <w:rPr>
                <w:sz w:val="19"/>
                <w:szCs w:val="19"/>
                <w:color w:val="auto"/>
              </w:rPr>
            </w:pPr>
          </w:p>
        </w:tc>
        <w:tc>
          <w:tcPr>
            <w:tcW w:w="6760" w:type="dxa"/>
            <w:vAlign w:val="bottom"/>
            <w:gridSpan w:val="2"/>
          </w:tcPr>
          <w:p>
            <w:pPr>
              <w:jc w:val="center"/>
              <w:ind w:right="831"/>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4320" w:type="dxa"/>
            <w:vAlign w:val="bottom"/>
          </w:tcPr>
          <w:p>
            <w:pPr>
              <w:jc w:val="center"/>
              <w:ind w:right="731"/>
              <w:spacing w:after="0"/>
              <w:rPr>
                <w:sz w:val="20"/>
                <w:szCs w:val="20"/>
                <w:color w:val="auto"/>
              </w:rPr>
            </w:pPr>
            <w:r>
              <w:rPr>
                <w:rFonts w:ascii="Arial" w:cs="Arial" w:eastAsia="Arial" w:hAnsi="Arial"/>
                <w:sz w:val="18"/>
                <w:szCs w:val="18"/>
                <w:color w:val="auto"/>
                <w:w w:val="93"/>
              </w:rPr>
              <w:t>(I.R.S. Employer Identification No.)</w:t>
            </w:r>
          </w:p>
        </w:tc>
      </w:tr>
      <w:tr>
        <w:trPr>
          <w:trHeight w:val="453"/>
        </w:trPr>
        <w:tc>
          <w:tcPr>
            <w:tcW w:w="20" w:type="dxa"/>
            <w:vAlign w:val="bottom"/>
          </w:tcPr>
          <w:p>
            <w:pPr>
              <w:spacing w:after="0"/>
              <w:rPr>
                <w:sz w:val="24"/>
                <w:szCs w:val="24"/>
                <w:color w:val="auto"/>
              </w:rPr>
            </w:pPr>
          </w:p>
        </w:tc>
        <w:tc>
          <w:tcPr>
            <w:tcW w:w="6760" w:type="dxa"/>
            <w:vAlign w:val="bottom"/>
            <w:gridSpan w:val="2"/>
          </w:tcPr>
          <w:p>
            <w:pPr>
              <w:jc w:val="center"/>
              <w:ind w:right="851"/>
              <w:spacing w:after="0"/>
              <w:rPr>
                <w:sz w:val="20"/>
                <w:szCs w:val="20"/>
                <w:color w:val="auto"/>
              </w:rPr>
            </w:pPr>
            <w:r>
              <w:rPr>
                <w:rFonts w:ascii="Arial" w:cs="Arial" w:eastAsia="Arial" w:hAnsi="Arial"/>
                <w:sz w:val="18"/>
                <w:szCs w:val="18"/>
                <w:color w:val="auto"/>
                <w:w w:val="89"/>
              </w:rPr>
              <w:t>110 Allen Road, 2nd Floor, Basking Ridge, New Jersey</w:t>
            </w:r>
          </w:p>
        </w:tc>
        <w:tc>
          <w:tcPr>
            <w:tcW w:w="4320" w:type="dxa"/>
            <w:vAlign w:val="bottom"/>
          </w:tcPr>
          <w:p>
            <w:pPr>
              <w:jc w:val="right"/>
              <w:ind w:right="2251"/>
              <w:spacing w:after="0"/>
              <w:rPr>
                <w:sz w:val="20"/>
                <w:szCs w:val="20"/>
                <w:color w:val="auto"/>
              </w:rPr>
            </w:pPr>
            <w:r>
              <w:rPr>
                <w:rFonts w:ascii="Arial" w:cs="Arial" w:eastAsia="Arial" w:hAnsi="Arial"/>
                <w:sz w:val="18"/>
                <w:szCs w:val="18"/>
                <w:color w:val="auto"/>
              </w:rPr>
              <w:t>07920</w:t>
            </w:r>
          </w:p>
        </w:tc>
      </w:tr>
      <w:tr>
        <w:trPr>
          <w:trHeight w:val="226"/>
        </w:trPr>
        <w:tc>
          <w:tcPr>
            <w:tcW w:w="20" w:type="dxa"/>
            <w:vAlign w:val="bottom"/>
          </w:tcPr>
          <w:p>
            <w:pPr>
              <w:spacing w:after="0"/>
              <w:rPr>
                <w:sz w:val="19"/>
                <w:szCs w:val="19"/>
                <w:color w:val="auto"/>
              </w:rPr>
            </w:pPr>
          </w:p>
        </w:tc>
        <w:tc>
          <w:tcPr>
            <w:tcW w:w="4600" w:type="dxa"/>
            <w:vAlign w:val="bottom"/>
          </w:tcPr>
          <w:p>
            <w:pPr>
              <w:jc w:val="center"/>
              <w:ind w:left="1131"/>
              <w:spacing w:after="0"/>
              <w:rPr>
                <w:sz w:val="20"/>
                <w:szCs w:val="20"/>
                <w:color w:val="auto"/>
              </w:rPr>
            </w:pPr>
            <w:r>
              <w:rPr>
                <w:rFonts w:ascii="Arial" w:cs="Arial" w:eastAsia="Arial" w:hAnsi="Arial"/>
                <w:sz w:val="18"/>
                <w:szCs w:val="18"/>
                <w:color w:val="auto"/>
                <w:w w:val="91"/>
              </w:rPr>
              <w:t>(Address of principal executive offices)</w:t>
            </w:r>
          </w:p>
        </w:tc>
        <w:tc>
          <w:tcPr>
            <w:tcW w:w="2160" w:type="dxa"/>
            <w:vAlign w:val="bottom"/>
          </w:tcPr>
          <w:p>
            <w:pPr>
              <w:spacing w:after="0"/>
              <w:rPr>
                <w:sz w:val="19"/>
                <w:szCs w:val="19"/>
                <w:color w:val="auto"/>
              </w:rPr>
            </w:pPr>
          </w:p>
        </w:tc>
        <w:tc>
          <w:tcPr>
            <w:tcW w:w="4320" w:type="dxa"/>
            <w:vAlign w:val="bottom"/>
          </w:tcPr>
          <w:p>
            <w:pPr>
              <w:jc w:val="center"/>
              <w:ind w:right="731"/>
              <w:spacing w:after="0"/>
              <w:rPr>
                <w:sz w:val="20"/>
                <w:szCs w:val="20"/>
                <w:color w:val="auto"/>
              </w:rPr>
            </w:pPr>
            <w:r>
              <w:rPr>
                <w:rFonts w:ascii="Arial" w:cs="Arial" w:eastAsia="Arial" w:hAnsi="Arial"/>
                <w:sz w:val="18"/>
                <w:szCs w:val="18"/>
                <w:color w:val="auto"/>
                <w:w w:val="88"/>
              </w:rPr>
              <w:t>(zip code)</w:t>
            </w:r>
          </w:p>
        </w:tc>
      </w:tr>
      <w:tr>
        <w:trPr>
          <w:trHeight w:val="519"/>
        </w:trPr>
        <w:tc>
          <w:tcPr>
            <w:tcW w:w="20" w:type="dxa"/>
            <w:vAlign w:val="bottom"/>
          </w:tcPr>
          <w:p>
            <w:pPr>
              <w:spacing w:after="0"/>
              <w:rPr>
                <w:sz w:val="24"/>
                <w:szCs w:val="24"/>
                <w:color w:val="auto"/>
              </w:rPr>
            </w:pPr>
          </w:p>
        </w:tc>
        <w:tc>
          <w:tcPr>
            <w:tcW w:w="11080" w:type="dxa"/>
            <w:vAlign w:val="bottom"/>
            <w:gridSpan w:val="3"/>
          </w:tcPr>
          <w:p>
            <w:pPr>
              <w:ind w:left="3140"/>
              <w:spacing w:after="0"/>
              <w:rPr>
                <w:sz w:val="20"/>
                <w:szCs w:val="20"/>
                <w:color w:val="auto"/>
              </w:rPr>
            </w:pPr>
            <w:r>
              <w:rPr>
                <w:rFonts w:ascii="Arial" w:cs="Arial" w:eastAsia="Arial" w:hAnsi="Arial"/>
                <w:sz w:val="18"/>
                <w:szCs w:val="18"/>
                <w:color w:val="auto"/>
              </w:rPr>
              <w:t>Registrant’s telephone number, including area code: 908-842-0100</w:t>
            </w:r>
          </w:p>
        </w:tc>
      </w:tr>
      <w:tr>
        <w:trPr>
          <w:trHeight w:val="675"/>
        </w:trPr>
        <w:tc>
          <w:tcPr>
            <w:tcW w:w="462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16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4600" w:type="dxa"/>
            <w:vAlign w:val="bottom"/>
          </w:tcPr>
          <w:p>
            <w:pPr>
              <w:jc w:val="center"/>
              <w:ind w:right="691"/>
              <w:spacing w:after="0"/>
              <w:rPr>
                <w:sz w:val="20"/>
                <w:szCs w:val="20"/>
                <w:color w:val="auto"/>
              </w:rPr>
            </w:pPr>
            <w:r>
              <w:rPr>
                <w:rFonts w:ascii="Arial" w:cs="Arial" w:eastAsia="Arial" w:hAnsi="Arial"/>
                <w:sz w:val="18"/>
                <w:szCs w:val="18"/>
                <w:b w:val="1"/>
                <w:bCs w:val="1"/>
                <w:color w:val="auto"/>
                <w:w w:val="86"/>
              </w:rPr>
              <w:t>Title of each class</w:t>
            </w:r>
          </w:p>
        </w:tc>
        <w:tc>
          <w:tcPr>
            <w:tcW w:w="2160" w:type="dxa"/>
            <w:vAlign w:val="bottom"/>
          </w:tcPr>
          <w:p>
            <w:pPr>
              <w:jc w:val="center"/>
              <w:ind w:right="111"/>
              <w:spacing w:after="0"/>
              <w:rPr>
                <w:sz w:val="20"/>
                <w:szCs w:val="20"/>
                <w:color w:val="auto"/>
              </w:rPr>
            </w:pPr>
            <w:r>
              <w:rPr>
                <w:rFonts w:ascii="Arial" w:cs="Arial" w:eastAsia="Arial" w:hAnsi="Arial"/>
                <w:sz w:val="18"/>
                <w:szCs w:val="18"/>
                <w:b w:val="1"/>
                <w:bCs w:val="1"/>
                <w:color w:val="auto"/>
                <w:w w:val="88"/>
              </w:rPr>
              <w:t>Trading Symbol(s)</w:t>
            </w:r>
          </w:p>
        </w:tc>
        <w:tc>
          <w:tcPr>
            <w:tcW w:w="4320" w:type="dxa"/>
            <w:vAlign w:val="bottom"/>
          </w:tcPr>
          <w:p>
            <w:pPr>
              <w:jc w:val="center"/>
              <w:ind w:left="431"/>
              <w:spacing w:after="0"/>
              <w:rPr>
                <w:sz w:val="20"/>
                <w:szCs w:val="20"/>
                <w:color w:val="auto"/>
              </w:rPr>
            </w:pPr>
            <w:r>
              <w:rPr>
                <w:rFonts w:ascii="Arial" w:cs="Arial" w:eastAsia="Arial" w:hAnsi="Arial"/>
                <w:sz w:val="18"/>
                <w:szCs w:val="18"/>
                <w:b w:val="1"/>
                <w:bCs w:val="1"/>
                <w:color w:val="auto"/>
                <w:w w:val="86"/>
              </w:rPr>
              <w:t>Name of each exchange on which registered</w:t>
            </w:r>
          </w:p>
        </w:tc>
      </w:tr>
      <w:tr>
        <w:trPr>
          <w:trHeight w:val="226"/>
        </w:trPr>
        <w:tc>
          <w:tcPr>
            <w:tcW w:w="20" w:type="dxa"/>
            <w:vAlign w:val="bottom"/>
          </w:tcPr>
          <w:p>
            <w:pPr>
              <w:spacing w:after="0"/>
              <w:rPr>
                <w:sz w:val="19"/>
                <w:szCs w:val="19"/>
                <w:color w:val="auto"/>
              </w:rPr>
            </w:pPr>
          </w:p>
        </w:tc>
        <w:tc>
          <w:tcPr>
            <w:tcW w:w="4600" w:type="dxa"/>
            <w:vAlign w:val="bottom"/>
          </w:tcPr>
          <w:p>
            <w:pPr>
              <w:jc w:val="center"/>
              <w:ind w:right="691"/>
              <w:spacing w:after="0"/>
              <w:rPr>
                <w:sz w:val="20"/>
                <w:szCs w:val="20"/>
                <w:color w:val="auto"/>
              </w:rPr>
            </w:pPr>
            <w:r>
              <w:rPr>
                <w:rFonts w:ascii="Arial" w:cs="Arial" w:eastAsia="Arial" w:hAnsi="Arial"/>
                <w:sz w:val="18"/>
                <w:szCs w:val="18"/>
                <w:color w:val="auto"/>
                <w:w w:val="87"/>
              </w:rPr>
              <w:t>Common Stock, par value $0.001 per share</w:t>
            </w:r>
          </w:p>
        </w:tc>
        <w:tc>
          <w:tcPr>
            <w:tcW w:w="2160" w:type="dxa"/>
            <w:vAlign w:val="bottom"/>
          </w:tcPr>
          <w:p>
            <w:pPr>
              <w:jc w:val="center"/>
              <w:ind w:right="111"/>
              <w:spacing w:after="0"/>
              <w:rPr>
                <w:sz w:val="20"/>
                <w:szCs w:val="20"/>
                <w:color w:val="auto"/>
              </w:rPr>
            </w:pPr>
            <w:r>
              <w:rPr>
                <w:rFonts w:ascii="Arial" w:cs="Arial" w:eastAsia="Arial" w:hAnsi="Arial"/>
                <w:sz w:val="18"/>
                <w:szCs w:val="18"/>
                <w:color w:val="auto"/>
                <w:w w:val="97"/>
              </w:rPr>
              <w:t>LSTA</w:t>
            </w:r>
          </w:p>
        </w:tc>
        <w:tc>
          <w:tcPr>
            <w:tcW w:w="4320" w:type="dxa"/>
            <w:vAlign w:val="bottom"/>
          </w:tcPr>
          <w:p>
            <w:pPr>
              <w:jc w:val="center"/>
              <w:ind w:left="431"/>
              <w:spacing w:after="0"/>
              <w:rPr>
                <w:sz w:val="20"/>
                <w:szCs w:val="20"/>
                <w:color w:val="auto"/>
              </w:rPr>
            </w:pPr>
            <w:r>
              <w:rPr>
                <w:rFonts w:ascii="Arial" w:cs="Arial" w:eastAsia="Arial" w:hAnsi="Arial"/>
                <w:sz w:val="18"/>
                <w:szCs w:val="18"/>
                <w:color w:val="auto"/>
                <w:w w:val="89"/>
              </w:rPr>
              <w:t>The Nasdaq Capital Market</w:t>
            </w:r>
          </w:p>
        </w:tc>
      </w:tr>
      <w:tr>
        <w:trPr>
          <w:trHeight w:val="208"/>
        </w:trPr>
        <w:tc>
          <w:tcPr>
            <w:tcW w:w="20" w:type="dxa"/>
            <w:vAlign w:val="bottom"/>
          </w:tcPr>
          <w:p>
            <w:pPr>
              <w:spacing w:after="0"/>
              <w:rPr>
                <w:sz w:val="18"/>
                <w:szCs w:val="18"/>
                <w:color w:val="auto"/>
              </w:rPr>
            </w:pPr>
          </w:p>
        </w:tc>
        <w:tc>
          <w:tcPr>
            <w:tcW w:w="460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tcPr>
          <w:p>
            <w:pPr>
              <w:spacing w:after="0"/>
              <w:rPr>
                <w:sz w:val="18"/>
                <w:szCs w:val="18"/>
                <w:color w:val="auto"/>
              </w:rPr>
            </w:pPr>
          </w:p>
        </w:tc>
        <w:tc>
          <w:tcPr>
            <w:tcW w:w="4320" w:type="dxa"/>
            <w:vAlign w:val="bottom"/>
            <w:tcBorders>
              <w:bottom w:val="single" w:sz="8" w:color="auto"/>
            </w:tcBorders>
          </w:tcPr>
          <w:p>
            <w:pPr>
              <w:spacing w:after="0"/>
              <w:rPr>
                <w:sz w:val="18"/>
                <w:szCs w:val="18"/>
                <w:color w:val="auto"/>
              </w:rPr>
            </w:pPr>
          </w:p>
        </w:tc>
      </w:tr>
    </w:tbl>
    <w:p>
      <w:pPr>
        <w:spacing w:after="0" w:line="347" w:lineRule="exact"/>
        <w:rPr>
          <w:sz w:val="24"/>
          <w:szCs w:val="24"/>
          <w:color w:val="auto"/>
        </w:rPr>
      </w:pPr>
    </w:p>
    <w:p>
      <w:pPr>
        <w:jc w:val="both"/>
        <w:ind w:left="120" w:right="20" w:firstLine="240"/>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jc w:val="both"/>
        <w:ind w:left="120" w:right="20" w:firstLine="240"/>
        <w:spacing w:after="0" w:line="22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 w:lineRule="exact"/>
        <w:rPr>
          <w:sz w:val="24"/>
          <w:szCs w:val="24"/>
          <w:color w:val="auto"/>
        </w:rPr>
      </w:pPr>
    </w:p>
    <w:p>
      <w:pPr>
        <w:jc w:val="both"/>
        <w:ind w:left="120" w:right="20" w:firstLine="2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6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3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8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4" w:lineRule="exact"/>
        <w:rPr>
          <w:sz w:val="24"/>
          <w:szCs w:val="24"/>
          <w:color w:val="auto"/>
        </w:rPr>
      </w:pPr>
    </w:p>
    <w:p>
      <w:pPr>
        <w:ind w:firstLine="639"/>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2"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ectPr>
          <w:pgSz w:w="11900" w:h="16838" w:orient="portrait"/>
          <w:cols w:equalWidth="0" w:num="1">
            <w:col w:w="11220"/>
          </w:cols>
          <w:pgMar w:left="320" w:top="992" w:right="359" w:bottom="1440" w:gutter="0" w:footer="0" w:header="0"/>
        </w:sectPr>
      </w:pPr>
    </w:p>
    <w:p>
      <w:pPr>
        <w:spacing w:after="0" w:line="133"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Class</w:t>
      </w:r>
    </w:p>
    <w:p>
      <w:pPr>
        <w:spacing w:after="0" w:line="20" w:lineRule="exact"/>
        <w:rPr>
          <w:sz w:val="24"/>
          <w:szCs w:val="24"/>
          <w:color w:val="auto"/>
        </w:rPr>
      </w:pPr>
      <w:r>
        <w:rPr>
          <w:sz w:val="24"/>
          <w:szCs w:val="24"/>
          <w:color w:val="auto"/>
        </w:rPr>
        <w:br w:type="column"/>
      </w:r>
    </w:p>
    <w:p>
      <w:pPr>
        <w:spacing w:after="0" w:line="11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Outstanding as of November 2, 2023</w:t>
      </w:r>
    </w:p>
    <w:p>
      <w:pPr>
        <w:spacing w:after="0" w:line="111" w:lineRule="exact"/>
        <w:rPr>
          <w:sz w:val="24"/>
          <w:szCs w:val="24"/>
          <w:color w:val="auto"/>
        </w:rPr>
      </w:pPr>
    </w:p>
    <w:p>
      <w:pPr>
        <w:sectPr>
          <w:pgSz w:w="11900" w:h="16838" w:orient="portrait"/>
          <w:cols w:equalWidth="0" w:num="2">
            <w:col w:w="6440" w:space="720"/>
            <w:col w:w="4060"/>
          </w:cols>
          <w:pgMar w:left="320" w:top="992" w:right="359" w:bottom="1440" w:gutter="0" w:footer="0" w:header="0"/>
          <w:type w:val="continuous"/>
        </w:sectPr>
      </w:pPr>
    </w:p>
    <w:p>
      <w:pPr>
        <w:ind w:left="1080"/>
        <w:spacing w:after="0"/>
        <w:rPr>
          <w:sz w:val="20"/>
          <w:szCs w:val="20"/>
          <w:color w:val="auto"/>
        </w:rPr>
      </w:pPr>
      <w:r>
        <w:rPr>
          <w:rFonts w:ascii="Arial" w:cs="Arial" w:eastAsia="Arial" w:hAnsi="Arial"/>
          <w:sz w:val="14"/>
          <w:szCs w:val="14"/>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974725</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8,139,449 shares</w:t>
      </w:r>
    </w:p>
    <w:p>
      <w:pPr>
        <w:sectPr>
          <w:pgSz w:w="11900" w:h="16838" w:orient="portrait"/>
          <w:cols w:equalWidth="0" w:num="2">
            <w:col w:w="7020" w:space="720"/>
            <w:col w:w="3480"/>
          </w:cols>
          <w:pgMar w:left="320" w:top="99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05"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spacing w:after="0" w:line="105" w:lineRule="exact"/>
        <w:rPr>
          <w:sz w:val="20"/>
          <w:szCs w:val="20"/>
          <w:color w:val="auto"/>
        </w:rPr>
      </w:pPr>
    </w:p>
    <w:p>
      <w:pPr>
        <w:jc w:val="both"/>
        <w:ind w:left="640" w:hanging="314"/>
        <w:spacing w:after="0" w:line="279" w:lineRule="auto"/>
        <w:tabs>
          <w:tab w:leader="none" w:pos="6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spacing w:after="0" w:line="103" w:lineRule="exact"/>
        <w:rPr>
          <w:rFonts w:ascii="Arial" w:cs="Arial" w:eastAsia="Arial" w:hAnsi="Arial"/>
          <w:sz w:val="17"/>
          <w:szCs w:val="17"/>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build and maintain the management and human resources infrastructure necessary to support the operation and/or growth of our business;</w:t>
      </w:r>
    </w:p>
    <w:p>
      <w:pPr>
        <w:spacing w:after="0" w:line="100"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 market is established for our products and our ability to capture a meaningful share of this market;</w:t>
      </w:r>
    </w:p>
    <w:p>
      <w:pPr>
        <w:spacing w:after="0" w:line="152"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scientific, regulatory and medical developments beyond our control;</w:t>
      </w:r>
    </w:p>
    <w:p>
      <w:pPr>
        <w:spacing w:after="0" w:line="152"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spacing w:after="0" w:line="100"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spacing w:after="0" w:line="123"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any potential strategic or financial benefits of various licensing agreements will be realized;</w:t>
      </w:r>
    </w:p>
    <w:p>
      <w:pPr>
        <w:spacing w:after="0" w:line="152" w:lineRule="exact"/>
        <w:rPr>
          <w:rFonts w:ascii="Arial" w:cs="Arial" w:eastAsia="Arial" w:hAnsi="Arial"/>
          <w:sz w:val="18"/>
          <w:szCs w:val="18"/>
          <w:color w:val="auto"/>
        </w:rPr>
      </w:pPr>
    </w:p>
    <w:p>
      <w:pPr>
        <w:jc w:val="both"/>
        <w:ind w:left="640" w:hanging="314"/>
        <w:spacing w:after="0" w:line="25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spacing w:after="0" w:line="109" w:lineRule="exact"/>
        <w:rPr>
          <w:rFonts w:ascii="Arial" w:cs="Arial" w:eastAsia="Arial" w:hAnsi="Arial"/>
          <w:sz w:val="18"/>
          <w:szCs w:val="18"/>
          <w:color w:val="auto"/>
        </w:rPr>
      </w:pPr>
    </w:p>
    <w:p>
      <w:pPr>
        <w:ind w:left="640" w:hanging="314"/>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development activities;</w:t>
      </w:r>
    </w:p>
    <w:p>
      <w:pPr>
        <w:spacing w:after="0" w:line="152" w:lineRule="exact"/>
        <w:rPr>
          <w:rFonts w:ascii="Arial" w:cs="Arial" w:eastAsia="Arial" w:hAnsi="Arial"/>
          <w:sz w:val="18"/>
          <w:szCs w:val="18"/>
          <w:color w:val="auto"/>
        </w:rPr>
      </w:pPr>
    </w:p>
    <w:p>
      <w:pPr>
        <w:jc w:val="both"/>
        <w:ind w:left="640" w:hanging="314"/>
        <w:spacing w:after="0" w:line="253"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spacing w:after="0" w:line="125" w:lineRule="exact"/>
        <w:rPr>
          <w:rFonts w:ascii="Arial" w:cs="Arial" w:eastAsia="Arial" w:hAnsi="Arial"/>
          <w:sz w:val="18"/>
          <w:szCs w:val="18"/>
          <w:color w:val="auto"/>
        </w:rPr>
      </w:pPr>
    </w:p>
    <w:p>
      <w:pPr>
        <w:ind w:left="640" w:right="2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pandemic and any future pandemic and/or their long-term effects may impact, directly or indirectly, our business, including our clinical trials and financial condition; and</w:t>
      </w:r>
    </w:p>
    <w:p>
      <w:pPr>
        <w:spacing w:after="0" w:line="100" w:lineRule="exact"/>
        <w:rPr>
          <w:rFonts w:ascii="Arial" w:cs="Arial" w:eastAsia="Arial" w:hAnsi="Arial"/>
          <w:sz w:val="18"/>
          <w:szCs w:val="18"/>
          <w:color w:val="auto"/>
        </w:rPr>
      </w:pPr>
    </w:p>
    <w:p>
      <w:pPr>
        <w:ind w:left="640" w:hanging="314"/>
        <w:spacing w:after="0" w:line="266"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factors discussed in “Risk Factors” in our Annual Report on Form 10-K filed with the Securities and Exchange Commission (the “SEC”) on March 30, 2023 (our “2022 Form 10-K”).</w:t>
      </w:r>
    </w:p>
    <w:p>
      <w:pPr>
        <w:spacing w:after="0" w:line="11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The factors discussed herein, including those risks described in “Item 1A. Risk Factors” and elsewhere in our 2022 Form 10-K and in our other periodic filings with the SEC, which are available for review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reliance on these forward-looking statements, which speak only as of the date they were made. Except as required by law, we undertake no obligation to update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144" w:lineRule="exact"/>
        <w:rPr>
          <w:sz w:val="20"/>
          <w:szCs w:val="20"/>
          <w:color w:val="auto"/>
        </w:rPr>
      </w:pPr>
    </w:p>
    <w:tbl>
      <w:tblPr>
        <w:tblLayout w:type="fixed"/>
        <w:tblInd w:w="80" w:type="dxa"/>
        <w:tblCellMar>
          <w:top w:w="0" w:type="dxa"/>
          <w:left w:w="0" w:type="dxa"/>
          <w:bottom w:w="0" w:type="dxa"/>
          <w:right w:w="0" w:type="dxa"/>
        </w:tblCellMar>
      </w:tblPr>
      <w:tr>
        <w:trPr>
          <w:trHeight w:val="199"/>
        </w:trPr>
        <w:tc>
          <w:tcPr>
            <w:tcW w:w="740" w:type="dxa"/>
            <w:vAlign w:val="bottom"/>
            <w:shd w:val="clear" w:color="auto" w:fill="CCEEFF"/>
          </w:tcPr>
          <w:p>
            <w:pPr>
              <w:spacing w:after="0"/>
              <w:rPr>
                <w:sz w:val="17"/>
                <w:szCs w:val="17"/>
                <w:color w:val="auto"/>
              </w:rPr>
            </w:pPr>
          </w:p>
        </w:tc>
        <w:tc>
          <w:tcPr>
            <w:tcW w:w="9360" w:type="dxa"/>
            <w:vAlign w:val="bottom"/>
            <w:gridSpan w:val="3"/>
            <w:vMerge w:val="restart"/>
            <w:shd w:val="clear" w:color="auto" w:fill="CCEEFF"/>
          </w:tcPr>
          <w:p>
            <w:pPr>
              <w:ind w:left="120"/>
              <w:spacing w:after="0"/>
              <w:rPr>
                <w:sz w:val="20"/>
                <w:szCs w:val="20"/>
                <w:color w:val="auto"/>
              </w:rPr>
            </w:pPr>
            <w:r>
              <w:rPr>
                <w:rFonts w:ascii="Arial" w:cs="Arial" w:eastAsia="Arial" w:hAnsi="Arial"/>
                <w:sz w:val="16"/>
                <w:szCs w:val="16"/>
                <w:b w:val="1"/>
                <w:bCs w:val="1"/>
                <w:color w:val="0000FF"/>
              </w:rPr>
              <w:t>PART I- FINANCIAL INFORMATION</w:t>
            </w:r>
          </w:p>
        </w:tc>
        <w:tc>
          <w:tcPr>
            <w:tcW w:w="980" w:type="dxa"/>
            <w:vAlign w:val="bottom"/>
            <w:shd w:val="clear" w:color="auto" w:fill="CCEEFF"/>
          </w:tcPr>
          <w:p>
            <w:pPr>
              <w:jc w:val="center"/>
              <w:ind w:left="320"/>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115"/>
        </w:trPr>
        <w:tc>
          <w:tcPr>
            <w:tcW w:w="740" w:type="dxa"/>
            <w:vAlign w:val="bottom"/>
            <w:shd w:val="clear" w:color="auto" w:fill="CCEEFF"/>
          </w:tcPr>
          <w:p>
            <w:pPr>
              <w:spacing w:after="0"/>
              <w:rPr>
                <w:sz w:val="10"/>
                <w:szCs w:val="10"/>
                <w:color w:val="auto"/>
              </w:rPr>
            </w:pPr>
          </w:p>
        </w:tc>
        <w:tc>
          <w:tcPr>
            <w:tcW w:w="9360" w:type="dxa"/>
            <w:vAlign w:val="bottom"/>
            <w:gridSpan w:val="3"/>
            <w:vMerge w:val="continue"/>
            <w:shd w:val="clear" w:color="auto" w:fill="CCEEFF"/>
          </w:tcPr>
          <w:p>
            <w:pPr>
              <w:spacing w:after="0"/>
              <w:rPr>
                <w:sz w:val="10"/>
                <w:szCs w:val="10"/>
                <w:color w:val="auto"/>
              </w:rPr>
            </w:pPr>
          </w:p>
        </w:tc>
        <w:tc>
          <w:tcPr>
            <w:tcW w:w="980" w:type="dxa"/>
            <w:vAlign w:val="bottom"/>
            <w:vMerge w:val="restart"/>
            <w:shd w:val="clear" w:color="auto" w:fill="CCEEFF"/>
          </w:tcPr>
          <w:p>
            <w:pPr>
              <w:jc w:val="center"/>
              <w:ind w:left="320"/>
              <w:spacing w:after="0"/>
              <w:rPr>
                <w:sz w:val="20"/>
                <w:szCs w:val="20"/>
                <w:color w:val="auto"/>
              </w:rPr>
            </w:pPr>
            <w:r>
              <w:rPr>
                <w:rFonts w:ascii="Arial" w:cs="Arial" w:eastAsia="Arial" w:hAnsi="Arial"/>
                <w:sz w:val="16"/>
                <w:szCs w:val="16"/>
                <w:b w:val="1"/>
                <w:bCs w:val="1"/>
                <w:color w:val="auto"/>
                <w:w w:val="85"/>
              </w:rPr>
              <w:t>No.</w:t>
            </w:r>
          </w:p>
        </w:tc>
        <w:tc>
          <w:tcPr>
            <w:tcW w:w="0" w:type="dxa"/>
            <w:vAlign w:val="bottom"/>
          </w:tcPr>
          <w:p>
            <w:pPr>
              <w:spacing w:after="0"/>
              <w:rPr>
                <w:sz w:val="1"/>
                <w:szCs w:val="1"/>
                <w:color w:val="auto"/>
              </w:rPr>
            </w:pPr>
          </w:p>
        </w:tc>
      </w:tr>
      <w:tr>
        <w:trPr>
          <w:trHeight w:val="105"/>
        </w:trPr>
        <w:tc>
          <w:tcPr>
            <w:tcW w:w="7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480" w:type="dxa"/>
            <w:vAlign w:val="bottom"/>
            <w:tcBorders>
              <w:bottom w:val="single" w:sz="8" w:color="CCEEFF"/>
            </w:tcBorders>
            <w:shd w:val="clear" w:color="auto" w:fill="CCEEFF"/>
          </w:tcPr>
          <w:p>
            <w:pPr>
              <w:spacing w:after="0"/>
              <w:rPr>
                <w:sz w:val="9"/>
                <w:szCs w:val="9"/>
                <w:color w:val="auto"/>
              </w:rPr>
            </w:pPr>
          </w:p>
        </w:tc>
        <w:tc>
          <w:tcPr>
            <w:tcW w:w="776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1.</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Financial Statements: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5</w:t>
            </w:r>
          </w:p>
        </w:tc>
        <w:tc>
          <w:tcPr>
            <w:tcW w:w="0" w:type="dxa"/>
            <w:vAlign w:val="bottom"/>
          </w:tcPr>
          <w:p>
            <w:pPr>
              <w:spacing w:after="0"/>
              <w:rPr>
                <w:sz w:val="1"/>
                <w:szCs w:val="1"/>
                <w:color w:val="auto"/>
              </w:rPr>
            </w:pPr>
          </w:p>
        </w:tc>
      </w:tr>
      <w:tr>
        <w:trPr>
          <w:trHeight w:val="33"/>
        </w:trPr>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top w:val="single" w:sz="8" w:color="0000FF"/>
            </w:tcBorders>
          </w:tcPr>
          <w:p>
            <w:pPr>
              <w:spacing w:after="0"/>
              <w:rPr>
                <w:sz w:val="2"/>
                <w:szCs w:val="2"/>
                <w:color w:val="auto"/>
              </w:rPr>
            </w:pPr>
          </w:p>
        </w:tc>
        <w:tc>
          <w:tcPr>
            <w:tcW w:w="7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40" w:type="dxa"/>
            <w:vAlign w:val="bottom"/>
            <w:shd w:val="clear" w:color="auto" w:fill="CCEEFF"/>
          </w:tcPr>
          <w:p>
            <w:pPr>
              <w:spacing w:after="0"/>
              <w:rPr>
                <w:sz w:val="20"/>
                <w:szCs w:val="20"/>
                <w:color w:val="auto"/>
              </w:rPr>
            </w:pP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Consolidated Balance Sheets at September 30, 2023 (unaudited) and December 31, 2022</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5</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Consolidated Statements of Operations for the three and nine months ended September 30, 2023 and 2022 (unaudited)</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6</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spacing w:after="0"/>
              <w:rPr>
                <w:sz w:val="21"/>
                <w:szCs w:val="21"/>
                <w:color w:val="auto"/>
              </w:rPr>
            </w:pP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w w:val="94"/>
              </w:rPr>
              <w:t>Consolidated Statements of Comprehensive Loss for the three and nine months ended September 30, 2023 and 2022 (unaudited)</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7</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Consolidated Statements of Equity for the three and nine months ended September 30, 2023 and 2022 (unaudited)</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8</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spacing w:after="0"/>
              <w:rPr>
                <w:sz w:val="21"/>
                <w:szCs w:val="21"/>
                <w:color w:val="auto"/>
              </w:rPr>
            </w:pP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Consolidated Statements of Cash Flows for the nine months ended September 30, 2023 and 2022 (unaudited)</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10</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Notes to Unaudited Consolidated Financial Statements</w:t>
            </w:r>
          </w:p>
        </w:tc>
        <w:tc>
          <w:tcPr>
            <w:tcW w:w="980" w:type="dxa"/>
            <w:vAlign w:val="bottom"/>
          </w:tcPr>
          <w:p>
            <w:pPr>
              <w:jc w:val="center"/>
              <w:ind w:left="320"/>
              <w:spacing w:after="0"/>
              <w:rPr>
                <w:sz w:val="20"/>
                <w:szCs w:val="20"/>
                <w:color w:val="auto"/>
              </w:rPr>
            </w:pPr>
            <w:r>
              <w:rPr>
                <w:rFonts w:ascii="Arial" w:cs="Arial" w:eastAsia="Arial" w:hAnsi="Arial"/>
                <w:sz w:val="16"/>
                <w:szCs w:val="16"/>
                <w:color w:val="0000FF"/>
                <w:w w:val="78"/>
              </w:rPr>
              <w:t>11</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Management’s Discussion and Analysis of Financial Condition and Results of Operations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26</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Quantitative and Qualitative Disclosures About Market Risk</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34</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Controls and Procedures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34</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PART II- OTHER INFORMATION</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1.</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Legal Proceedings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1A.</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Risk Factors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2.</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Unregistered Sales of Equity Securities and Use of Proceeds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3.</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Defaults Upon Senior Securities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4.</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Mine Safety Disclosures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30"/>
        </w:trPr>
        <w:tc>
          <w:tcPr>
            <w:tcW w:w="740" w:type="dxa"/>
            <w:vAlign w:val="bottom"/>
          </w:tcPr>
          <w:p>
            <w:pPr>
              <w:ind w:left="20"/>
              <w:spacing w:after="0"/>
              <w:rPr>
                <w:sz w:val="20"/>
                <w:szCs w:val="20"/>
                <w:color w:val="auto"/>
              </w:rPr>
            </w:pPr>
            <w:r>
              <w:rPr>
                <w:rFonts w:ascii="Arial" w:cs="Arial" w:eastAsia="Arial" w:hAnsi="Arial"/>
                <w:sz w:val="16"/>
                <w:szCs w:val="16"/>
                <w:b w:val="1"/>
                <w:bCs w:val="1"/>
                <w:color w:val="0000FF"/>
              </w:rPr>
              <w:t>Item 5.</w:t>
            </w: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Other Information</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49"/>
        </w:trPr>
        <w:tc>
          <w:tcPr>
            <w:tcW w:w="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0000FF"/>
              </w:rPr>
              <w:t>Item 6.</w:t>
            </w:r>
          </w:p>
        </w:tc>
        <w:tc>
          <w:tcPr>
            <w:tcW w:w="936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0000FF"/>
              </w:rPr>
              <w:t>Exhibits</w:t>
            </w:r>
          </w:p>
        </w:tc>
        <w:tc>
          <w:tcPr>
            <w:tcW w:w="980" w:type="dxa"/>
            <w:vAlign w:val="bottom"/>
            <w:shd w:val="clear" w:color="auto" w:fill="CCEEFF"/>
          </w:tcPr>
          <w:p>
            <w:pPr>
              <w:jc w:val="center"/>
              <w:ind w:left="300"/>
              <w:spacing w:after="0"/>
              <w:rPr>
                <w:sz w:val="20"/>
                <w:szCs w:val="20"/>
                <w:color w:val="auto"/>
              </w:rPr>
            </w:pPr>
            <w:r>
              <w:rPr>
                <w:rFonts w:ascii="Arial" w:cs="Arial" w:eastAsia="Arial" w:hAnsi="Arial"/>
                <w:sz w:val="16"/>
                <w:szCs w:val="16"/>
                <w:color w:val="0000FF"/>
                <w:w w:val="89"/>
              </w:rPr>
              <w:t>36</w:t>
            </w:r>
          </w:p>
        </w:tc>
        <w:tc>
          <w:tcPr>
            <w:tcW w:w="0" w:type="dxa"/>
            <w:vAlign w:val="bottom"/>
          </w:tcPr>
          <w:p>
            <w:pPr>
              <w:spacing w:after="0"/>
              <w:rPr>
                <w:sz w:val="1"/>
                <w:szCs w:val="1"/>
                <w:color w:val="auto"/>
              </w:rPr>
            </w:pPr>
          </w:p>
        </w:tc>
      </w:tr>
      <w:tr>
        <w:trPr>
          <w:trHeight w:val="221"/>
        </w:trPr>
        <w:tc>
          <w:tcPr>
            <w:tcW w:w="740" w:type="dxa"/>
            <w:vAlign w:val="bottom"/>
          </w:tcPr>
          <w:p>
            <w:pPr>
              <w:spacing w:after="0"/>
              <w:rPr>
                <w:sz w:val="19"/>
                <w:szCs w:val="19"/>
                <w:color w:val="auto"/>
              </w:rPr>
            </w:pPr>
          </w:p>
        </w:tc>
        <w:tc>
          <w:tcPr>
            <w:tcW w:w="9360" w:type="dxa"/>
            <w:vAlign w:val="bottom"/>
            <w:gridSpan w:val="3"/>
          </w:tcPr>
          <w:p>
            <w:pPr>
              <w:ind w:left="120"/>
              <w:spacing w:after="0"/>
              <w:rPr>
                <w:sz w:val="20"/>
                <w:szCs w:val="20"/>
                <w:color w:val="auto"/>
              </w:rPr>
            </w:pPr>
            <w:r>
              <w:rPr>
                <w:rFonts w:ascii="Arial" w:cs="Arial" w:eastAsia="Arial" w:hAnsi="Arial"/>
                <w:sz w:val="16"/>
                <w:szCs w:val="16"/>
                <w:b w:val="1"/>
                <w:bCs w:val="1"/>
                <w:color w:val="0000FF"/>
              </w:rPr>
              <w:t>Signatures</w:t>
            </w:r>
          </w:p>
        </w:tc>
        <w:tc>
          <w:tcPr>
            <w:tcW w:w="980" w:type="dxa"/>
            <w:vAlign w:val="bottom"/>
          </w:tcPr>
          <w:p>
            <w:pPr>
              <w:jc w:val="center"/>
              <w:ind w:left="300"/>
              <w:spacing w:after="0"/>
              <w:rPr>
                <w:sz w:val="20"/>
                <w:szCs w:val="20"/>
                <w:color w:val="auto"/>
              </w:rPr>
            </w:pPr>
            <w:r>
              <w:rPr>
                <w:rFonts w:ascii="Arial" w:cs="Arial" w:eastAsia="Arial" w:hAnsi="Arial"/>
                <w:sz w:val="16"/>
                <w:szCs w:val="16"/>
                <w:color w:val="0000FF"/>
                <w:w w:val="89"/>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 FINANCIAL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 except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September 30,</w:t>
            </w:r>
          </w:p>
        </w:tc>
        <w:tc>
          <w:tcPr>
            <w:tcW w:w="180" w:type="dxa"/>
            <w:vAlign w:val="bottom"/>
          </w:tcPr>
          <w:p>
            <w:pPr>
              <w:spacing w:after="0"/>
              <w:rPr>
                <w:sz w:val="16"/>
                <w:szCs w:val="16"/>
                <w:color w:val="auto"/>
              </w:rPr>
            </w:pPr>
          </w:p>
        </w:tc>
        <w:tc>
          <w:tcPr>
            <w:tcW w:w="1280" w:type="dxa"/>
            <w:vAlign w:val="bottom"/>
          </w:tcPr>
          <w:p>
            <w:pPr>
              <w:jc w:val="right"/>
              <w:ind w:right="180"/>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1"/>
        </w:trPr>
        <w:tc>
          <w:tcPr>
            <w:tcW w:w="8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w w:val="94"/>
              </w:rPr>
              <w:t>(Unaudited)</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32,428</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32,154</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Marketable securities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21,966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37,072</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Prepaid and other current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57,233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71,876</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Property and equipment, net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Acquired license - intangible</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528</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73,034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Accrued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6,383</w:t>
            </w:r>
          </w:p>
        </w:tc>
        <w:tc>
          <w:tcPr>
            <w:tcW w:w="0" w:type="dxa"/>
            <w:vAlign w:val="bottom"/>
          </w:tcPr>
          <w:p>
            <w:pPr>
              <w:spacing w:after="0"/>
              <w:rPr>
                <w:sz w:val="1"/>
                <w:szCs w:val="1"/>
                <w:color w:val="auto"/>
              </w:rPr>
            </w:pPr>
          </w:p>
        </w:tc>
      </w:tr>
      <w:tr>
        <w:trPr>
          <w:trHeight w:val="210"/>
        </w:trPr>
        <w:tc>
          <w:tcPr>
            <w:tcW w:w="8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09"/>
        </w:trPr>
        <w:tc>
          <w:tcPr>
            <w:tcW w:w="81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6,710</w:t>
            </w:r>
          </w:p>
        </w:tc>
        <w:tc>
          <w:tcPr>
            <w:tcW w:w="0" w:type="dxa"/>
            <w:vAlign w:val="bottom"/>
          </w:tcPr>
          <w:p>
            <w:pPr>
              <w:spacing w:after="0"/>
              <w:rPr>
                <w:sz w:val="1"/>
                <w:szCs w:val="1"/>
                <w:color w:val="auto"/>
              </w:rPr>
            </w:pPr>
          </w:p>
        </w:tc>
      </w:tr>
      <w:tr>
        <w:trPr>
          <w:trHeight w:val="19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14)</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8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8160" w:type="dxa"/>
            <w:vAlign w:val="bottom"/>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160" w:type="dxa"/>
            <w:vAlign w:val="bottom"/>
            <w:shd w:val="clear" w:color="auto" w:fill="CCEEFF"/>
          </w:tcPr>
          <w:p>
            <w:pPr>
              <w:ind w:left="260"/>
              <w:spacing w:after="0" w:line="165" w:lineRule="exact"/>
              <w:rPr>
                <w:sz w:val="20"/>
                <w:szCs w:val="20"/>
                <w:color w:val="auto"/>
              </w:rPr>
            </w:pPr>
            <w:r>
              <w:rPr>
                <w:rFonts w:ascii="Arial" w:cs="Arial" w:eastAsia="Arial" w:hAnsi="Arial"/>
                <w:sz w:val="16"/>
                <w:szCs w:val="16"/>
                <w:color w:val="auto"/>
              </w:rPr>
              <w:t>Common stock, $0.001 par value, authorized 33,333,333 shares; issued 8,140,187</w:t>
            </w:r>
          </w:p>
        </w:tc>
        <w:tc>
          <w:tcPr>
            <w:tcW w:w="1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160" w:type="dxa"/>
            <w:vAlign w:val="bottom"/>
            <w:shd w:val="clear" w:color="auto" w:fill="CCEEFF"/>
          </w:tcPr>
          <w:p>
            <w:pPr>
              <w:ind w:left="260"/>
              <w:spacing w:after="0" w:line="160" w:lineRule="exact"/>
              <w:rPr>
                <w:sz w:val="20"/>
                <w:szCs w:val="20"/>
                <w:color w:val="auto"/>
              </w:rPr>
            </w:pPr>
            <w:r>
              <w:rPr>
                <w:rFonts w:ascii="Arial" w:cs="Arial" w:eastAsia="Arial" w:hAnsi="Arial"/>
                <w:sz w:val="16"/>
                <w:szCs w:val="16"/>
                <w:color w:val="auto"/>
              </w:rPr>
              <w:t>and 7,866,799 shares at September 30, 2023 and December 31, 2022, respectively; and</w:t>
            </w:r>
          </w:p>
        </w:tc>
        <w:tc>
          <w:tcPr>
            <w:tcW w:w="1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160" w:type="dxa"/>
            <w:vAlign w:val="bottom"/>
            <w:shd w:val="clear" w:color="auto" w:fill="CCEEFF"/>
          </w:tcPr>
          <w:p>
            <w:pPr>
              <w:ind w:left="260"/>
              <w:spacing w:after="0" w:line="160" w:lineRule="exact"/>
              <w:rPr>
                <w:sz w:val="20"/>
                <w:szCs w:val="20"/>
                <w:color w:val="auto"/>
              </w:rPr>
            </w:pPr>
            <w:r>
              <w:rPr>
                <w:rFonts w:ascii="Arial" w:cs="Arial" w:eastAsia="Arial" w:hAnsi="Arial"/>
                <w:sz w:val="16"/>
                <w:szCs w:val="16"/>
                <w:color w:val="auto"/>
              </w:rPr>
              <w:t>outstanding, 8,139,449 and 7,866,061 shares at September 30, 2023 and December 31, 2022,</w:t>
            </w:r>
          </w:p>
        </w:tc>
        <w:tc>
          <w:tcPr>
            <w:tcW w:w="18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respectively</w:t>
            </w:r>
          </w:p>
        </w:tc>
        <w:tc>
          <w:tcPr>
            <w:tcW w:w="18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576,474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574,548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Treasury stock, at cost; 738 shares at September 30, 2023 and December 31, 2022</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w:t>
            </w:r>
          </w:p>
        </w:tc>
        <w:tc>
          <w:tcPr>
            <w:tcW w:w="0" w:type="dxa"/>
            <w:vAlign w:val="bottom"/>
          </w:tcPr>
          <w:p>
            <w:pPr>
              <w:spacing w:after="0"/>
              <w:rPr>
                <w:sz w:val="1"/>
                <w:szCs w:val="1"/>
                <w:color w:val="auto"/>
              </w:rPr>
            </w:pPr>
          </w:p>
        </w:tc>
      </w:tr>
      <w:tr>
        <w:trPr>
          <w:trHeight w:val="210"/>
        </w:trPr>
        <w:tc>
          <w:tcPr>
            <w:tcW w:w="8160" w:type="dxa"/>
            <w:vAlign w:val="bottom"/>
          </w:tcPr>
          <w:p>
            <w:pPr>
              <w:ind w:left="220"/>
              <w:spacing w:after="0"/>
              <w:rPr>
                <w:sz w:val="20"/>
                <w:szCs w:val="20"/>
                <w:color w:val="auto"/>
              </w:rPr>
            </w:pPr>
            <w:r>
              <w:rPr>
                <w:rFonts w:ascii="Arial" w:cs="Arial" w:eastAsia="Arial" w:hAnsi="Arial"/>
                <w:sz w:val="16"/>
                <w:szCs w:val="16"/>
                <w:color w:val="auto"/>
              </w:rPr>
              <w:t>Accumulated deficit</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(522,716)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(507,241)</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4"/>
        </w:trPr>
        <w:tc>
          <w:tcPr>
            <w:tcW w:w="8160" w:type="dxa"/>
            <w:vAlign w:val="bottom"/>
          </w:tcPr>
          <w:p>
            <w:pPr>
              <w:ind w:left="460"/>
              <w:spacing w:after="0"/>
              <w:rPr>
                <w:sz w:val="20"/>
                <w:szCs w:val="20"/>
                <w:color w:val="auto"/>
              </w:rPr>
            </w:pPr>
            <w:r>
              <w:rPr>
                <w:rFonts w:ascii="Arial" w:cs="Arial" w:eastAsia="Arial" w:hAnsi="Arial"/>
                <w:sz w:val="16"/>
                <w:szCs w:val="16"/>
                <w:color w:val="auto"/>
              </w:rPr>
              <w:t>Total Lisata Therapeutics, Inc. stockholders' equity</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52,958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66,578</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Non-controlling interests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204"/>
        </w:trPr>
        <w:tc>
          <w:tcPr>
            <w:tcW w:w="81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52,704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66,324</w:t>
            </w:r>
          </w:p>
        </w:tc>
        <w:tc>
          <w:tcPr>
            <w:tcW w:w="0" w:type="dxa"/>
            <w:vAlign w:val="bottom"/>
          </w:tcPr>
          <w:p>
            <w:pPr>
              <w:spacing w:after="0"/>
              <w:rPr>
                <w:sz w:val="1"/>
                <w:szCs w:val="1"/>
                <w:color w:val="auto"/>
              </w:rPr>
            </w:pPr>
          </w:p>
        </w:tc>
      </w:tr>
      <w:tr>
        <w:trPr>
          <w:trHeight w:val="234"/>
        </w:trPr>
        <w:tc>
          <w:tcPr>
            <w:tcW w:w="81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liabilities, non-controlling interests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58,089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73,034</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data)</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spacing w:after="0"/>
              <w:rPr>
                <w:sz w:val="16"/>
                <w:szCs w:val="16"/>
                <w:color w:val="auto"/>
              </w:rPr>
            </w:pPr>
          </w:p>
        </w:tc>
        <w:tc>
          <w:tcPr>
            <w:tcW w:w="2700" w:type="dxa"/>
            <w:vAlign w:val="bottom"/>
            <w:gridSpan w:val="6"/>
            <w:vMerge w:val="restart"/>
          </w:tcPr>
          <w:p>
            <w:pPr>
              <w:ind w:left="60"/>
              <w:spacing w:after="0"/>
              <w:rPr>
                <w:sz w:val="20"/>
                <w:szCs w:val="20"/>
                <w:color w:val="auto"/>
              </w:rPr>
            </w:pPr>
            <w:r>
              <w:rPr>
                <w:rFonts w:ascii="Arial" w:cs="Arial" w:eastAsia="Arial" w:hAnsi="Arial"/>
                <w:sz w:val="16"/>
                <w:szCs w:val="16"/>
                <w:b w:val="1"/>
                <w:bCs w:val="1"/>
                <w:color w:val="auto"/>
                <w:w w:val="96"/>
              </w:rPr>
              <w:t>Three Months Ended September 30,</w:t>
            </w:r>
          </w:p>
        </w:tc>
        <w:tc>
          <w:tcPr>
            <w:tcW w:w="100" w:type="dxa"/>
            <w:vAlign w:val="bottom"/>
          </w:tcPr>
          <w:p>
            <w:pPr>
              <w:spacing w:after="0"/>
              <w:rPr>
                <w:sz w:val="16"/>
                <w:szCs w:val="16"/>
                <w:color w:val="auto"/>
              </w:rPr>
            </w:pPr>
          </w:p>
        </w:tc>
        <w:tc>
          <w:tcPr>
            <w:tcW w:w="2280" w:type="dxa"/>
            <w:vAlign w:val="bottom"/>
            <w:gridSpan w:val="5"/>
          </w:tcPr>
          <w:p>
            <w:pPr>
              <w:jc w:val="right"/>
              <w:ind w:right="40"/>
              <w:spacing w:after="0"/>
              <w:rPr>
                <w:sz w:val="20"/>
                <w:szCs w:val="20"/>
                <w:color w:val="auto"/>
              </w:rPr>
            </w:pPr>
            <w:r>
              <w:rPr>
                <w:rFonts w:ascii="Arial" w:cs="Arial" w:eastAsia="Arial" w:hAnsi="Arial"/>
                <w:sz w:val="16"/>
                <w:szCs w:val="16"/>
                <w:b w:val="1"/>
                <w:bCs w:val="1"/>
                <w:color w:val="auto"/>
                <w:w w:val="90"/>
              </w:rPr>
              <w:t>Nine Months Ended September</w:t>
            </w:r>
          </w:p>
        </w:tc>
        <w:tc>
          <w:tcPr>
            <w:tcW w:w="0" w:type="dxa"/>
            <w:vAlign w:val="bottom"/>
          </w:tcPr>
          <w:p>
            <w:pPr>
              <w:spacing w:after="0"/>
              <w:rPr>
                <w:sz w:val="1"/>
                <w:szCs w:val="1"/>
                <w:color w:val="auto"/>
              </w:rPr>
            </w:pPr>
          </w:p>
        </w:tc>
      </w:tr>
      <w:tr>
        <w:trPr>
          <w:trHeight w:val="211"/>
        </w:trPr>
        <w:tc>
          <w:tcPr>
            <w:tcW w:w="6160" w:type="dxa"/>
            <w:vAlign w:val="bottom"/>
          </w:tcPr>
          <w:p>
            <w:pPr>
              <w:spacing w:after="0"/>
              <w:rPr>
                <w:sz w:val="18"/>
                <w:szCs w:val="18"/>
                <w:color w:val="auto"/>
              </w:rPr>
            </w:pPr>
          </w:p>
        </w:tc>
        <w:tc>
          <w:tcPr>
            <w:tcW w:w="27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w w:val="80"/>
              </w:rPr>
              <w:t>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6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5"/>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8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3,380</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3,335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9,721</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9,853</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In-process research and development</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30,393</w:t>
            </w:r>
          </w:p>
        </w:tc>
        <w:tc>
          <w:tcPr>
            <w:tcW w:w="0" w:type="dxa"/>
            <w:vAlign w:val="bottom"/>
          </w:tcPr>
          <w:p>
            <w:pPr>
              <w:spacing w:after="0"/>
              <w:rPr>
                <w:sz w:val="1"/>
                <w:szCs w:val="1"/>
                <w:color w:val="auto"/>
              </w:rPr>
            </w:pPr>
          </w:p>
        </w:tc>
      </w:tr>
      <w:tr>
        <w:trPr>
          <w:trHeight w:val="210"/>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10,815</w:t>
            </w:r>
          </w:p>
        </w:tc>
        <w:tc>
          <w:tcPr>
            <w:tcW w:w="0" w:type="dxa"/>
            <w:vAlign w:val="bottom"/>
          </w:tcPr>
          <w:p>
            <w:pPr>
              <w:spacing w:after="0"/>
              <w:rPr>
                <w:sz w:val="1"/>
                <w:szCs w:val="1"/>
                <w:color w:val="auto"/>
              </w:rPr>
            </w:pPr>
          </w:p>
        </w:tc>
      </w:tr>
      <w:tr>
        <w:trPr>
          <w:trHeight w:val="209"/>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51,061</w:t>
            </w:r>
          </w:p>
        </w:tc>
        <w:tc>
          <w:tcPr>
            <w:tcW w:w="0" w:type="dxa"/>
            <w:vAlign w:val="bottom"/>
          </w:tcPr>
          <w:p>
            <w:pPr>
              <w:spacing w:after="0"/>
              <w:rPr>
                <w:sz w:val="1"/>
                <w:szCs w:val="1"/>
                <w:color w:val="auto"/>
              </w:rPr>
            </w:pPr>
          </w:p>
        </w:tc>
      </w:tr>
      <w:tr>
        <w:trPr>
          <w:trHeight w:val="253"/>
        </w:trPr>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Operating loss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(5,964)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(51,061)</w:t>
            </w:r>
          </w:p>
        </w:tc>
        <w:tc>
          <w:tcPr>
            <w:tcW w:w="0" w:type="dxa"/>
            <w:vAlign w:val="bottom"/>
          </w:tcPr>
          <w:p>
            <w:pPr>
              <w:spacing w:after="0"/>
              <w:rPr>
                <w:sz w:val="1"/>
                <w:szCs w:val="1"/>
                <w:color w:val="auto"/>
              </w:rPr>
            </w:pPr>
          </w:p>
        </w:tc>
      </w:tr>
      <w:tr>
        <w:trPr>
          <w:trHeight w:val="253"/>
        </w:trPr>
        <w:tc>
          <w:tcPr>
            <w:tcW w:w="6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(expense):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20"/>
              <w:spacing w:after="0"/>
              <w:rPr>
                <w:sz w:val="20"/>
                <w:szCs w:val="20"/>
                <w:color w:val="auto"/>
              </w:rPr>
            </w:pPr>
            <w:r>
              <w:rPr>
                <w:rFonts w:ascii="Arial" w:cs="Arial" w:eastAsia="Arial" w:hAnsi="Arial"/>
                <w:sz w:val="16"/>
                <w:szCs w:val="16"/>
                <w:color w:val="auto"/>
              </w:rPr>
              <w:t>Investment income, net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expense, net</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04"/>
        </w:trPr>
        <w:tc>
          <w:tcPr>
            <w:tcW w:w="61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86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20" w:type="dxa"/>
            <w:vAlign w:val="bottom"/>
            <w:tcBorders>
              <w:top w:val="single" w:sz="8" w:color="auto"/>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6"/>
        </w:trPr>
        <w:tc>
          <w:tcPr>
            <w:tcW w:w="6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20"/>
              <w:spacing w:after="0"/>
              <w:rPr>
                <w:sz w:val="20"/>
                <w:szCs w:val="20"/>
                <w:color w:val="auto"/>
              </w:rPr>
            </w:pPr>
            <w:r>
              <w:rPr>
                <w:rFonts w:ascii="Arial" w:cs="Arial" w:eastAsia="Arial" w:hAnsi="Arial"/>
                <w:sz w:val="16"/>
                <w:szCs w:val="16"/>
                <w:color w:val="auto"/>
              </w:rPr>
              <w:t>Net loss before benefit from income taxes and noncontrolling interests</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(5,261)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(17,805)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(50,714)</w:t>
            </w: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Benefit from income taxes</w:t>
            </w:r>
          </w:p>
        </w:tc>
        <w:tc>
          <w:tcPr>
            <w:tcW w:w="8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(5,261)</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(15,475)</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(48,235)</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1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Less - net income attributable to noncontrolling interests</w:t>
            </w:r>
          </w:p>
        </w:tc>
        <w:tc>
          <w:tcPr>
            <w:tcW w:w="86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6"/>
                <w:szCs w:val="16"/>
                <w:color w:val="auto"/>
              </w:rPr>
              <w:t>Net loss attributable to Lisata Therapeutics, Inc. common stockholders</w:t>
            </w: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(5,261)</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(15,475)</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(48,235)</w:t>
            </w:r>
          </w:p>
        </w:tc>
        <w:tc>
          <w:tcPr>
            <w:tcW w:w="0" w:type="dxa"/>
            <w:vAlign w:val="bottom"/>
          </w:tcPr>
          <w:p>
            <w:pPr>
              <w:spacing w:after="0"/>
              <w:rPr>
                <w:sz w:val="1"/>
                <w:szCs w:val="1"/>
                <w:color w:val="auto"/>
              </w:rPr>
            </w:pP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Basic and diluted loss per share</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60" w:type="dxa"/>
            <w:vAlign w:val="bottom"/>
          </w:tcPr>
          <w:p>
            <w:pPr>
              <w:ind w:left="20"/>
              <w:spacing w:after="0"/>
              <w:rPr>
                <w:sz w:val="20"/>
                <w:szCs w:val="20"/>
                <w:color w:val="auto"/>
              </w:rPr>
            </w:pPr>
            <w:r>
              <w:rPr>
                <w:rFonts w:ascii="Arial" w:cs="Arial" w:eastAsia="Arial" w:hAnsi="Arial"/>
                <w:sz w:val="16"/>
                <w:szCs w:val="16"/>
                <w:color w:val="auto"/>
              </w:rPr>
              <w:t>Lisata Therapeutics, Inc. common stockholders</w:t>
            </w:r>
          </w:p>
        </w:tc>
        <w:tc>
          <w:tcPr>
            <w:tcW w:w="860" w:type="dxa"/>
            <w:vAlign w:val="bottom"/>
          </w:tcPr>
          <w:p>
            <w:pPr>
              <w:jc w:val="right"/>
              <w:ind w:right="680"/>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(0.65)</w:t>
            </w:r>
          </w:p>
        </w:tc>
        <w:tc>
          <w:tcPr>
            <w:tcW w:w="120" w:type="dxa"/>
            <w:vAlign w:val="bottom"/>
          </w:tcPr>
          <w:p>
            <w:pPr>
              <w:spacing w:after="0"/>
              <w:rPr>
                <w:sz w:val="18"/>
                <w:szCs w:val="18"/>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(7.88)</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(1.92)</w:t>
            </w:r>
          </w:p>
        </w:tc>
        <w:tc>
          <w:tcPr>
            <w:tcW w:w="4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(11.28)</w:t>
            </w: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6"/>
                <w:szCs w:val="16"/>
                <w:b w:val="1"/>
                <w:bCs w:val="1"/>
                <w:color w:val="auto"/>
              </w:rPr>
              <w:t>Weighted average common shares outstanding</w:t>
            </w: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and diluted shares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2740" w:type="dxa"/>
            <w:vAlign w:val="bottom"/>
            <w:gridSpan w:val="6"/>
            <w:vMerge w:val="restart"/>
          </w:tcPr>
          <w:p>
            <w:pPr>
              <w:ind w:left="80"/>
              <w:spacing w:after="0"/>
              <w:rPr>
                <w:sz w:val="20"/>
                <w:szCs w:val="20"/>
                <w:color w:val="auto"/>
              </w:rPr>
            </w:pPr>
            <w:r>
              <w:rPr>
                <w:rFonts w:ascii="Arial" w:cs="Arial" w:eastAsia="Arial" w:hAnsi="Arial"/>
                <w:sz w:val="16"/>
                <w:szCs w:val="16"/>
                <w:b w:val="1"/>
                <w:bCs w:val="1"/>
                <w:color w:val="auto"/>
                <w:w w:val="97"/>
              </w:rPr>
              <w:t>Three Months Ended September 30,</w:t>
            </w:r>
          </w:p>
        </w:tc>
        <w:tc>
          <w:tcPr>
            <w:tcW w:w="120" w:type="dxa"/>
            <w:vAlign w:val="bottom"/>
          </w:tcPr>
          <w:p>
            <w:pPr>
              <w:spacing w:after="0"/>
              <w:rPr>
                <w:sz w:val="16"/>
                <w:szCs w:val="16"/>
                <w:color w:val="auto"/>
              </w:rPr>
            </w:pPr>
          </w:p>
        </w:tc>
        <w:tc>
          <w:tcPr>
            <w:tcW w:w="2280" w:type="dxa"/>
            <w:vAlign w:val="bottom"/>
            <w:gridSpan w:val="4"/>
          </w:tcPr>
          <w:p>
            <w:pPr>
              <w:jc w:val="right"/>
              <w:ind w:right="40"/>
              <w:spacing w:after="0"/>
              <w:rPr>
                <w:sz w:val="20"/>
                <w:szCs w:val="20"/>
                <w:color w:val="auto"/>
              </w:rPr>
            </w:pPr>
            <w:r>
              <w:rPr>
                <w:rFonts w:ascii="Arial" w:cs="Arial" w:eastAsia="Arial" w:hAnsi="Arial"/>
                <w:sz w:val="16"/>
                <w:szCs w:val="16"/>
                <w:b w:val="1"/>
                <w:bCs w:val="1"/>
                <w:color w:val="auto"/>
                <w:w w:val="90"/>
              </w:rPr>
              <w:t>Nine Months Ended September</w:t>
            </w:r>
          </w:p>
        </w:tc>
        <w:tc>
          <w:tcPr>
            <w:tcW w:w="0" w:type="dxa"/>
            <w:vAlign w:val="bottom"/>
          </w:tcPr>
          <w:p>
            <w:pPr>
              <w:spacing w:after="0"/>
              <w:rPr>
                <w:sz w:val="1"/>
                <w:szCs w:val="1"/>
                <w:color w:val="auto"/>
              </w:rPr>
            </w:pPr>
          </w:p>
        </w:tc>
      </w:tr>
      <w:tr>
        <w:trPr>
          <w:trHeight w:val="211"/>
        </w:trPr>
        <w:tc>
          <w:tcPr>
            <w:tcW w:w="6100" w:type="dxa"/>
            <w:vAlign w:val="bottom"/>
          </w:tcPr>
          <w:p>
            <w:pPr>
              <w:spacing w:after="0"/>
              <w:rPr>
                <w:sz w:val="18"/>
                <w:szCs w:val="18"/>
                <w:color w:val="auto"/>
              </w:rPr>
            </w:pPr>
          </w:p>
        </w:tc>
        <w:tc>
          <w:tcPr>
            <w:tcW w:w="27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3"/>
          </w:tcPr>
          <w:p>
            <w:pPr>
              <w:jc w:val="right"/>
              <w:ind w:right="146"/>
              <w:spacing w:after="0"/>
              <w:rPr>
                <w:sz w:val="20"/>
                <w:szCs w:val="20"/>
                <w:color w:val="auto"/>
              </w:rPr>
            </w:pPr>
            <w:r>
              <w:rPr>
                <w:rFonts w:ascii="Arial" w:cs="Arial" w:eastAsia="Arial" w:hAnsi="Arial"/>
                <w:sz w:val="16"/>
                <w:szCs w:val="16"/>
                <w:b w:val="1"/>
                <w:bCs w:val="1"/>
                <w:color w:val="auto"/>
              </w:rPr>
              <w:t>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CCEEFF"/>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(5,261)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(48,235)</w:t>
            </w:r>
          </w:p>
        </w:tc>
        <w:tc>
          <w:tcPr>
            <w:tcW w:w="0" w:type="dxa"/>
            <w:vAlign w:val="bottom"/>
          </w:tcPr>
          <w:p>
            <w:pPr>
              <w:spacing w:after="0"/>
              <w:rPr>
                <w:sz w:val="1"/>
                <w:szCs w:val="1"/>
                <w:color w:val="auto"/>
              </w:rPr>
            </w:pPr>
          </w:p>
        </w:tc>
      </w:tr>
      <w:tr>
        <w:trPr>
          <w:trHeight w:val="253"/>
        </w:trPr>
        <w:tc>
          <w:tcPr>
            <w:tcW w:w="6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100" w:type="dxa"/>
            <w:vAlign w:val="bottom"/>
          </w:tcPr>
          <w:p>
            <w:pPr>
              <w:ind w:left="220"/>
              <w:spacing w:after="0"/>
              <w:rPr>
                <w:sz w:val="20"/>
                <w:szCs w:val="20"/>
                <w:color w:val="auto"/>
              </w:rPr>
            </w:pPr>
            <w:r>
              <w:rPr>
                <w:rFonts w:ascii="Arial" w:cs="Arial" w:eastAsia="Arial" w:hAnsi="Arial"/>
                <w:sz w:val="16"/>
                <w:szCs w:val="16"/>
                <w:color w:val="auto"/>
              </w:rPr>
              <w:t>Available for sale securities - net unrealized gain</w:t>
            </w:r>
          </w:p>
        </w:tc>
        <w:tc>
          <w:tcPr>
            <w:tcW w:w="88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Cumulative translation adjustment arising during the period</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4"/>
        </w:trPr>
        <w:tc>
          <w:tcPr>
            <w:tcW w:w="6100" w:type="dxa"/>
            <w:vAlign w:val="bottom"/>
          </w:tcPr>
          <w:p>
            <w:pPr>
              <w:ind w:left="220"/>
              <w:spacing w:after="0"/>
              <w:rPr>
                <w:sz w:val="20"/>
                <w:szCs w:val="20"/>
                <w:color w:val="auto"/>
              </w:rPr>
            </w:pPr>
            <w:r>
              <w:rPr>
                <w:rFonts w:ascii="Arial" w:cs="Arial" w:eastAsia="Arial" w:hAnsi="Arial"/>
                <w:sz w:val="16"/>
                <w:szCs w:val="16"/>
                <w:color w:val="auto"/>
              </w:rPr>
              <w:t>Total other comprehensive loss</w:t>
            </w: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56"/>
        </w:trPr>
        <w:tc>
          <w:tcPr>
            <w:tcW w:w="6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6100" w:type="dxa"/>
            <w:vAlign w:val="bottom"/>
          </w:tcPr>
          <w:p>
            <w:pPr>
              <w:ind w:left="20"/>
              <w:spacing w:after="0" w:line="163" w:lineRule="exact"/>
              <w:rPr>
                <w:sz w:val="20"/>
                <w:szCs w:val="20"/>
                <w:color w:val="auto"/>
              </w:rPr>
            </w:pPr>
            <w:r>
              <w:rPr>
                <w:rFonts w:ascii="Arial" w:cs="Arial" w:eastAsia="Arial" w:hAnsi="Arial"/>
                <w:sz w:val="16"/>
                <w:szCs w:val="16"/>
                <w:color w:val="auto"/>
              </w:rPr>
              <w:t>Comprehensive loss attributable to Lisata Therapeutics, Inc. common</w:t>
            </w:r>
          </w:p>
        </w:tc>
        <w:tc>
          <w:tcPr>
            <w:tcW w:w="880" w:type="dxa"/>
            <w:vAlign w:val="bottom"/>
            <w:vMerge w:val="restart"/>
          </w:tcPr>
          <w:p>
            <w:pPr>
              <w:jc w:val="right"/>
              <w:ind w:right="700"/>
              <w:spacing w:after="0"/>
              <w:rPr>
                <w:sz w:val="20"/>
                <w:szCs w:val="20"/>
                <w:color w:val="auto"/>
              </w:rPr>
            </w:pPr>
            <w:r>
              <w:rPr>
                <w:rFonts w:ascii="Arial" w:cs="Arial" w:eastAsia="Arial" w:hAnsi="Arial"/>
                <w:sz w:val="16"/>
                <w:szCs w:val="16"/>
                <w:color w:val="auto"/>
                <w:w w:val="89"/>
              </w:rPr>
              <w:t>$</w:t>
            </w:r>
          </w:p>
        </w:tc>
        <w:tc>
          <w:tcPr>
            <w:tcW w:w="520" w:type="dxa"/>
            <w:vAlign w:val="bottom"/>
            <w:vMerge w:val="restart"/>
          </w:tcPr>
          <w:p>
            <w:pPr>
              <w:jc w:val="right"/>
              <w:spacing w:after="0"/>
              <w:rPr>
                <w:sz w:val="20"/>
                <w:szCs w:val="20"/>
                <w:color w:val="auto"/>
              </w:rPr>
            </w:pPr>
            <w:r>
              <w:rPr>
                <w:rFonts w:ascii="Arial" w:cs="Arial" w:eastAsia="Arial" w:hAnsi="Arial"/>
                <w:sz w:val="16"/>
                <w:szCs w:val="16"/>
                <w:color w:val="auto"/>
                <w:w w:val="94"/>
              </w:rPr>
              <w:t>(5,311)</w:t>
            </w:r>
          </w:p>
        </w:tc>
        <w:tc>
          <w:tcPr>
            <w:tcW w:w="100" w:type="dxa"/>
            <w:vAlign w:val="bottom"/>
          </w:tcPr>
          <w:p>
            <w:pPr>
              <w:spacing w:after="0"/>
              <w:rPr>
                <w:sz w:val="14"/>
                <w:szCs w:val="14"/>
                <w:color w:val="auto"/>
              </w:rPr>
            </w:pPr>
          </w:p>
        </w:tc>
        <w:tc>
          <w:tcPr>
            <w:tcW w:w="260" w:type="dxa"/>
            <w:vAlign w:val="bottom"/>
            <w:vMerge w:val="restart"/>
          </w:tcPr>
          <w:p>
            <w:pPr>
              <w:jc w:val="right"/>
              <w:ind w:right="80"/>
              <w:spacing w:after="0"/>
              <w:rPr>
                <w:sz w:val="20"/>
                <w:szCs w:val="20"/>
                <w:color w:val="auto"/>
              </w:rPr>
            </w:pPr>
            <w:r>
              <w:rPr>
                <w:rFonts w:ascii="Arial" w:cs="Arial" w:eastAsia="Arial" w:hAnsi="Arial"/>
                <w:sz w:val="16"/>
                <w:szCs w:val="16"/>
                <w:color w:val="auto"/>
                <w:w w:val="89"/>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(37,403)</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(15,546)</w:t>
            </w:r>
          </w:p>
        </w:tc>
        <w:tc>
          <w:tcPr>
            <w:tcW w:w="120" w:type="dxa"/>
            <w:vAlign w:val="bottom"/>
          </w:tcPr>
          <w:p>
            <w:pPr>
              <w:spacing w:after="0"/>
              <w:rPr>
                <w:sz w:val="14"/>
                <w:szCs w:val="14"/>
                <w:color w:val="auto"/>
              </w:rPr>
            </w:pPr>
          </w:p>
        </w:tc>
        <w:tc>
          <w:tcPr>
            <w:tcW w:w="240" w:type="dxa"/>
            <w:vAlign w:val="bottom"/>
            <w:vMerge w:val="restart"/>
          </w:tcPr>
          <w:p>
            <w:pPr>
              <w:jc w:val="right"/>
              <w:ind w:right="86"/>
              <w:spacing w:after="0"/>
              <w:rPr>
                <w:sz w:val="20"/>
                <w:szCs w:val="20"/>
                <w:color w:val="auto"/>
              </w:rPr>
            </w:pPr>
            <w:r>
              <w:rPr>
                <w:rFonts w:ascii="Arial" w:cs="Arial" w:eastAsia="Arial" w:hAnsi="Arial"/>
                <w:sz w:val="15"/>
                <w:szCs w:val="15"/>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(48,255)</w:t>
            </w:r>
          </w:p>
        </w:tc>
        <w:tc>
          <w:tcPr>
            <w:tcW w:w="0" w:type="dxa"/>
            <w:vAlign w:val="bottom"/>
          </w:tcPr>
          <w:p>
            <w:pPr>
              <w:spacing w:after="0"/>
              <w:rPr>
                <w:sz w:val="1"/>
                <w:szCs w:val="1"/>
                <w:color w:val="auto"/>
              </w:rPr>
            </w:pPr>
          </w:p>
        </w:tc>
      </w:tr>
      <w:tr>
        <w:trPr>
          <w:trHeight w:val="188"/>
        </w:trPr>
        <w:tc>
          <w:tcPr>
            <w:tcW w:w="6100" w:type="dxa"/>
            <w:vAlign w:val="bottom"/>
          </w:tcPr>
          <w:p>
            <w:pPr>
              <w:ind w:left="20"/>
              <w:spacing w:after="0" w:line="183" w:lineRule="exact"/>
              <w:rPr>
                <w:sz w:val="20"/>
                <w:szCs w:val="20"/>
                <w:color w:val="auto"/>
              </w:rPr>
            </w:pPr>
            <w:r>
              <w:rPr>
                <w:rFonts w:ascii="Arial" w:cs="Arial" w:eastAsia="Arial" w:hAnsi="Arial"/>
                <w:sz w:val="16"/>
                <w:szCs w:val="16"/>
                <w:color w:val="auto"/>
              </w:rPr>
              <w:t>stockholders</w:t>
            </w:r>
          </w:p>
        </w:tc>
        <w:tc>
          <w:tcPr>
            <w:tcW w:w="88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CONSOLIDATED STATEMENTS OF EQUITY</w:t>
      </w:r>
    </w:p>
    <w:p>
      <w:pPr>
        <w:spacing w:after="0" w:line="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ind w:left="5160"/>
        <w:spacing w:after="0"/>
        <w:rPr>
          <w:sz w:val="20"/>
          <w:szCs w:val="20"/>
          <w:color w:val="auto"/>
        </w:rPr>
      </w:pPr>
      <w:r>
        <w:rPr>
          <w:rFonts w:ascii="Arial" w:cs="Arial" w:eastAsia="Arial" w:hAnsi="Arial"/>
          <w:sz w:val="16"/>
          <w:szCs w:val="16"/>
          <w:color w:val="auto"/>
        </w:rPr>
        <w:t>(In thousands)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38"/>
        </w:trPr>
        <w:tc>
          <w:tcPr>
            <w:tcW w:w="2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Total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2"/>
              </w:rPr>
              <w:t>Lisata</w:t>
            </w:r>
          </w:p>
        </w:tc>
        <w:tc>
          <w:tcPr>
            <w:tcW w:w="160" w:type="dxa"/>
            <w:vAlign w:val="bottom"/>
          </w:tcPr>
          <w:p>
            <w:pPr>
              <w:spacing w:after="0"/>
              <w:rPr>
                <w:sz w:val="10"/>
                <w:szCs w:val="10"/>
                <w:color w:val="auto"/>
              </w:rPr>
            </w:pPr>
          </w:p>
        </w:tc>
        <w:tc>
          <w:tcPr>
            <w:tcW w:w="6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2"/>
              </w:rPr>
              <w:t>Therapeutics,</w:t>
            </w: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800" w:type="dxa"/>
            <w:vAlign w:val="bottom"/>
          </w:tcPr>
          <w:p>
            <w:pPr>
              <w:spacing w:after="0"/>
              <w:rPr>
                <w:sz w:val="11"/>
                <w:szCs w:val="11"/>
                <w:color w:val="auto"/>
              </w:rPr>
            </w:pPr>
          </w:p>
        </w:tc>
        <w:tc>
          <w:tcPr>
            <w:tcW w:w="11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3" w:lineRule="exact"/>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1"/>
                <w:szCs w:val="11"/>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Treasury</w:t>
            </w:r>
          </w:p>
        </w:tc>
        <w:tc>
          <w:tcPr>
            <w:tcW w:w="160" w:type="dxa"/>
            <w:vAlign w:val="bottom"/>
          </w:tcPr>
          <w:p>
            <w:pPr>
              <w:spacing w:after="0"/>
              <w:rPr>
                <w:sz w:val="11"/>
                <w:szCs w:val="11"/>
                <w:color w:val="auto"/>
              </w:rPr>
            </w:pPr>
          </w:p>
        </w:tc>
        <w:tc>
          <w:tcPr>
            <w:tcW w:w="740" w:type="dxa"/>
            <w:vAlign w:val="bottom"/>
            <w:gridSpan w:val="2"/>
          </w:tcPr>
          <w:p>
            <w:pPr>
              <w:jc w:val="center"/>
              <w:ind w:right="260"/>
              <w:spacing w:after="0" w:line="133" w:lineRule="exact"/>
              <w:rPr>
                <w:sz w:val="20"/>
                <w:szCs w:val="20"/>
                <w:color w:val="auto"/>
              </w:rPr>
            </w:pPr>
            <w:r>
              <w:rPr>
                <w:rFonts w:ascii="Arial" w:cs="Arial" w:eastAsia="Arial" w:hAnsi="Arial"/>
                <w:sz w:val="12"/>
                <w:szCs w:val="12"/>
                <w:b w:val="1"/>
                <w:bCs w:val="1"/>
                <w:color w:val="auto"/>
                <w:w w:val="96"/>
              </w:rPr>
              <w:t>Inc.</w:t>
            </w:r>
          </w:p>
        </w:tc>
        <w:tc>
          <w:tcPr>
            <w:tcW w:w="820" w:type="dxa"/>
            <w:vAlign w:val="bottom"/>
            <w:gridSpan w:val="3"/>
          </w:tcPr>
          <w:p>
            <w:pPr>
              <w:jc w:val="center"/>
              <w:ind w:right="100"/>
              <w:spacing w:after="0" w:line="133" w:lineRule="exact"/>
              <w:rPr>
                <w:sz w:val="20"/>
                <w:szCs w:val="20"/>
                <w:color w:val="auto"/>
              </w:rPr>
            </w:pPr>
            <w:r>
              <w:rPr>
                <w:rFonts w:ascii="Arial" w:cs="Arial" w:eastAsia="Arial" w:hAnsi="Arial"/>
                <w:sz w:val="12"/>
                <w:szCs w:val="12"/>
                <w:b w:val="1"/>
                <w:bCs w:val="1"/>
                <w:color w:val="auto"/>
                <w:w w:val="93"/>
              </w:rPr>
              <w:t>Controlling</w:t>
            </w:r>
          </w:p>
        </w:tc>
        <w:tc>
          <w:tcPr>
            <w:tcW w:w="140" w:type="dxa"/>
            <w:vAlign w:val="bottom"/>
          </w:tcPr>
          <w:p>
            <w:pPr>
              <w:spacing w:after="0"/>
              <w:rPr>
                <w:sz w:val="11"/>
                <w:szCs w:val="11"/>
                <w:color w:val="auto"/>
              </w:rPr>
            </w:pPr>
          </w:p>
        </w:tc>
        <w:tc>
          <w:tcPr>
            <w:tcW w:w="62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33"/>
        </w:trPr>
        <w:tc>
          <w:tcPr>
            <w:tcW w:w="28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vMerge w:val="restart"/>
          </w:tcPr>
          <w:p>
            <w:pPr>
              <w:jc w:val="center"/>
              <w:ind w:right="200"/>
              <w:spacing w:after="0" w:line="120" w:lineRule="exact"/>
              <w:rPr>
                <w:sz w:val="20"/>
                <w:szCs w:val="20"/>
                <w:color w:val="auto"/>
              </w:rPr>
            </w:pPr>
            <w:r>
              <w:rPr>
                <w:rFonts w:ascii="Arial" w:cs="Arial" w:eastAsia="Arial" w:hAnsi="Arial"/>
                <w:sz w:val="12"/>
                <w:szCs w:val="12"/>
                <w:b w:val="1"/>
                <w:bCs w:val="1"/>
                <w:color w:val="auto"/>
                <w:w w:val="94"/>
              </w:rPr>
              <w:t>Paid-in</w:t>
            </w:r>
          </w:p>
        </w:tc>
        <w:tc>
          <w:tcPr>
            <w:tcW w:w="100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2"/>
                <w:szCs w:val="2"/>
                <w:color w:val="auto"/>
              </w:rPr>
            </w:pPr>
          </w:p>
        </w:tc>
        <w:tc>
          <w:tcPr>
            <w:tcW w:w="9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90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1"/>
              </w:rPr>
              <w:t>Stockholders'</w:t>
            </w:r>
          </w:p>
        </w:tc>
        <w:tc>
          <w:tcPr>
            <w:tcW w:w="820" w:type="dxa"/>
            <w:vAlign w:val="bottom"/>
            <w:gridSpan w:val="3"/>
            <w:vMerge w:val="restart"/>
          </w:tcPr>
          <w:p>
            <w:pPr>
              <w:jc w:val="center"/>
              <w:ind w:right="100"/>
              <w:spacing w:after="0" w:line="120" w:lineRule="exact"/>
              <w:rPr>
                <w:sz w:val="20"/>
                <w:szCs w:val="20"/>
                <w:color w:val="auto"/>
              </w:rPr>
            </w:pPr>
            <w:r>
              <w:rPr>
                <w:rFonts w:ascii="Arial" w:cs="Arial" w:eastAsia="Arial" w:hAnsi="Arial"/>
                <w:sz w:val="12"/>
                <w:szCs w:val="12"/>
                <w:b w:val="1"/>
                <w:bCs w:val="1"/>
                <w:color w:val="auto"/>
                <w:w w:val="97"/>
              </w:rPr>
              <w:t>Interest in</w:t>
            </w:r>
          </w:p>
        </w:tc>
        <w:tc>
          <w:tcPr>
            <w:tcW w:w="1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7"/>
        </w:trPr>
        <w:tc>
          <w:tcPr>
            <w:tcW w:w="2800" w:type="dxa"/>
            <w:vAlign w:val="bottom"/>
          </w:tcPr>
          <w:p>
            <w:pPr>
              <w:spacing w:after="0"/>
              <w:rPr>
                <w:sz w:val="5"/>
                <w:szCs w:val="5"/>
                <w:color w:val="auto"/>
              </w:rPr>
            </w:pPr>
          </w:p>
        </w:tc>
        <w:tc>
          <w:tcPr>
            <w:tcW w:w="8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28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5"/>
                <w:szCs w:val="15"/>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5"/>
                <w:szCs w:val="15"/>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5"/>
                <w:szCs w:val="15"/>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5"/>
                <w:szCs w:val="15"/>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5"/>
                <w:szCs w:val="15"/>
                <w:color w:val="auto"/>
              </w:rPr>
            </w:pPr>
          </w:p>
        </w:tc>
        <w:tc>
          <w:tcPr>
            <w:tcW w:w="620" w:type="dxa"/>
            <w:vAlign w:val="bottom"/>
          </w:tcPr>
          <w:p>
            <w:pPr>
              <w:jc w:val="center"/>
              <w:ind w:right="9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14"/>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June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547,032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(463,868)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82,391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82,137</w:t>
            </w:r>
          </w:p>
        </w:tc>
        <w:tc>
          <w:tcPr>
            <w:tcW w:w="0" w:type="dxa"/>
            <w:vAlign w:val="bottom"/>
          </w:tcPr>
          <w:p>
            <w:pPr>
              <w:spacing w:after="0"/>
              <w:rPr>
                <w:sz w:val="1"/>
                <w:szCs w:val="1"/>
                <w:color w:val="auto"/>
              </w:rPr>
            </w:pPr>
          </w:p>
        </w:tc>
      </w:tr>
      <w:tr>
        <w:trPr>
          <w:trHeight w:val="182"/>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(37,383)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(37,383)</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(37,383)</w:t>
            </w: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939</w:t>
            </w:r>
          </w:p>
        </w:tc>
        <w:tc>
          <w:tcPr>
            <w:tcW w:w="0" w:type="dxa"/>
            <w:vAlign w:val="bottom"/>
          </w:tcPr>
          <w:p>
            <w:pPr>
              <w:spacing w:after="0"/>
              <w:rPr>
                <w:sz w:val="1"/>
                <w:szCs w:val="1"/>
                <w:color w:val="auto"/>
              </w:rPr>
            </w:pPr>
          </w:p>
        </w:tc>
      </w:tr>
      <w:tr>
        <w:trPr>
          <w:trHeight w:val="141"/>
        </w:trPr>
        <w:tc>
          <w:tcPr>
            <w:tcW w:w="2800" w:type="dxa"/>
            <w:vAlign w:val="bottom"/>
          </w:tcPr>
          <w:p>
            <w:pPr>
              <w:ind w:left="20"/>
              <w:spacing w:after="0" w:line="141" w:lineRule="exact"/>
              <w:rPr>
                <w:sz w:val="20"/>
                <w:szCs w:val="20"/>
                <w:color w:val="auto"/>
              </w:rPr>
            </w:pPr>
            <w:r>
              <w:rPr>
                <w:rFonts w:ascii="Arial" w:cs="Arial" w:eastAsia="Arial" w:hAnsi="Arial"/>
                <w:sz w:val="14"/>
                <w:szCs w:val="14"/>
                <w:color w:val="auto"/>
                <w:w w:val="98"/>
              </w:rPr>
              <w:t>Issuance of common stock in connection with</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3,773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26,094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color w:val="auto"/>
              </w:rPr>
              <w:t>26,098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color w:val="auto"/>
              </w:rPr>
              <w:t>26,098</w:t>
            </w:r>
          </w:p>
        </w:tc>
        <w:tc>
          <w:tcPr>
            <w:tcW w:w="0" w:type="dxa"/>
            <w:vAlign w:val="bottom"/>
          </w:tcPr>
          <w:p>
            <w:pPr>
              <w:spacing w:after="0"/>
              <w:rPr>
                <w:sz w:val="1"/>
                <w:szCs w:val="1"/>
                <w:color w:val="auto"/>
              </w:rPr>
            </w:pPr>
          </w:p>
        </w:tc>
      </w:tr>
      <w:tr>
        <w:trPr>
          <w:trHeight w:val="186"/>
        </w:trPr>
        <w:tc>
          <w:tcPr>
            <w:tcW w:w="2800" w:type="dxa"/>
            <w:vAlign w:val="bottom"/>
          </w:tcPr>
          <w:p>
            <w:pPr>
              <w:ind w:left="20"/>
              <w:spacing w:after="0"/>
              <w:rPr>
                <w:sz w:val="20"/>
                <w:szCs w:val="20"/>
                <w:color w:val="auto"/>
              </w:rPr>
            </w:pPr>
            <w:r>
              <w:rPr>
                <w:rFonts w:ascii="Arial" w:cs="Arial" w:eastAsia="Arial" w:hAnsi="Arial"/>
                <w:sz w:val="14"/>
                <w:szCs w:val="14"/>
                <w:color w:val="auto"/>
              </w:rPr>
              <w:t>Merger</w:t>
            </w: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3"/>
        </w:trPr>
        <w:tc>
          <w:tcPr>
            <w:tcW w:w="28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25"/>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574,066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(501,251)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72,025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71,771</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2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7"/>
              </w:rPr>
              <w:t>Total</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2"/>
              </w:rPr>
              <w:t>Lisata</w:t>
            </w:r>
          </w:p>
        </w:tc>
        <w:tc>
          <w:tcPr>
            <w:tcW w:w="160" w:type="dxa"/>
            <w:vAlign w:val="bottom"/>
          </w:tcPr>
          <w:p>
            <w:pPr>
              <w:spacing w:after="0"/>
              <w:rPr>
                <w:sz w:val="10"/>
                <w:szCs w:val="10"/>
                <w:color w:val="auto"/>
              </w:rPr>
            </w:pPr>
          </w:p>
        </w:tc>
        <w:tc>
          <w:tcPr>
            <w:tcW w:w="66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4"/>
              </w:rPr>
              <w:t>Non-</w:t>
            </w: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2"/>
              </w:rPr>
              <w:t>Therapeutics,</w:t>
            </w:r>
          </w:p>
        </w:tc>
        <w:tc>
          <w:tcPr>
            <w:tcW w:w="16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800" w:type="dxa"/>
            <w:vAlign w:val="bottom"/>
          </w:tcPr>
          <w:p>
            <w:pPr>
              <w:spacing w:after="0"/>
              <w:rPr>
                <w:sz w:val="13"/>
                <w:szCs w:val="13"/>
                <w:color w:val="auto"/>
              </w:rPr>
            </w:pPr>
          </w:p>
        </w:tc>
        <w:tc>
          <w:tcPr>
            <w:tcW w:w="110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5"/>
              </w:rPr>
              <w:t>Additional</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3"/>
                <w:szCs w:val="13"/>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3"/>
                <w:szCs w:val="13"/>
                <w:color w:val="auto"/>
              </w:rPr>
            </w:pPr>
          </w:p>
        </w:tc>
        <w:tc>
          <w:tcPr>
            <w:tcW w:w="68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4"/>
              </w:rPr>
              <w:t>Treasury</w:t>
            </w:r>
          </w:p>
        </w:tc>
        <w:tc>
          <w:tcPr>
            <w:tcW w:w="160" w:type="dxa"/>
            <w:vAlign w:val="bottom"/>
          </w:tcPr>
          <w:p>
            <w:pPr>
              <w:spacing w:after="0"/>
              <w:rPr>
                <w:sz w:val="13"/>
                <w:szCs w:val="13"/>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6"/>
              </w:rPr>
              <w:t>Inc.</w:t>
            </w: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3"/>
              </w:rPr>
              <w:t>Controlling</w:t>
            </w:r>
          </w:p>
        </w:tc>
        <w:tc>
          <w:tcPr>
            <w:tcW w:w="140" w:type="dxa"/>
            <w:vAlign w:val="bottom"/>
          </w:tcPr>
          <w:p>
            <w:pPr>
              <w:spacing w:after="0"/>
              <w:rPr>
                <w:sz w:val="13"/>
                <w:szCs w:val="13"/>
                <w:color w:val="auto"/>
              </w:rPr>
            </w:pPr>
          </w:p>
        </w:tc>
        <w:tc>
          <w:tcPr>
            <w:tcW w:w="620" w:type="dxa"/>
            <w:vAlign w:val="bottom"/>
            <w:vMerge w:val="restart"/>
          </w:tcPr>
          <w:p>
            <w:pPr>
              <w:jc w:val="center"/>
              <w:ind w:right="91"/>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60"/>
        </w:trPr>
        <w:tc>
          <w:tcPr>
            <w:tcW w:w="280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tcPr>
          <w:p>
            <w:pPr>
              <w:jc w:val="center"/>
              <w:ind w:right="200"/>
              <w:spacing w:after="0" w:line="60" w:lineRule="exact"/>
              <w:rPr>
                <w:sz w:val="20"/>
                <w:szCs w:val="20"/>
                <w:color w:val="auto"/>
              </w:rPr>
            </w:pPr>
            <w:r>
              <w:rPr>
                <w:rFonts w:ascii="Arial" w:cs="Arial" w:eastAsia="Arial" w:hAnsi="Arial"/>
                <w:sz w:val="6"/>
                <w:szCs w:val="6"/>
                <w:b w:val="1"/>
                <w:bCs w:val="1"/>
                <w:color w:val="auto"/>
              </w:rPr>
              <w:t>Paid-in</w:t>
            </w:r>
          </w:p>
        </w:tc>
        <w:tc>
          <w:tcPr>
            <w:tcW w:w="10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Comprehensive</w:t>
            </w:r>
          </w:p>
        </w:tc>
        <w:tc>
          <w:tcPr>
            <w:tcW w:w="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90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Stockholders'</w:t>
            </w:r>
          </w:p>
        </w:tc>
        <w:tc>
          <w:tcPr>
            <w:tcW w:w="820" w:type="dxa"/>
            <w:vAlign w:val="bottom"/>
            <w:gridSpan w:val="3"/>
          </w:tcPr>
          <w:p>
            <w:pPr>
              <w:jc w:val="center"/>
              <w:ind w:right="100"/>
              <w:spacing w:after="0" w:line="60" w:lineRule="exact"/>
              <w:rPr>
                <w:sz w:val="20"/>
                <w:szCs w:val="20"/>
                <w:color w:val="auto"/>
              </w:rPr>
            </w:pPr>
            <w:r>
              <w:rPr>
                <w:rFonts w:ascii="Arial" w:cs="Arial" w:eastAsia="Arial" w:hAnsi="Arial"/>
                <w:sz w:val="6"/>
                <w:szCs w:val="6"/>
                <w:b w:val="1"/>
                <w:bCs w:val="1"/>
                <w:color w:val="auto"/>
              </w:rPr>
              <w:t>Interest in</w:t>
            </w:r>
          </w:p>
        </w:tc>
        <w:tc>
          <w:tcPr>
            <w:tcW w:w="1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80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6"/>
                <w:szCs w:val="16"/>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Capital</w:t>
            </w:r>
          </w:p>
        </w:tc>
        <w:tc>
          <w:tcPr>
            <w:tcW w:w="8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Stock</w:t>
            </w:r>
          </w:p>
        </w:tc>
        <w:tc>
          <w:tcPr>
            <w:tcW w:w="160" w:type="dxa"/>
            <w:vAlign w:val="bottom"/>
          </w:tcPr>
          <w:p>
            <w:pPr>
              <w:spacing w:after="0"/>
              <w:rPr>
                <w:sz w:val="16"/>
                <w:szCs w:val="16"/>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8"/>
              </w:rPr>
              <w:t>Equity</w:t>
            </w:r>
          </w:p>
        </w:tc>
        <w:tc>
          <w:tcPr>
            <w:tcW w:w="82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1"/>
              </w:rPr>
              <w:t>Subsidiary</w:t>
            </w:r>
          </w:p>
        </w:tc>
        <w:tc>
          <w:tcPr>
            <w:tcW w:w="140" w:type="dxa"/>
            <w:vAlign w:val="bottom"/>
          </w:tcPr>
          <w:p>
            <w:pPr>
              <w:spacing w:after="0"/>
              <w:rPr>
                <w:sz w:val="16"/>
                <w:szCs w:val="16"/>
                <w:color w:val="auto"/>
              </w:rPr>
            </w:pPr>
          </w:p>
        </w:tc>
        <w:tc>
          <w:tcPr>
            <w:tcW w:w="620" w:type="dxa"/>
            <w:vAlign w:val="bottom"/>
          </w:tcPr>
          <w:p>
            <w:pPr>
              <w:jc w:val="center"/>
              <w:ind w:right="9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203"/>
        </w:trPr>
        <w:tc>
          <w:tcPr>
            <w:tcW w:w="2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546,044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92,254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92,000</w:t>
            </w:r>
          </w:p>
        </w:tc>
        <w:tc>
          <w:tcPr>
            <w:tcW w:w="0" w:type="dxa"/>
            <w:vAlign w:val="bottom"/>
          </w:tcPr>
          <w:p>
            <w:pPr>
              <w:spacing w:after="0"/>
              <w:rPr>
                <w:sz w:val="1"/>
                <w:szCs w:val="1"/>
                <w:color w:val="auto"/>
              </w:rPr>
            </w:pPr>
          </w:p>
        </w:tc>
      </w:tr>
      <w:tr>
        <w:trPr>
          <w:trHeight w:val="180"/>
        </w:trPr>
        <w:tc>
          <w:tcPr>
            <w:tcW w:w="28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(48,235)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ind w:left="3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(48,235)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(48,235)</w:t>
            </w:r>
          </w:p>
        </w:tc>
        <w:tc>
          <w:tcPr>
            <w:tcW w:w="0" w:type="dxa"/>
            <w:vAlign w:val="bottom"/>
          </w:tcPr>
          <w:p>
            <w:pPr>
              <w:spacing w:after="0"/>
              <w:rPr>
                <w:sz w:val="1"/>
                <w:szCs w:val="1"/>
                <w:color w:val="auto"/>
              </w:rPr>
            </w:pPr>
          </w:p>
        </w:tc>
      </w:tr>
      <w:tr>
        <w:trPr>
          <w:trHeight w:val="209"/>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1,899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1,899</w:t>
            </w: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Arial" w:cs="Arial" w:eastAsia="Arial" w:hAnsi="Arial"/>
                <w:sz w:val="14"/>
                <w:szCs w:val="14"/>
                <w:color w:val="auto"/>
                <w:w w:val="94"/>
              </w:rPr>
              <w:t>Net proceeds from issuances of common stock</w:t>
            </w: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29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51"/>
        </w:trPr>
        <w:tc>
          <w:tcPr>
            <w:tcW w:w="280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color w:val="auto"/>
                <w:w w:val="98"/>
              </w:rPr>
              <w:t>Issuance of common stock in connection with</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26,094</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12"/>
              <w:spacing w:after="0"/>
              <w:rPr>
                <w:sz w:val="20"/>
                <w:szCs w:val="20"/>
                <w:color w:val="auto"/>
              </w:rPr>
            </w:pPr>
            <w:r>
              <w:rPr>
                <w:rFonts w:ascii="Arial" w:cs="Arial" w:eastAsia="Arial" w:hAnsi="Arial"/>
                <w:sz w:val="14"/>
                <w:szCs w:val="14"/>
                <w:color w:val="auto"/>
              </w:rPr>
              <w:t>26,098</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gridSpan w:val="2"/>
            <w:vMerge w:val="restart"/>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2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26,098</w:t>
            </w:r>
          </w:p>
        </w:tc>
        <w:tc>
          <w:tcPr>
            <w:tcW w:w="0" w:type="dxa"/>
            <w:vAlign w:val="bottom"/>
          </w:tcPr>
          <w:p>
            <w:pPr>
              <w:spacing w:after="0"/>
              <w:rPr>
                <w:sz w:val="1"/>
                <w:szCs w:val="1"/>
                <w:color w:val="auto"/>
              </w:rPr>
            </w:pPr>
          </w:p>
        </w:tc>
      </w:tr>
      <w:tr>
        <w:trPr>
          <w:trHeight w:val="192"/>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Merger</w:t>
            </w: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800" w:type="dxa"/>
            <w:vAlign w:val="bottom"/>
          </w:tcPr>
          <w:p>
            <w:pPr>
              <w:ind w:left="20"/>
              <w:spacing w:after="0"/>
              <w:rPr>
                <w:sz w:val="20"/>
                <w:szCs w:val="20"/>
                <w:color w:val="auto"/>
              </w:rPr>
            </w:pPr>
            <w:r>
              <w:rPr>
                <w:rFonts w:ascii="Arial" w:cs="Arial" w:eastAsia="Arial" w:hAnsi="Arial"/>
                <w:sz w:val="14"/>
                <w:szCs w:val="14"/>
                <w:color w:val="auto"/>
              </w:rPr>
              <w:t>Unrealized gain on marketable securities</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20" w:type="dxa"/>
            <w:vAlign w:val="bottom"/>
          </w:tcPr>
          <w:p>
            <w:pPr>
              <w:jc w:val="right"/>
              <w:ind w:right="11"/>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3"/>
        </w:trPr>
        <w:tc>
          <w:tcPr>
            <w:tcW w:w="2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00"/>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7,863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574,066</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(501,251)</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72,025</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7"/>
              </w:rPr>
              <w:t>(254)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71,771</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20"/>
          </w:cols>
          <w:pgMar w:left="320" w:top="121" w:right="7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600" w:type="dxa"/>
        <w:tblCellMar>
          <w:top w:w="0" w:type="dxa"/>
          <w:left w:w="0" w:type="dxa"/>
          <w:bottom w:w="0" w:type="dxa"/>
          <w:right w:w="0" w:type="dxa"/>
        </w:tblCellMar>
      </w:tblPr>
      <w:tr>
        <w:trPr>
          <w:trHeight w:val="138"/>
        </w:trPr>
        <w:tc>
          <w:tcPr>
            <w:tcW w:w="2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7"/>
              </w:rPr>
              <w:t>Lisata</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w w:val="94"/>
              </w:rPr>
              <w:t>Therapeutics,</w:t>
            </w:r>
          </w:p>
        </w:tc>
        <w:tc>
          <w:tcPr>
            <w:tcW w:w="160" w:type="dxa"/>
            <w:vAlign w:val="bottom"/>
          </w:tcPr>
          <w:p>
            <w:pPr>
              <w:spacing w:after="0"/>
              <w:rPr>
                <w:sz w:val="10"/>
                <w:szCs w:val="10"/>
                <w:color w:val="auto"/>
              </w:rPr>
            </w:pPr>
          </w:p>
        </w:tc>
        <w:tc>
          <w:tcPr>
            <w:tcW w:w="64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46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00"/>
              <w:spacing w:after="0" w:line="120" w:lineRule="exact"/>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jc w:val="center"/>
              <w:ind w:right="240"/>
              <w:spacing w:after="0" w:line="120" w:lineRule="exact"/>
              <w:rPr>
                <w:sz w:val="20"/>
                <w:szCs w:val="20"/>
                <w:color w:val="auto"/>
              </w:rPr>
            </w:pPr>
            <w:r>
              <w:rPr>
                <w:rFonts w:ascii="Arial" w:cs="Arial" w:eastAsia="Arial" w:hAnsi="Arial"/>
                <w:sz w:val="12"/>
                <w:szCs w:val="12"/>
                <w:b w:val="1"/>
                <w:bCs w:val="1"/>
                <w:color w:val="auto"/>
                <w:w w:val="96"/>
              </w:rPr>
              <w:t>Inc.</w:t>
            </w:r>
          </w:p>
        </w:tc>
        <w:tc>
          <w:tcPr>
            <w:tcW w:w="800" w:type="dxa"/>
            <w:vAlign w:val="bottom"/>
            <w:gridSpan w:val="3"/>
          </w:tcPr>
          <w:p>
            <w:pPr>
              <w:jc w:val="center"/>
              <w:ind w:right="100"/>
              <w:spacing w:after="0" w:line="120" w:lineRule="exact"/>
              <w:rPr>
                <w:sz w:val="20"/>
                <w:szCs w:val="20"/>
                <w:color w:val="auto"/>
              </w:rPr>
            </w:pPr>
            <w:r>
              <w:rPr>
                <w:rFonts w:ascii="Arial" w:cs="Arial" w:eastAsia="Arial" w:hAnsi="Arial"/>
                <w:sz w:val="12"/>
                <w:szCs w:val="12"/>
                <w:b w:val="1"/>
                <w:bCs w:val="1"/>
                <w:color w:val="auto"/>
                <w:w w:val="96"/>
              </w:rPr>
              <w:t>Controlling</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246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gridSpan w:val="2"/>
            <w:vMerge w:val="restart"/>
          </w:tcPr>
          <w:p>
            <w:pPr>
              <w:jc w:val="center"/>
              <w:ind w:right="200"/>
              <w:spacing w:after="0" w:line="133" w:lineRule="exact"/>
              <w:rPr>
                <w:sz w:val="20"/>
                <w:szCs w:val="20"/>
                <w:color w:val="auto"/>
              </w:rPr>
            </w:pPr>
            <w:r>
              <w:rPr>
                <w:rFonts w:ascii="Arial" w:cs="Arial" w:eastAsia="Arial" w:hAnsi="Arial"/>
                <w:sz w:val="12"/>
                <w:szCs w:val="12"/>
                <w:b w:val="1"/>
                <w:bCs w:val="1"/>
                <w:color w:val="auto"/>
                <w:w w:val="99"/>
              </w:rPr>
              <w:t>Paid-in</w:t>
            </w:r>
          </w:p>
        </w:tc>
        <w:tc>
          <w:tcPr>
            <w:tcW w:w="1020" w:type="dxa"/>
            <w:vAlign w:val="bottom"/>
            <w:gridSpan w:val="3"/>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3"/>
                <w:szCs w:val="3"/>
                <w:color w:val="auto"/>
              </w:rPr>
            </w:pPr>
          </w:p>
        </w:tc>
        <w:tc>
          <w:tcPr>
            <w:tcW w:w="88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3"/>
                <w:szCs w:val="3"/>
                <w:color w:val="auto"/>
              </w:rPr>
            </w:pPr>
          </w:p>
        </w:tc>
        <w:tc>
          <w:tcPr>
            <w:tcW w:w="660" w:type="dxa"/>
            <w:vAlign w:val="bottom"/>
            <w:gridSpan w:val="2"/>
            <w:vMerge w:val="restart"/>
          </w:tcPr>
          <w:p>
            <w:pPr>
              <w:jc w:val="center"/>
              <w:ind w:right="180"/>
              <w:spacing w:after="0" w:line="133" w:lineRule="exact"/>
              <w:rPr>
                <w:sz w:val="20"/>
                <w:szCs w:val="20"/>
                <w:color w:val="auto"/>
              </w:rPr>
            </w:pPr>
            <w:r>
              <w:rPr>
                <w:rFonts w:ascii="Arial" w:cs="Arial" w:eastAsia="Arial" w:hAnsi="Arial"/>
                <w:sz w:val="12"/>
                <w:szCs w:val="12"/>
                <w:b w:val="1"/>
                <w:bCs w:val="1"/>
                <w:color w:val="auto"/>
                <w:w w:val="94"/>
              </w:rPr>
              <w:t>Treasury</w:t>
            </w:r>
          </w:p>
        </w:tc>
        <w:tc>
          <w:tcPr>
            <w:tcW w:w="920" w:type="dxa"/>
            <w:vAlign w:val="bottom"/>
            <w:gridSpan w:val="3"/>
            <w:vMerge w:val="restart"/>
          </w:tcPr>
          <w:p>
            <w:pPr>
              <w:jc w:val="center"/>
              <w:ind w:right="80"/>
              <w:spacing w:after="0" w:line="133" w:lineRule="exact"/>
              <w:rPr>
                <w:sz w:val="20"/>
                <w:szCs w:val="20"/>
                <w:color w:val="auto"/>
              </w:rPr>
            </w:pPr>
            <w:r>
              <w:rPr>
                <w:rFonts w:ascii="Arial" w:cs="Arial" w:eastAsia="Arial" w:hAnsi="Arial"/>
                <w:sz w:val="12"/>
                <w:szCs w:val="12"/>
                <w:b w:val="1"/>
                <w:bCs w:val="1"/>
                <w:color w:val="auto"/>
                <w:w w:val="91"/>
              </w:rPr>
              <w:t>Stockholders'</w:t>
            </w:r>
          </w:p>
        </w:tc>
        <w:tc>
          <w:tcPr>
            <w:tcW w:w="800" w:type="dxa"/>
            <w:vAlign w:val="bottom"/>
            <w:gridSpan w:val="3"/>
            <w:vMerge w:val="restart"/>
          </w:tcPr>
          <w:p>
            <w:pPr>
              <w:jc w:val="center"/>
              <w:ind w:right="100"/>
              <w:spacing w:after="0" w:line="133" w:lineRule="exact"/>
              <w:rPr>
                <w:sz w:val="20"/>
                <w:szCs w:val="20"/>
                <w:color w:val="auto"/>
              </w:rPr>
            </w:pPr>
            <w:r>
              <w:rPr>
                <w:rFonts w:ascii="Arial" w:cs="Arial" w:eastAsia="Arial" w:hAnsi="Arial"/>
                <w:sz w:val="12"/>
                <w:szCs w:val="12"/>
                <w:b w:val="1"/>
                <w:bCs w:val="1"/>
                <w:color w:val="auto"/>
                <w:w w:val="94"/>
              </w:rPr>
              <w:t>Interest in</w:t>
            </w:r>
          </w:p>
        </w:tc>
        <w:tc>
          <w:tcPr>
            <w:tcW w:w="160" w:type="dxa"/>
            <w:vAlign w:val="bottom"/>
          </w:tcPr>
          <w:p>
            <w:pPr>
              <w:spacing w:after="0"/>
              <w:rPr>
                <w:sz w:val="3"/>
                <w:szCs w:val="3"/>
                <w:color w:val="auto"/>
              </w:rPr>
            </w:pPr>
          </w:p>
        </w:tc>
        <w:tc>
          <w:tcPr>
            <w:tcW w:w="620" w:type="dxa"/>
            <w:vAlign w:val="bottom"/>
            <w:vMerge w:val="restart"/>
          </w:tcPr>
          <w:p>
            <w:pPr>
              <w:jc w:val="center"/>
              <w:ind w:right="91"/>
              <w:spacing w:after="0" w:line="133"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73"/>
        </w:trPr>
        <w:tc>
          <w:tcPr>
            <w:tcW w:w="2460" w:type="dxa"/>
            <w:vAlign w:val="bottom"/>
          </w:tcPr>
          <w:p>
            <w:pPr>
              <w:spacing w:after="0"/>
              <w:rPr>
                <w:sz w:val="6"/>
                <w:szCs w:val="6"/>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02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920" w:type="dxa"/>
            <w:vAlign w:val="bottom"/>
            <w:gridSpan w:val="3"/>
            <w:vMerge w:val="continue"/>
          </w:tcPr>
          <w:p>
            <w:pPr>
              <w:spacing w:after="0"/>
              <w:rPr>
                <w:sz w:val="6"/>
                <w:szCs w:val="6"/>
                <w:color w:val="auto"/>
              </w:rPr>
            </w:pPr>
          </w:p>
        </w:tc>
        <w:tc>
          <w:tcPr>
            <w:tcW w:w="80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4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8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4"/>
                <w:szCs w:val="14"/>
                <w:color w:val="auto"/>
              </w:rPr>
            </w:pPr>
          </w:p>
        </w:tc>
        <w:tc>
          <w:tcPr>
            <w:tcW w:w="620" w:type="dxa"/>
            <w:vAlign w:val="bottom"/>
          </w:tcPr>
          <w:p>
            <w:pPr>
              <w:jc w:val="center"/>
              <w:ind w:right="9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9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June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8,133</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576,173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(517,455)</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57,968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57,714</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20"/>
                <w:szCs w:val="20"/>
                <w:color w:val="auto"/>
              </w:rPr>
            </w:pPr>
            <w:r>
              <w:rPr>
                <w:rFonts w:ascii="Arial" w:cs="Arial" w:eastAsia="Arial" w:hAnsi="Arial"/>
                <w:sz w:val="14"/>
                <w:szCs w:val="14"/>
                <w:color w:val="auto"/>
              </w:rPr>
              <w:t>Net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(5,261)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(5,261)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(5,261)</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301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193"/>
        </w:trPr>
        <w:tc>
          <w:tcPr>
            <w:tcW w:w="2460" w:type="dxa"/>
            <w:vAlign w:val="bottom"/>
          </w:tcPr>
          <w:p>
            <w:pPr>
              <w:spacing w:after="0"/>
              <w:rPr>
                <w:sz w:val="20"/>
                <w:szCs w:val="20"/>
                <w:color w:val="auto"/>
              </w:rPr>
            </w:pPr>
            <w:r>
              <w:rPr>
                <w:rFonts w:ascii="Arial" w:cs="Arial" w:eastAsia="Arial" w:hAnsi="Arial"/>
                <w:sz w:val="14"/>
                <w:szCs w:val="14"/>
                <w:color w:val="auto"/>
                <w:w w:val="99"/>
              </w:rPr>
              <w:t>Foreign currency translation adjustment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25"/>
        </w:trPr>
        <w:tc>
          <w:tcPr>
            <w:tcW w:w="2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September 30, 2023</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8,140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576,474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(522,716)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52,958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52,704</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4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0"/>
              </w:rPr>
              <w:t>Total</w:t>
            </w: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4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center"/>
              <w:ind w:right="260"/>
              <w:spacing w:after="0" w:line="129" w:lineRule="exact"/>
              <w:rPr>
                <w:sz w:val="20"/>
                <w:szCs w:val="20"/>
                <w:color w:val="auto"/>
              </w:rPr>
            </w:pPr>
            <w:r>
              <w:rPr>
                <w:rFonts w:ascii="Arial" w:cs="Arial" w:eastAsia="Arial" w:hAnsi="Arial"/>
                <w:sz w:val="12"/>
                <w:szCs w:val="12"/>
                <w:b w:val="1"/>
                <w:bCs w:val="1"/>
                <w:color w:val="auto"/>
                <w:w w:val="97"/>
              </w:rPr>
              <w:t>Lisata</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4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80"/>
              <w:spacing w:after="0" w:line="125"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100"/>
              <w:spacing w:after="0" w:line="125" w:lineRule="exact"/>
              <w:rPr>
                <w:sz w:val="20"/>
                <w:szCs w:val="20"/>
                <w:color w:val="auto"/>
              </w:rPr>
            </w:pPr>
            <w:r>
              <w:rPr>
                <w:rFonts w:ascii="Arial" w:cs="Arial" w:eastAsia="Arial" w:hAnsi="Arial"/>
                <w:sz w:val="12"/>
                <w:szCs w:val="12"/>
                <w:b w:val="1"/>
                <w:bCs w:val="1"/>
                <w:color w:val="auto"/>
                <w:w w:val="94"/>
              </w:rPr>
              <w:t>Therapeutics,</w:t>
            </w:r>
          </w:p>
        </w:tc>
        <w:tc>
          <w:tcPr>
            <w:tcW w:w="160" w:type="dxa"/>
            <w:vAlign w:val="bottom"/>
          </w:tcPr>
          <w:p>
            <w:pPr>
              <w:spacing w:after="0"/>
              <w:rPr>
                <w:sz w:val="10"/>
                <w:szCs w:val="10"/>
                <w:color w:val="auto"/>
              </w:rPr>
            </w:pPr>
          </w:p>
        </w:tc>
        <w:tc>
          <w:tcPr>
            <w:tcW w:w="640" w:type="dxa"/>
            <w:vAlign w:val="bottom"/>
            <w:gridSpan w:val="2"/>
          </w:tcPr>
          <w:p>
            <w:pPr>
              <w:jc w:val="center"/>
              <w:ind w:right="260"/>
              <w:spacing w:after="0" w:line="125" w:lineRule="exact"/>
              <w:rPr>
                <w:sz w:val="20"/>
                <w:szCs w:val="20"/>
                <w:color w:val="auto"/>
              </w:rPr>
            </w:pPr>
            <w:r>
              <w:rPr>
                <w:rFonts w:ascii="Arial" w:cs="Arial" w:eastAsia="Arial" w:hAnsi="Arial"/>
                <w:sz w:val="12"/>
                <w:szCs w:val="12"/>
                <w:b w:val="1"/>
                <w:bCs w:val="1"/>
                <w:color w:val="auto"/>
                <w:w w:val="94"/>
              </w:rPr>
              <w:t>Non-</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460" w:type="dxa"/>
            <w:vAlign w:val="bottom"/>
          </w:tcPr>
          <w:p>
            <w:pPr>
              <w:spacing w:after="0"/>
              <w:rPr>
                <w:sz w:val="12"/>
                <w:szCs w:val="12"/>
                <w:color w:val="auto"/>
              </w:rPr>
            </w:pPr>
          </w:p>
        </w:tc>
        <w:tc>
          <w:tcPr>
            <w:tcW w:w="1120" w:type="dxa"/>
            <w:vAlign w:val="bottom"/>
            <w:gridSpan w:val="3"/>
          </w:tcPr>
          <w:p>
            <w:pPr>
              <w:jc w:val="right"/>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5"/>
              </w:rPr>
              <w:t>Additional</w:t>
            </w:r>
          </w:p>
        </w:tc>
        <w:tc>
          <w:tcPr>
            <w:tcW w:w="10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Inc.</w:t>
            </w:r>
          </w:p>
        </w:tc>
        <w:tc>
          <w:tcPr>
            <w:tcW w:w="8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6"/>
              </w:rPr>
              <w:t>Controlling</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24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jc w:val="center"/>
              <w:ind w:right="200"/>
              <w:spacing w:after="0" w:line="107" w:lineRule="exact"/>
              <w:rPr>
                <w:sz w:val="20"/>
                <w:szCs w:val="20"/>
                <w:color w:val="auto"/>
              </w:rPr>
            </w:pPr>
            <w:r>
              <w:rPr>
                <w:rFonts w:ascii="Arial" w:cs="Arial" w:eastAsia="Arial" w:hAnsi="Arial"/>
                <w:sz w:val="12"/>
                <w:szCs w:val="12"/>
                <w:b w:val="1"/>
                <w:bCs w:val="1"/>
                <w:color w:val="auto"/>
                <w:w w:val="99"/>
              </w:rPr>
              <w:t>Paid-in</w:t>
            </w:r>
          </w:p>
        </w:tc>
        <w:tc>
          <w:tcPr>
            <w:tcW w:w="1020" w:type="dxa"/>
            <w:vAlign w:val="bottom"/>
            <w:gridSpan w:val="3"/>
            <w:vMerge w:val="restart"/>
          </w:tcPr>
          <w:p>
            <w:pPr>
              <w:jc w:val="center"/>
              <w:ind w:right="80"/>
              <w:spacing w:after="0" w:line="107" w:lineRule="exact"/>
              <w:rPr>
                <w:sz w:val="20"/>
                <w:szCs w:val="20"/>
                <w:color w:val="auto"/>
              </w:rPr>
            </w:pPr>
            <w:r>
              <w:rPr>
                <w:rFonts w:ascii="Arial" w:cs="Arial" w:eastAsia="Arial" w:hAnsi="Arial"/>
                <w:sz w:val="12"/>
                <w:szCs w:val="12"/>
                <w:b w:val="1"/>
                <w:bCs w:val="1"/>
                <w:color w:val="auto"/>
                <w:w w:val="91"/>
              </w:rPr>
              <w:t>Comprehensive</w:t>
            </w:r>
          </w:p>
        </w:tc>
        <w:tc>
          <w:tcPr>
            <w:tcW w:w="80" w:type="dxa"/>
            <w:vAlign w:val="bottom"/>
          </w:tcPr>
          <w:p>
            <w:pPr>
              <w:spacing w:after="0"/>
              <w:rPr>
                <w:sz w:val="5"/>
                <w:szCs w:val="5"/>
                <w:color w:val="auto"/>
              </w:rPr>
            </w:pPr>
          </w:p>
        </w:tc>
        <w:tc>
          <w:tcPr>
            <w:tcW w:w="880" w:type="dxa"/>
            <w:vAlign w:val="bottom"/>
            <w:gridSpan w:val="2"/>
            <w:vMerge w:val="restart"/>
          </w:tcPr>
          <w:p>
            <w:pPr>
              <w:jc w:val="center"/>
              <w:ind w:right="180"/>
              <w:spacing w:after="0" w:line="107"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5"/>
                <w:szCs w:val="5"/>
                <w:color w:val="auto"/>
              </w:rPr>
            </w:pPr>
          </w:p>
        </w:tc>
        <w:tc>
          <w:tcPr>
            <w:tcW w:w="660" w:type="dxa"/>
            <w:vAlign w:val="bottom"/>
            <w:gridSpan w:val="2"/>
            <w:vMerge w:val="restart"/>
          </w:tcPr>
          <w:p>
            <w:pPr>
              <w:jc w:val="center"/>
              <w:ind w:right="180"/>
              <w:spacing w:after="0" w:line="107" w:lineRule="exact"/>
              <w:rPr>
                <w:sz w:val="20"/>
                <w:szCs w:val="20"/>
                <w:color w:val="auto"/>
              </w:rPr>
            </w:pPr>
            <w:r>
              <w:rPr>
                <w:rFonts w:ascii="Arial" w:cs="Arial" w:eastAsia="Arial" w:hAnsi="Arial"/>
                <w:sz w:val="12"/>
                <w:szCs w:val="12"/>
                <w:b w:val="1"/>
                <w:bCs w:val="1"/>
                <w:color w:val="auto"/>
                <w:w w:val="94"/>
              </w:rPr>
              <w:t>Treasury</w:t>
            </w:r>
          </w:p>
        </w:tc>
        <w:tc>
          <w:tcPr>
            <w:tcW w:w="920" w:type="dxa"/>
            <w:vAlign w:val="bottom"/>
            <w:gridSpan w:val="3"/>
            <w:vMerge w:val="restart"/>
          </w:tcPr>
          <w:p>
            <w:pPr>
              <w:jc w:val="center"/>
              <w:ind w:right="80"/>
              <w:spacing w:after="0" w:line="107" w:lineRule="exact"/>
              <w:rPr>
                <w:sz w:val="20"/>
                <w:szCs w:val="20"/>
                <w:color w:val="auto"/>
              </w:rPr>
            </w:pPr>
            <w:r>
              <w:rPr>
                <w:rFonts w:ascii="Arial" w:cs="Arial" w:eastAsia="Arial" w:hAnsi="Arial"/>
                <w:sz w:val="12"/>
                <w:szCs w:val="12"/>
                <w:b w:val="1"/>
                <w:bCs w:val="1"/>
                <w:color w:val="auto"/>
                <w:w w:val="91"/>
              </w:rPr>
              <w:t>Stockholders'</w:t>
            </w:r>
          </w:p>
        </w:tc>
        <w:tc>
          <w:tcPr>
            <w:tcW w:w="800" w:type="dxa"/>
            <w:vAlign w:val="bottom"/>
            <w:gridSpan w:val="3"/>
            <w:vMerge w:val="restart"/>
          </w:tcPr>
          <w:p>
            <w:pPr>
              <w:jc w:val="center"/>
              <w:ind w:right="100"/>
              <w:spacing w:after="0" w:line="107" w:lineRule="exact"/>
              <w:rPr>
                <w:sz w:val="20"/>
                <w:szCs w:val="20"/>
                <w:color w:val="auto"/>
              </w:rPr>
            </w:pPr>
            <w:r>
              <w:rPr>
                <w:rFonts w:ascii="Arial" w:cs="Arial" w:eastAsia="Arial" w:hAnsi="Arial"/>
                <w:sz w:val="12"/>
                <w:szCs w:val="12"/>
                <w:b w:val="1"/>
                <w:bCs w:val="1"/>
                <w:color w:val="auto"/>
                <w:w w:val="94"/>
              </w:rPr>
              <w:t>Interest in</w:t>
            </w:r>
          </w:p>
        </w:tc>
        <w:tc>
          <w:tcPr>
            <w:tcW w:w="160" w:type="dxa"/>
            <w:vAlign w:val="bottom"/>
          </w:tcPr>
          <w:p>
            <w:pPr>
              <w:spacing w:after="0"/>
              <w:rPr>
                <w:sz w:val="5"/>
                <w:szCs w:val="5"/>
                <w:color w:val="auto"/>
              </w:rPr>
            </w:pPr>
          </w:p>
        </w:tc>
        <w:tc>
          <w:tcPr>
            <w:tcW w:w="620" w:type="dxa"/>
            <w:vAlign w:val="bottom"/>
            <w:vMerge w:val="restart"/>
          </w:tcPr>
          <w:p>
            <w:pPr>
              <w:jc w:val="center"/>
              <w:ind w:right="91"/>
              <w:spacing w:after="0" w:line="107"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8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Shares</w:t>
            </w:r>
          </w:p>
        </w:tc>
        <w:tc>
          <w:tcPr>
            <w:tcW w:w="6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920" w:type="dxa"/>
            <w:vAlign w:val="bottom"/>
            <w:gridSpan w:val="3"/>
            <w:vMerge w:val="continue"/>
          </w:tcPr>
          <w:p>
            <w:pPr>
              <w:spacing w:after="0"/>
              <w:rPr>
                <w:sz w:val="2"/>
                <w:szCs w:val="2"/>
                <w:color w:val="auto"/>
              </w:rPr>
            </w:pPr>
          </w:p>
        </w:tc>
        <w:tc>
          <w:tcPr>
            <w:tcW w:w="800" w:type="dxa"/>
            <w:vAlign w:val="bottom"/>
            <w:gridSpan w:val="3"/>
            <w:vMerge w:val="continue"/>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7"/>
        </w:trPr>
        <w:tc>
          <w:tcPr>
            <w:tcW w:w="24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00" w:type="dxa"/>
            <w:vAlign w:val="bottom"/>
          </w:tcPr>
          <w:p>
            <w:pPr>
              <w:spacing w:after="0"/>
              <w:rPr>
                <w:sz w:val="14"/>
                <w:szCs w:val="1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5"/>
              </w:rPr>
              <w:t>Loss</w:t>
            </w:r>
          </w:p>
        </w:tc>
        <w:tc>
          <w:tcPr>
            <w:tcW w:w="80" w:type="dxa"/>
            <w:vAlign w:val="bottom"/>
          </w:tcPr>
          <w:p>
            <w:pPr>
              <w:spacing w:after="0"/>
              <w:rPr>
                <w:sz w:val="14"/>
                <w:szCs w:val="14"/>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8"/>
              </w:rPr>
              <w:t>Deficit</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Equity</w:t>
            </w:r>
          </w:p>
        </w:tc>
        <w:tc>
          <w:tcPr>
            <w:tcW w:w="80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4"/>
              </w:rPr>
              <w:t>Subsidiary</w:t>
            </w:r>
          </w:p>
        </w:tc>
        <w:tc>
          <w:tcPr>
            <w:tcW w:w="160" w:type="dxa"/>
            <w:vAlign w:val="bottom"/>
          </w:tcPr>
          <w:p>
            <w:pPr>
              <w:spacing w:after="0"/>
              <w:rPr>
                <w:sz w:val="14"/>
                <w:szCs w:val="14"/>
                <w:color w:val="auto"/>
              </w:rPr>
            </w:pPr>
          </w:p>
        </w:tc>
        <w:tc>
          <w:tcPr>
            <w:tcW w:w="620" w:type="dxa"/>
            <w:vAlign w:val="bottom"/>
          </w:tcPr>
          <w:p>
            <w:pPr>
              <w:jc w:val="center"/>
              <w:ind w:right="91"/>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99"/>
        </w:trPr>
        <w:tc>
          <w:tcPr>
            <w:tcW w:w="2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7,867</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574,548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(507,241)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66,578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66,324</w:t>
            </w:r>
          </w:p>
        </w:tc>
        <w:tc>
          <w:tcPr>
            <w:tcW w:w="0" w:type="dxa"/>
            <w:vAlign w:val="bottom"/>
          </w:tcPr>
          <w:p>
            <w:pPr>
              <w:spacing w:after="0"/>
              <w:rPr>
                <w:sz w:val="1"/>
                <w:szCs w:val="1"/>
                <w:color w:val="auto"/>
              </w:rPr>
            </w:pPr>
          </w:p>
        </w:tc>
      </w:tr>
      <w:tr>
        <w:trPr>
          <w:trHeight w:val="183"/>
        </w:trPr>
        <w:tc>
          <w:tcPr>
            <w:tcW w:w="2460" w:type="dxa"/>
            <w:vAlign w:val="bottom"/>
          </w:tcPr>
          <w:p>
            <w:pPr>
              <w:spacing w:after="0"/>
              <w:rPr>
                <w:sz w:val="20"/>
                <w:szCs w:val="20"/>
                <w:color w:val="auto"/>
              </w:rPr>
            </w:pPr>
            <w:r>
              <w:rPr>
                <w:rFonts w:ascii="Arial" w:cs="Arial" w:eastAsia="Arial" w:hAnsi="Arial"/>
                <w:sz w:val="14"/>
                <w:szCs w:val="14"/>
                <w:color w:val="auto"/>
              </w:rPr>
              <w:t>Net loss</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(15,475)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(15,475)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(15,475)</w:t>
            </w:r>
          </w:p>
        </w:tc>
        <w:tc>
          <w:tcPr>
            <w:tcW w:w="0" w:type="dxa"/>
            <w:vAlign w:val="bottom"/>
          </w:tcPr>
          <w:p>
            <w:pPr>
              <w:spacing w:after="0"/>
              <w:rPr>
                <w:sz w:val="1"/>
                <w:szCs w:val="1"/>
                <w:color w:val="auto"/>
              </w:rPr>
            </w:pPr>
          </w:p>
        </w:tc>
      </w:tr>
      <w:tr>
        <w:trPr>
          <w:trHeight w:val="209"/>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Share-based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1,474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141"/>
        </w:trPr>
        <w:tc>
          <w:tcPr>
            <w:tcW w:w="2460" w:type="dxa"/>
            <w:vAlign w:val="bottom"/>
          </w:tcPr>
          <w:p>
            <w:pPr>
              <w:spacing w:after="0" w:line="141" w:lineRule="exact"/>
              <w:rPr>
                <w:sz w:val="20"/>
                <w:szCs w:val="20"/>
                <w:color w:val="auto"/>
              </w:rPr>
            </w:pPr>
            <w:r>
              <w:rPr>
                <w:rFonts w:ascii="Arial" w:cs="Arial" w:eastAsia="Arial" w:hAnsi="Arial"/>
                <w:sz w:val="14"/>
                <w:szCs w:val="14"/>
                <w:color w:val="auto"/>
                <w:w w:val="95"/>
              </w:rPr>
              <w:t>Net proceeds from issuances of common</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ind w:right="12"/>
              <w:spacing w:after="0"/>
              <w:rPr>
                <w:sz w:val="20"/>
                <w:szCs w:val="20"/>
                <w:color w:val="auto"/>
              </w:rPr>
            </w:pPr>
            <w:r>
              <w:rPr>
                <w:rFonts w:ascii="Arial" w:cs="Arial" w:eastAsia="Arial" w:hAnsi="Arial"/>
                <w:sz w:val="14"/>
                <w:szCs w:val="14"/>
                <w:color w:val="auto"/>
              </w:rPr>
              <w:t>297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vMerge w:val="restart"/>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vMerge w:val="restart"/>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vMerge w:val="restart"/>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186"/>
        </w:trPr>
        <w:tc>
          <w:tcPr>
            <w:tcW w:w="2460" w:type="dxa"/>
            <w:vAlign w:val="bottom"/>
          </w:tcPr>
          <w:p>
            <w:pPr>
              <w:spacing w:after="0"/>
              <w:rPr>
                <w:sz w:val="20"/>
                <w:szCs w:val="20"/>
                <w:color w:val="auto"/>
              </w:rPr>
            </w:pPr>
            <w:r>
              <w:rPr>
                <w:rFonts w:ascii="Arial" w:cs="Arial" w:eastAsia="Arial" w:hAnsi="Arial"/>
                <w:sz w:val="14"/>
                <w:szCs w:val="14"/>
                <w:color w:val="auto"/>
              </w:rPr>
              <w:t>stock</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rPr>
              <w:t>Proceeds from option exercises</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20"/>
                <w:szCs w:val="20"/>
                <w:color w:val="auto"/>
              </w:rPr>
            </w:pPr>
            <w:r>
              <w:rPr>
                <w:rFonts w:ascii="Arial" w:cs="Arial" w:eastAsia="Arial" w:hAnsi="Arial"/>
                <w:sz w:val="14"/>
                <w:szCs w:val="14"/>
                <w:color w:val="auto"/>
                <w:w w:val="96"/>
              </w:rPr>
              <w:t>Unrealized gain on marketable securities</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4"/>
                <w:szCs w:val="14"/>
                <w:color w:val="auto"/>
                <w:w w:val="99"/>
              </w:rPr>
              <w:t>Foreign currency translation adjustment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0"/>
        </w:trPr>
        <w:tc>
          <w:tcPr>
            <w:tcW w:w="2460" w:type="dxa"/>
            <w:vAlign w:val="bottom"/>
          </w:tcPr>
          <w:p>
            <w:pPr>
              <w:spacing w:after="0"/>
              <w:rPr>
                <w:sz w:val="20"/>
                <w:szCs w:val="20"/>
                <w:color w:val="auto"/>
              </w:rPr>
            </w:pPr>
            <w:r>
              <w:rPr>
                <w:rFonts w:ascii="Arial" w:cs="Arial" w:eastAsia="Arial" w:hAnsi="Arial"/>
                <w:sz w:val="14"/>
                <w:szCs w:val="14"/>
                <w:b w:val="1"/>
                <w:bCs w:val="1"/>
                <w:color w:val="auto"/>
              </w:rPr>
              <w:t>Balance at September 30, 2023</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8,140</w:t>
            </w:r>
          </w:p>
        </w:tc>
        <w:tc>
          <w:tcPr>
            <w:tcW w:w="8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color w:val="auto"/>
              </w:rPr>
              <w:t>576,474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(522,716)</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4"/>
                <w:szCs w:val="14"/>
                <w:color w:val="auto"/>
                <w:w w:val="97"/>
              </w:rPr>
              <w:t>(708)</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52,958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4"/>
                <w:szCs w:val="14"/>
                <w:color w:val="auto"/>
                <w:w w:val="97"/>
              </w:rPr>
              <w:t>(254)</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52,704</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8000" w:type="dxa"/>
            <w:vAlign w:val="bottom"/>
          </w:tcPr>
          <w:p>
            <w:pPr>
              <w:spacing w:after="0"/>
              <w:rPr>
                <w:sz w:val="18"/>
                <w:szCs w:val="18"/>
                <w:color w:val="auto"/>
              </w:rPr>
            </w:pPr>
          </w:p>
        </w:tc>
        <w:tc>
          <w:tcPr>
            <w:tcW w:w="320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6"/>
                <w:szCs w:val="16"/>
                <w:b w:val="1"/>
                <w:bCs w:val="1"/>
                <w:color w:val="auto"/>
              </w:rPr>
              <w:t>Nine Months Ended September 30,</w:t>
            </w:r>
          </w:p>
        </w:tc>
      </w:tr>
      <w:tr>
        <w:trPr>
          <w:trHeight w:val="207"/>
        </w:trPr>
        <w:tc>
          <w:tcPr>
            <w:tcW w:w="80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r>
      <w:tr>
        <w:trPr>
          <w:trHeight w:val="209"/>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(15,475)</w:t>
            </w:r>
          </w:p>
        </w:tc>
        <w:tc>
          <w:tcPr>
            <w:tcW w:w="100" w:type="dxa"/>
            <w:vAlign w:val="bottom"/>
          </w:tcPr>
          <w:p>
            <w:pPr>
              <w:spacing w:after="0"/>
              <w:rPr>
                <w:sz w:val="18"/>
                <w:szCs w:val="18"/>
                <w:color w:val="auto"/>
              </w:rPr>
            </w:pP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(48,235)</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1,565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2,168</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 and amortization</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Loss on disposal of fixed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In process research and development expenses</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30,393</w:t>
            </w:r>
          </w:p>
        </w:tc>
      </w:tr>
      <w:tr>
        <w:trPr>
          <w:trHeight w:val="210"/>
        </w:trPr>
        <w:tc>
          <w:tcPr>
            <w:tcW w:w="8000" w:type="dxa"/>
            <w:vAlign w:val="bottom"/>
          </w:tcPr>
          <w:p>
            <w:pPr>
              <w:ind w:left="460"/>
              <w:spacing w:after="0"/>
              <w:rPr>
                <w:sz w:val="20"/>
                <w:szCs w:val="20"/>
                <w:color w:val="auto"/>
              </w:rPr>
            </w:pPr>
            <w:r>
              <w:rPr>
                <w:rFonts w:ascii="Arial" w:cs="Arial" w:eastAsia="Arial" w:hAnsi="Arial"/>
                <w:sz w:val="16"/>
                <w:szCs w:val="16"/>
                <w:color w:val="auto"/>
              </w:rPr>
              <w:t>Amortization/accretion on marketable securities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893</w:t>
            </w:r>
          </w:p>
        </w:tc>
      </w:tr>
      <w:tr>
        <w:trPr>
          <w:trHeight w:val="216"/>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8000" w:type="dxa"/>
            <w:vAlign w:val="bottom"/>
          </w:tcPr>
          <w:p>
            <w:pPr>
              <w:ind w:left="660"/>
              <w:spacing w:after="0"/>
              <w:rPr>
                <w:sz w:val="20"/>
                <w:szCs w:val="20"/>
                <w:color w:val="auto"/>
              </w:rPr>
            </w:pPr>
            <w:r>
              <w:rPr>
                <w:rFonts w:ascii="Arial" w:cs="Arial" w:eastAsia="Arial" w:hAnsi="Arial"/>
                <w:sz w:val="16"/>
                <w:szCs w:val="16"/>
                <w:color w:val="auto"/>
              </w:rPr>
              <w:t>Prepaid and other current assets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assets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r>
      <w:tr>
        <w:trPr>
          <w:trHeight w:val="210"/>
        </w:trPr>
        <w:tc>
          <w:tcPr>
            <w:tcW w:w="8000" w:type="dxa"/>
            <w:vAlign w:val="bottom"/>
            <w:tcBorders>
              <w:bottom w:val="single" w:sz="8" w:color="CCEEFF"/>
            </w:tcBorders>
          </w:tcPr>
          <w:p>
            <w:pPr>
              <w:ind w:left="660"/>
              <w:spacing w:after="0"/>
              <w:rPr>
                <w:sz w:val="20"/>
                <w:szCs w:val="20"/>
                <w:color w:val="auto"/>
              </w:rPr>
            </w:pPr>
            <w:r>
              <w:rPr>
                <w:rFonts w:ascii="Arial" w:cs="Arial" w:eastAsia="Arial" w:hAnsi="Arial"/>
                <w:sz w:val="16"/>
                <w:szCs w:val="16"/>
                <w:color w:val="auto"/>
              </w:rPr>
              <w:t>Accounts payable, accrued liabilities and other liabilities</w:t>
            </w:r>
          </w:p>
        </w:tc>
        <w:tc>
          <w:tcPr>
            <w:tcW w:w="9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r>
      <w:tr>
        <w:trPr>
          <w:trHeight w:val="20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(15,963)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(14,702)</w:t>
            </w: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marketable securities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(77,355)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(68,481)</w:t>
            </w: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Sale of marketable securities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93,171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93,865</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acquisition costs, net of cash acquired related to merger with Cend</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(3,320)</w:t>
            </w: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09"/>
        </w:trPr>
        <w:tc>
          <w:tcPr>
            <w:tcW w:w="800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investing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21,805</w:t>
            </w:r>
          </w:p>
        </w:tc>
      </w:tr>
      <w:tr>
        <w:trPr>
          <w:trHeight w:val="204"/>
        </w:trPr>
        <w:tc>
          <w:tcPr>
            <w:tcW w:w="800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options</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000" w:type="dxa"/>
            <w:vAlign w:val="bottom"/>
          </w:tcPr>
          <w:p>
            <w:pPr>
              <w:ind w:left="220"/>
              <w:spacing w:after="0"/>
              <w:rPr>
                <w:sz w:val="20"/>
                <w:szCs w:val="20"/>
                <w:color w:val="auto"/>
              </w:rPr>
            </w:pPr>
            <w:r>
              <w:rPr>
                <w:rFonts w:ascii="Arial" w:cs="Arial" w:eastAsia="Arial" w:hAnsi="Arial"/>
                <w:sz w:val="16"/>
                <w:szCs w:val="16"/>
                <w:color w:val="auto"/>
              </w:rPr>
              <w:t>Tax withholding payments on net share settlement equity awards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6"/>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proceeds from issuance of common stock</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4"/>
        </w:trPr>
        <w:tc>
          <w:tcPr>
            <w:tcW w:w="80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(used in) financing activities</w:t>
            </w:r>
          </w:p>
        </w:tc>
        <w:tc>
          <w:tcPr>
            <w:tcW w:w="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r>
      <w:tr>
        <w:trPr>
          <w:trHeight w:val="209"/>
        </w:trPr>
        <w:tc>
          <w:tcPr>
            <w:tcW w:w="80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Effect of exchange rate changes on cash</w:t>
            </w: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800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9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274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6,831</w:t>
            </w:r>
          </w:p>
        </w:tc>
      </w:tr>
      <w:tr>
        <w:trPr>
          <w:trHeight w:val="213"/>
        </w:trPr>
        <w:tc>
          <w:tcPr>
            <w:tcW w:w="8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32,154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24,647</w:t>
            </w:r>
          </w:p>
        </w:tc>
      </w:tr>
      <w:tr>
        <w:trPr>
          <w:trHeight w:val="209"/>
        </w:trPr>
        <w:tc>
          <w:tcPr>
            <w:tcW w:w="800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9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32,428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31,478</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8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1"/>
        </w:trPr>
        <w:tc>
          <w:tcPr>
            <w:tcW w:w="80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noncash investing activities:</w:t>
            </w: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80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Issuance of common stock in connection with merger</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23,580</w:t>
            </w:r>
          </w:p>
        </w:tc>
      </w:tr>
      <w:tr>
        <w:trPr>
          <w:trHeight w:val="209"/>
        </w:trPr>
        <w:tc>
          <w:tcPr>
            <w:tcW w:w="8000" w:type="dxa"/>
            <w:vAlign w:val="bottom"/>
          </w:tcPr>
          <w:p>
            <w:pPr>
              <w:ind w:left="220"/>
              <w:spacing w:after="0"/>
              <w:rPr>
                <w:sz w:val="20"/>
                <w:szCs w:val="20"/>
                <w:color w:val="auto"/>
              </w:rPr>
            </w:pPr>
            <w:r>
              <w:rPr>
                <w:rFonts w:ascii="Arial" w:cs="Arial" w:eastAsia="Arial" w:hAnsi="Arial"/>
                <w:sz w:val="16"/>
                <w:szCs w:val="16"/>
                <w:color w:val="auto"/>
              </w:rPr>
              <w:t>Incremental fair value of Cend's fully vested stock options assumed</w:t>
            </w:r>
          </w:p>
        </w:tc>
        <w:tc>
          <w:tcPr>
            <w:tcW w:w="940" w:type="dxa"/>
            <w:vAlign w:val="bottom"/>
          </w:tcPr>
          <w:p>
            <w:pPr>
              <w:jc w:val="right"/>
              <w:ind w:right="76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80"/>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2,136</w:t>
            </w:r>
          </w:p>
        </w:tc>
      </w:tr>
      <w:tr>
        <w:trPr>
          <w:trHeight w:val="20"/>
        </w:trPr>
        <w:tc>
          <w:tcPr>
            <w:tcW w:w="800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80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bl>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LISATA THERAPEUTICS, INC.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The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39" w:lineRule="exact"/>
        <w:rPr>
          <w:sz w:val="20"/>
          <w:szCs w:val="20"/>
          <w:color w:val="auto"/>
        </w:rPr>
      </w:pPr>
    </w:p>
    <w:p>
      <w:pPr>
        <w:jc w:val="both"/>
        <w:ind w:firstLine="320"/>
        <w:spacing w:after="0" w:line="282" w:lineRule="auto"/>
        <w:rPr>
          <w:sz w:val="20"/>
          <w:szCs w:val="20"/>
          <w:color w:val="auto"/>
        </w:rPr>
      </w:pPr>
      <w:r>
        <w:rPr>
          <w:rFonts w:ascii="Arial" w:cs="Arial" w:eastAsia="Arial" w:hAnsi="Arial"/>
          <w:sz w:val="16"/>
          <w:szCs w:val="16"/>
          <w:color w:val="auto"/>
        </w:rPr>
        <w:t>Lisata Therapeutics, Inc. (together with its subsidiaries, the “Company”) is a clinical-stage pharmaceutical company dedicated to the discovery, development, and commercialization of innovative therapies for the treatment of solid tumors and other major diseases. The Company's lead investigational product candidate, LSTA1, is designed to activate a novel uptake pathway that allows co-administered or tethered (i.e., molecularly bound) anti-cancer drugs to penetrate solid tumors more effectively. LSTA1 actuates this active transport system in a tumor-specific manner, resulting in systemically co-administered anti-cancer drugs more efficiently penetrating and accumulating in the tumor, while normal tissues are unlikely to be affected. LSTA1 also has the potential to modify the tumor microenvironment (“TME”), thereby making tumors more susceptible to immunotherapies and inhibiting the metastasis cascade (i.e., the spread of cancer to other parts of the body). The Company and its collaborators have amassed significant non-clinical data demonstrating enhanced delivery of a range of existing and emerging anti-cancer therapies, including chemotherapeutics, immunotherapies and RNA-based therapeutics. To date, LSTA1 has also demonstrated favorable safety, tolerability and activity in completed and ongoing clinical trials designed to enhance delivery of standard-of-care chemotherapy for pancreatic cancer. The Company is exploring the potential of LSTA1 to enable a variety of treatment modalities to treat a range of solid tumors more effectively. In addition, the Company has development programs based on its autologous CD34+ cell therapy technology platform that it is seeking to partner while incurring no additional capital outlay.</w:t>
      </w:r>
    </w:p>
    <w:p>
      <w:pPr>
        <w:spacing w:after="0" w:line="108"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The Company's leadership team has decades of collective biopharmaceutical and pharmaceutical product development experience across a variety of therapeutic categories and at all stages of development from preclinical through to product registration and launch. Its goal is to develop and commercialize products that address important unmet medical needs. The Company’s current development pipeline includes:</w:t>
      </w:r>
    </w:p>
    <w:p>
      <w:pPr>
        <w:spacing w:after="0" w:line="104" w:lineRule="exact"/>
        <w:rPr>
          <w:sz w:val="20"/>
          <w:szCs w:val="20"/>
          <w:color w:val="auto"/>
        </w:rPr>
      </w:pPr>
    </w:p>
    <w:p>
      <w:pPr>
        <w:jc w:val="both"/>
        <w:ind w:firstLine="326"/>
        <w:spacing w:after="0" w:line="256" w:lineRule="auto"/>
        <w:tabs>
          <w:tab w:leader="none" w:pos="634" w:val="left"/>
        </w:tabs>
        <w:numPr>
          <w:ilvl w:val="0"/>
          <w:numId w:val="4"/>
        </w:numPr>
        <w:rPr>
          <w:rFonts w:ascii="Arial" w:cs="Arial" w:eastAsia="Arial" w:hAnsi="Arial"/>
          <w:sz w:val="18"/>
          <w:szCs w:val="18"/>
          <w:color w:val="auto"/>
        </w:rPr>
      </w:pPr>
      <w:r>
        <w:rPr>
          <w:rFonts w:ascii="Arial" w:cs="Arial" w:eastAsia="Arial" w:hAnsi="Arial"/>
          <w:sz w:val="18"/>
          <w:szCs w:val="18"/>
          <w:color w:val="auto"/>
        </w:rPr>
        <w:t>LSTA1, the subject of Phase 1b/2a and 2b clinical studies being conducted globally in a variety of solid tumor types, including, metastatic pancreatic ductal adenocarcinoma (mPDAC) and other forms of pancreatic cancer, cholangiocarcinoma, esophageal cancer, head and neck cancer, appendiceal cancer, colon cancer and glioblastoma multiforme in combination with a variety of anti-cancer regimens.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Merger with Cend Therapeutics, Inc. and Name Change</w:t>
      </w:r>
    </w:p>
    <w:p>
      <w:pPr>
        <w:spacing w:after="0" w:line="152"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spacing w:after="0" w:line="104"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Pursuant to the terms set forth in the Merger Agreement and effective September 15, 2022 (the “Effective Time”): (i) Merger Sub merged with and into Cend, with Cend surviving as a wholly owned subsidiary of Caladrius, (ii) Caladrius changed its name to Lisata Therapeutics, Inc.,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after taking into account the Reverse Stock Split (the “Exchange Ratio”). In connection with the Merger close, the Company issued an aggregate of 3,772,768 shares of common stock, based on the Exchange Ratio, to holders of Cend, in exchange for all of the Cend capital stock outstanding immediately prior to the closing of the Merger.</w:t>
      </w:r>
    </w:p>
    <w:p>
      <w:pPr>
        <w:spacing w:after="0" w:line="10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Pursuant to the Merger Agreement, Lisata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the Company assumed Cend's stock options to purchase an aggregate of 1,227,776 shares of the Company's common stock.</w:t>
      </w:r>
    </w:p>
    <w:p>
      <w:pPr>
        <w:spacing w:after="0" w:line="126"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provided a vast majority of the individuals on the management team and holds the chief executive officer (“CEO”), chief medical officer (“CMO”) and other senior management roles; (iii) Caladrius paid a premium to acquire Cend’s assets; and (iv) Caladrius was significantly larger than Cend regarding total assets, operations, and research and development activities. The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as reported in the consolidated statement of operations. Operating results presented in the consolidated statements of operations and comprehensive loss prior to the Merger are solely related to Caladrius Biosciences, Inc. and subsidiaries.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39"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On September 14, 2022, in connection with the Merger, the Company implemented the Reverse Stock Split, as authorized at the annual meeting of stockholders on September 13, 2022. The Reverse Stock Split became effective on September 14, 2022 at 5:00 pm and the Company's common stock began trading on The Nasdaq Capital Market on a post-split basis at the open of business on September 15, 2022. As of September 14, 2022, every fifteen shares of the Company’s issued and outstanding common stock (and such shares held in treasury) were automatically converted into one share of common stock, without any change in the par value per share. In addition, proportionate adjustments were made to the per share exercise price and the number of shares issuable upon the exercise of all outstanding stock options, stock appreciation rights, convertible notes and warrants to purchase shares of common stock, the number of shares issuable upon the vesting of all restricted stock awards, and the number of shares of common stock reserved for issuance pursuant to the Company’s equity incentive compensation plans. Any stockholder who would otherwise be entitled to a fractional share of common stock created as a result of the Reverse Stock Split received a cash payment equal to the product of such resulting fractional interest in one share of common stock multiplied by the closing trading price of the common stock on September 15, 2022. The Reverse Stock Split was effectuated in order to increase the per share trading price of our common stock to satisfy the $1.00 minimum bid price requirement for continued listing on The Nasdaq Capital Market.</w:t>
      </w:r>
    </w:p>
    <w:p>
      <w:pPr>
        <w:spacing w:after="0" w:line="10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September 30, 2023, and the results of its operations and its cash flows for the periods presented. The unaudited consolidated financial statements herein should be read together with the historical consolidated financial statements of the Company for the years ended December 31, 2022 and 2021 included in our 2022 Form 10-K. Operating results for the three and nine months ended September 30, 2023 are not necessarily indicative of the results that may be expected for the year ending December 31,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2"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and the valuation of the Merger which was accounted for as an asset acquisition as substantially all of the fair value is concentrated in in-process research and development (“IPR&amp;D”). Accordingly, actual results could differ from those estimates and assumptions.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Consolidated Financial Statements include the accounts of Lisata Therapeutics, Inc. and its wholly owned and majority owned subsidiaries and affiliates. All intercompany activities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Remeasurement</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Cash and cash equivalents include short-term, highly liquid, investments with maturities of ninety days or less when purchased.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The Company is subject to credit risk from its portfolio of cash, cash equivalents and marketable securities. Under its investment policy, the Company limits amounts invested in such securities by credit rating, maturity, industry group, investment type and issuer, except for securities issued by the U.S. government. Cash is held at major banks in the United States and may exceed federally insured limits. The goals of the Company's investment policy, in order of priority, are as follows: safety and preservation of principal and diversification of risk, liquidity of investments sufficient to meet cash flow requirements, and a competitive after-tax rate of return.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52"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other-than-temporary declines in the fair value of securities,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39"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2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460" w:type="dxa"/>
            <w:vAlign w:val="bottom"/>
            <w:shd w:val="clear" w:color="auto" w:fill="CCEEFF"/>
          </w:tcPr>
          <w:p>
            <w:pPr>
              <w:jc w:val="center"/>
              <w:ind w:left="3191"/>
              <w:spacing w:after="0"/>
              <w:rPr>
                <w:sz w:val="20"/>
                <w:szCs w:val="20"/>
                <w:color w:val="auto"/>
              </w:rPr>
            </w:pPr>
            <w:r>
              <w:rPr>
                <w:rFonts w:ascii="Arial" w:cs="Arial" w:eastAsia="Arial" w:hAnsi="Arial"/>
                <w:sz w:val="18"/>
                <w:szCs w:val="18"/>
                <w:color w:val="auto"/>
                <w:w w:val="83"/>
              </w:rPr>
              <w:t>10 years</w:t>
            </w:r>
          </w:p>
        </w:tc>
      </w:tr>
      <w:tr>
        <w:trPr>
          <w:trHeight w:val="226"/>
        </w:trPr>
        <w:tc>
          <w:tcPr>
            <w:tcW w:w="5720" w:type="dxa"/>
            <w:vAlign w:val="bottom"/>
          </w:tcPr>
          <w:p>
            <w:pPr>
              <w:spacing w:after="0"/>
              <w:rPr>
                <w:sz w:val="20"/>
                <w:szCs w:val="20"/>
                <w:color w:val="auto"/>
              </w:rPr>
            </w:pPr>
            <w:r>
              <w:rPr>
                <w:rFonts w:ascii="Arial" w:cs="Arial" w:eastAsia="Arial" w:hAnsi="Arial"/>
                <w:sz w:val="18"/>
                <w:szCs w:val="18"/>
                <w:color w:val="auto"/>
              </w:rPr>
              <w:t>Computer equipment</w:t>
            </w:r>
          </w:p>
        </w:tc>
        <w:tc>
          <w:tcPr>
            <w:tcW w:w="5460" w:type="dxa"/>
            <w:vAlign w:val="bottom"/>
          </w:tcPr>
          <w:p>
            <w:pPr>
              <w:jc w:val="center"/>
              <w:ind w:left="3191"/>
              <w:spacing w:after="0"/>
              <w:rPr>
                <w:sz w:val="20"/>
                <w:szCs w:val="20"/>
                <w:color w:val="auto"/>
              </w:rPr>
            </w:pPr>
            <w:r>
              <w:rPr>
                <w:rFonts w:ascii="Arial" w:cs="Arial" w:eastAsia="Arial" w:hAnsi="Arial"/>
                <w:sz w:val="18"/>
                <w:szCs w:val="18"/>
                <w:color w:val="auto"/>
                <w:w w:val="84"/>
              </w:rPr>
              <w:t>3 years</w:t>
            </w:r>
          </w:p>
        </w:tc>
      </w:tr>
      <w:tr>
        <w:trPr>
          <w:trHeight w:val="227"/>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5460" w:type="dxa"/>
            <w:vAlign w:val="bottom"/>
            <w:shd w:val="clear" w:color="auto" w:fill="CCEEFF"/>
          </w:tcPr>
          <w:p>
            <w:pPr>
              <w:jc w:val="center"/>
              <w:ind w:left="3191"/>
              <w:spacing w:after="0"/>
              <w:rPr>
                <w:sz w:val="20"/>
                <w:szCs w:val="20"/>
                <w:color w:val="auto"/>
              </w:rPr>
            </w:pPr>
            <w:r>
              <w:rPr>
                <w:rFonts w:ascii="Arial" w:cs="Arial" w:eastAsia="Arial" w:hAnsi="Arial"/>
                <w:sz w:val="18"/>
                <w:szCs w:val="18"/>
                <w:color w:val="auto"/>
                <w:w w:val="84"/>
              </w:rPr>
              <w:t>3 years</w:t>
            </w: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460" w:type="dxa"/>
            <w:vAlign w:val="bottom"/>
          </w:tcPr>
          <w:p>
            <w:pPr>
              <w:jc w:val="center"/>
              <w:ind w:left="3191"/>
              <w:spacing w:after="0"/>
              <w:rPr>
                <w:sz w:val="20"/>
                <w:szCs w:val="20"/>
                <w:color w:val="auto"/>
              </w:rPr>
            </w:pPr>
            <w:r>
              <w:rPr>
                <w:rFonts w:ascii="Arial" w:cs="Arial" w:eastAsia="Arial" w:hAnsi="Arial"/>
                <w:sz w:val="18"/>
                <w:szCs w:val="18"/>
                <w:color w:val="auto"/>
                <w:w w:val="92"/>
              </w:rPr>
              <w:t>Life of lease</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Long-lived assets consist of property and equipment. The assets are amortized on a straight 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Stock 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Per Share</w:t>
      </w:r>
    </w:p>
    <w:p>
      <w:pPr>
        <w:spacing w:after="0" w:line="152"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Basic loss per share is based on the weighted effect of all common shares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common shares used in the basic loss per share calculation plus the number of common shares that would be issued assuming conversion of all potentially dilutive securities outstanding. Diluted loss per share is not presented as such potentially dilutive securities are anti-dilutive to losses incurred in all periods presented.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w:t>
      </w:r>
    </w:p>
    <w:p>
      <w:pPr>
        <w:spacing w:after="0" w:line="152"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Treasury stock purchases are accounted for under the cost method whereby the entire cost of the acquired stock is recorded as treasury stock. Gains or losses on the subsequent reissuance of shares are credited or charged to additional paid in capital.</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39"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spacing w:after="0" w:line="123"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To further drive the Company’s initiatives, the Company will continue targeting key governmental agencies, congressional committees and not-for-profit organizations to contribute funds for the Company’s research and development programs. The Company accounts for such grants as a deduction to the related expense in research and development operating expenses when earned.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 Expense</w:t>
      </w:r>
    </w:p>
    <w:p>
      <w:pPr>
        <w:spacing w:after="0" w:line="139"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The Company’s intangible asset consists of a single asset, Cend’s license agreement with Qilu Pharmaceutical, Co., Ltd. (“Qilu”) acquired in the Merger, with a value of $0.4 million. The intangible asset is stated at fair value and is amortized using the straight-line method over its estimated useful life of 5 years. Amortization expense was $18 thousand for the three months ended September 30, 2023 and $53 thousand for the nine months ended September 30, 2023. The intangible asset is reviewed for potential impairment when events or circumstances indicate that carrying amounts may not be recoverable. The projected amortization expense is $71 thousand per year for the next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2"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spacing w:after="0" w:line="93"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There was no revenue recognized for the three and nine months ended September 30, 2023 and 2022.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Milestones</w:t>
      </w:r>
    </w:p>
    <w:p>
      <w:pPr>
        <w:spacing w:after="0" w:line="152"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and nine months ended September 30, 2023 and September 30, 2022, the Company has not recognized revenue related to milestones.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Royalties</w:t>
      </w:r>
    </w:p>
    <w:p>
      <w:pPr>
        <w:spacing w:after="0" w:line="1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 Merger</w:t>
      </w:r>
    </w:p>
    <w:p>
      <w:pPr>
        <w:spacing w:after="0" w:line="158"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The Merger was accounted for as an asset acquisition as substantially all of the fair value was concentrated in IPR&amp;D. Cend’s assets (except for cash and working capital) were measured and recognized as an allocation of the transaction price based on their relative fair values as of the transaction date with any value associated with IPR&amp;D being expensed. The fair value of total consideration was $36.1 million. The following table is a summary of the purchase price calculation (in thousands except per share data).</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253"/>
        </w:trPr>
        <w:tc>
          <w:tcPr>
            <w:tcW w:w="760" w:type="dxa"/>
            <w:vAlign w:val="bottom"/>
          </w:tcPr>
          <w:p>
            <w:pPr>
              <w:spacing w:after="0"/>
              <w:rPr>
                <w:sz w:val="21"/>
                <w:szCs w:val="21"/>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Number of common shares of the combined company owned by Cend stockholders</w:t>
            </w:r>
          </w:p>
        </w:tc>
        <w:tc>
          <w:tcPr>
            <w:tcW w:w="11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3,772,768</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Multiplied by the fair value per share of Lisata common stock on September 15, 2022</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$23,580</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Carrying value of Lisata's cost method investment in Cend</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54"/>
        </w:trPr>
        <w:tc>
          <w:tcPr>
            <w:tcW w:w="760" w:type="dxa"/>
            <w:vAlign w:val="bottom"/>
          </w:tcPr>
          <w:p>
            <w:pPr>
              <w:spacing w:after="0"/>
              <w:rPr>
                <w:sz w:val="22"/>
                <w:szCs w:val="22"/>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Incremental fair value of Cend's fully vested stock options</w:t>
            </w:r>
          </w:p>
        </w:tc>
        <w:tc>
          <w:tcPr>
            <w:tcW w:w="118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Lisata transaction costs</w:t>
            </w: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9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purchase price</w:t>
            </w:r>
          </w:p>
        </w:tc>
        <w:tc>
          <w:tcPr>
            <w:tcW w:w="1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20" w:type="dxa"/>
            <w:vAlign w:val="bottom"/>
            <w:shd w:val="clear" w:color="auto" w:fill="BFE4FF"/>
          </w:tcPr>
          <w:p>
            <w:pPr>
              <w:spacing w:after="0" w:line="20" w:lineRule="exact"/>
              <w:rPr>
                <w:sz w:val="1"/>
                <w:szCs w:val="1"/>
                <w:color w:val="auto"/>
              </w:rPr>
            </w:pPr>
          </w:p>
        </w:tc>
        <w:tc>
          <w:tcPr>
            <w:tcW w:w="1180" w:type="dxa"/>
            <w:vAlign w:val="bottom"/>
            <w:shd w:val="clear" w:color="auto" w:fill="BFE4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The allocation of the purchase price was as follows (amounts in thousands):</w:t>
            </w: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86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760" w:type="dxa"/>
            <w:vAlign w:val="bottom"/>
          </w:tcPr>
          <w:p>
            <w:pPr>
              <w:spacing w:after="0"/>
              <w:rPr>
                <w:sz w:val="22"/>
                <w:szCs w:val="22"/>
                <w:color w:val="auto"/>
              </w:rPr>
            </w:pPr>
          </w:p>
        </w:tc>
        <w:tc>
          <w:tcPr>
            <w:tcW w:w="7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760" w:type="dxa"/>
            <w:vAlign w:val="bottom"/>
          </w:tcPr>
          <w:p>
            <w:pPr>
              <w:spacing w:after="0"/>
              <w:rPr>
                <w:sz w:val="21"/>
                <w:szCs w:val="21"/>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$7,062</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Net working capital (excluding cash)</w:t>
            </w:r>
          </w:p>
        </w:tc>
        <w:tc>
          <w:tcPr>
            <w:tcW w:w="1180" w:type="dxa"/>
            <w:vAlign w:val="bottom"/>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54"/>
        </w:trPr>
        <w:tc>
          <w:tcPr>
            <w:tcW w:w="760" w:type="dxa"/>
            <w:vAlign w:val="bottom"/>
          </w:tcPr>
          <w:p>
            <w:pPr>
              <w:spacing w:after="0"/>
              <w:rPr>
                <w:sz w:val="22"/>
                <w:szCs w:val="22"/>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shd w:val="clear" w:color="auto" w:fill="BFE4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2"/>
        </w:trPr>
        <w:tc>
          <w:tcPr>
            <w:tcW w:w="760" w:type="dxa"/>
            <w:vAlign w:val="bottom"/>
          </w:tcPr>
          <w:p>
            <w:pPr>
              <w:spacing w:after="0"/>
              <w:rPr>
                <w:sz w:val="21"/>
                <w:szCs w:val="21"/>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Acquired in-process research and development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30,393</w:t>
            </w:r>
          </w:p>
        </w:tc>
        <w:tc>
          <w:tcPr>
            <w:tcW w:w="0" w:type="dxa"/>
            <w:vAlign w:val="bottom"/>
          </w:tcPr>
          <w:p>
            <w:pPr>
              <w:spacing w:after="0"/>
              <w:rPr>
                <w:sz w:val="1"/>
                <w:szCs w:val="1"/>
                <w:color w:val="auto"/>
              </w:rPr>
            </w:pPr>
          </w:p>
        </w:tc>
      </w:tr>
      <w:tr>
        <w:trPr>
          <w:trHeight w:val="253"/>
        </w:trPr>
        <w:tc>
          <w:tcPr>
            <w:tcW w:w="760" w:type="dxa"/>
            <w:vAlign w:val="bottom"/>
          </w:tcPr>
          <w:p>
            <w:pPr>
              <w:spacing w:after="0"/>
              <w:rPr>
                <w:sz w:val="21"/>
                <w:szCs w:val="21"/>
                <w:color w:val="auto"/>
              </w:rPr>
            </w:pPr>
          </w:p>
        </w:tc>
        <w:tc>
          <w:tcPr>
            <w:tcW w:w="7920" w:type="dxa"/>
            <w:vAlign w:val="bottom"/>
            <w:shd w:val="clear" w:color="auto" w:fill="BFE4FF"/>
          </w:tcPr>
          <w:p>
            <w:pPr>
              <w:ind w:left="20"/>
              <w:spacing w:after="0"/>
              <w:rPr>
                <w:sz w:val="20"/>
                <w:szCs w:val="20"/>
                <w:color w:val="auto"/>
              </w:rPr>
            </w:pPr>
            <w:r>
              <w:rPr>
                <w:rFonts w:ascii="Arial" w:cs="Arial" w:eastAsia="Arial" w:hAnsi="Arial"/>
                <w:sz w:val="18"/>
                <w:szCs w:val="18"/>
                <w:color w:val="auto"/>
              </w:rPr>
              <w:t>License</w:t>
            </w:r>
          </w:p>
        </w:tc>
        <w:tc>
          <w:tcPr>
            <w:tcW w:w="118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20"/>
        </w:trPr>
        <w:tc>
          <w:tcPr>
            <w:tcW w:w="760" w:type="dxa"/>
            <w:vAlign w:val="bottom"/>
          </w:tcPr>
          <w:p>
            <w:pPr>
              <w:spacing w:after="0"/>
              <w:rPr>
                <w:sz w:val="19"/>
                <w:szCs w:val="19"/>
                <w:color w:val="auto"/>
              </w:rPr>
            </w:pPr>
          </w:p>
        </w:tc>
        <w:tc>
          <w:tcPr>
            <w:tcW w:w="79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$36,098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 Available-for-Sale-Securities</w:t>
      </w:r>
    </w:p>
    <w:p>
      <w:pPr>
        <w:spacing w:after="0" w:line="158"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The following table is a summary of available-for-sale securities recorded in cash and cash equivalents or marketable securities in our Consolidated Balance Sheets (in thousands):</w:t>
      </w:r>
    </w:p>
    <w:p>
      <w:pPr>
        <w:spacing w:after="0" w:line="179" w:lineRule="exact"/>
        <w:rPr>
          <w:sz w:val="20"/>
          <w:szCs w:val="20"/>
          <w:color w:val="auto"/>
        </w:rPr>
      </w:pPr>
    </w:p>
    <w:tbl>
      <w:tblPr>
        <w:tblLayout w:type="fixed"/>
        <w:tblInd w:w="1280" w:type="dxa"/>
        <w:tblCellMar>
          <w:top w:w="0" w:type="dxa"/>
          <w:left w:w="0" w:type="dxa"/>
          <w:bottom w:w="0" w:type="dxa"/>
          <w:right w:w="0" w:type="dxa"/>
        </w:tblCellMar>
      </w:tblPr>
      <w:tr>
        <w:trPr>
          <w:trHeight w:val="211"/>
        </w:trPr>
        <w:tc>
          <w:tcPr>
            <w:tcW w:w="1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140"/>
              <w:spacing w:after="0"/>
              <w:rPr>
                <w:sz w:val="20"/>
                <w:szCs w:val="20"/>
                <w:color w:val="auto"/>
              </w:rPr>
            </w:pPr>
            <w:r>
              <w:rPr>
                <w:rFonts w:ascii="Arial" w:cs="Arial" w:eastAsia="Arial" w:hAnsi="Arial"/>
                <w:sz w:val="16"/>
                <w:szCs w:val="16"/>
                <w:b w:val="1"/>
                <w:bCs w:val="1"/>
                <w:color w:val="auto"/>
              </w:rPr>
              <w:t>September 30, 2023</w:t>
            </w: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rPr>
              <w:t>December 31, 2022</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ind w:left="60"/>
              <w:spacing w:after="0" w:line="182" w:lineRule="exact"/>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5"/>
                <w:szCs w:val="15"/>
                <w:color w:val="auto"/>
              </w:rPr>
            </w:pPr>
          </w:p>
        </w:tc>
        <w:tc>
          <w:tcPr>
            <w:tcW w:w="860" w:type="dxa"/>
            <w:vAlign w:val="bottom"/>
            <w:gridSpan w:val="2"/>
          </w:tcPr>
          <w:p>
            <w:pPr>
              <w:jc w:val="center"/>
              <w:ind w:right="260"/>
              <w:spacing w:after="0" w:line="182" w:lineRule="exact"/>
              <w:rPr>
                <w:sz w:val="20"/>
                <w:szCs w:val="20"/>
                <w:color w:val="auto"/>
              </w:rPr>
            </w:pPr>
            <w:r>
              <w:rPr>
                <w:rFonts w:ascii="Arial" w:cs="Arial" w:eastAsia="Arial" w:hAnsi="Arial"/>
                <w:sz w:val="16"/>
                <w:szCs w:val="16"/>
                <w:b w:val="1"/>
                <w:bCs w:val="1"/>
                <w:color w:val="auto"/>
                <w:w w:val="86"/>
              </w:rPr>
              <w:t>Gross</w:t>
            </w:r>
          </w:p>
        </w:tc>
        <w:tc>
          <w:tcPr>
            <w:tcW w:w="98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Estimated</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80"/>
              <w:spacing w:after="0" w:line="182" w:lineRule="exact"/>
              <w:rPr>
                <w:sz w:val="20"/>
                <w:szCs w:val="20"/>
                <w:color w:val="auto"/>
              </w:rPr>
            </w:pPr>
            <w:r>
              <w:rPr>
                <w:rFonts w:ascii="Arial" w:cs="Arial" w:eastAsia="Arial" w:hAnsi="Arial"/>
                <w:sz w:val="16"/>
                <w:szCs w:val="16"/>
                <w:b w:val="1"/>
                <w:bCs w:val="1"/>
                <w:color w:val="auto"/>
              </w:rPr>
              <w:t>Gross</w:t>
            </w:r>
          </w:p>
        </w:tc>
        <w:tc>
          <w:tcPr>
            <w:tcW w:w="160" w:type="dxa"/>
            <w:vAlign w:val="bottom"/>
          </w:tcPr>
          <w:p>
            <w:pPr>
              <w:spacing w:after="0"/>
              <w:rPr>
                <w:sz w:val="15"/>
                <w:szCs w:val="15"/>
                <w:color w:val="auto"/>
              </w:rPr>
            </w:pPr>
          </w:p>
        </w:tc>
        <w:tc>
          <w:tcPr>
            <w:tcW w:w="86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86"/>
              </w:rPr>
              <w:t>Gross</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60"/>
        </w:trPr>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Cost</w:t>
            </w:r>
          </w:p>
        </w:tc>
        <w:tc>
          <w:tcPr>
            <w:tcW w:w="1000" w:type="dxa"/>
            <w:vAlign w:val="bottom"/>
            <w:gridSpan w:val="3"/>
          </w:tcPr>
          <w:p>
            <w:pPr>
              <w:ind w:left="80"/>
              <w:spacing w:after="0" w:line="160" w:lineRule="exact"/>
              <w:rPr>
                <w:sz w:val="20"/>
                <w:szCs w:val="20"/>
                <w:color w:val="auto"/>
              </w:rPr>
            </w:pPr>
            <w:r>
              <w:rPr>
                <w:rFonts w:ascii="Arial" w:cs="Arial" w:eastAsia="Arial" w:hAnsi="Arial"/>
                <w:sz w:val="16"/>
                <w:szCs w:val="16"/>
                <w:b w:val="1"/>
                <w:bCs w:val="1"/>
                <w:color w:val="auto"/>
              </w:rPr>
              <w:t>Unrealized</w:t>
            </w:r>
          </w:p>
        </w:tc>
        <w:tc>
          <w:tcPr>
            <w:tcW w:w="1020" w:type="dxa"/>
            <w:vAlign w:val="bottom"/>
            <w:gridSpan w:val="3"/>
          </w:tcPr>
          <w:p>
            <w:pPr>
              <w:jc w:val="right"/>
              <w:ind w:right="200"/>
              <w:spacing w:after="0" w:line="160" w:lineRule="exact"/>
              <w:rPr>
                <w:sz w:val="20"/>
                <w:szCs w:val="20"/>
                <w:color w:val="auto"/>
              </w:rPr>
            </w:pPr>
            <w:r>
              <w:rPr>
                <w:rFonts w:ascii="Arial" w:cs="Arial" w:eastAsia="Arial" w:hAnsi="Arial"/>
                <w:sz w:val="16"/>
                <w:szCs w:val="16"/>
                <w:b w:val="1"/>
                <w:bCs w:val="1"/>
                <w:color w:val="auto"/>
                <w:w w:val="98"/>
              </w:rPr>
              <w:t>Unrealized</w:t>
            </w:r>
          </w:p>
        </w:tc>
        <w:tc>
          <w:tcPr>
            <w:tcW w:w="9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Cost</w:t>
            </w:r>
          </w:p>
        </w:tc>
        <w:tc>
          <w:tcPr>
            <w:tcW w:w="1020" w:type="dxa"/>
            <w:vAlign w:val="bottom"/>
            <w:gridSpan w:val="3"/>
          </w:tcPr>
          <w:p>
            <w:pPr>
              <w:jc w:val="right"/>
              <w:ind w:right="200"/>
              <w:spacing w:after="0" w:line="160" w:lineRule="exact"/>
              <w:rPr>
                <w:sz w:val="20"/>
                <w:szCs w:val="20"/>
                <w:color w:val="auto"/>
              </w:rPr>
            </w:pPr>
            <w:r>
              <w:rPr>
                <w:rFonts w:ascii="Arial" w:cs="Arial" w:eastAsia="Arial" w:hAnsi="Arial"/>
                <w:sz w:val="16"/>
                <w:szCs w:val="16"/>
                <w:b w:val="1"/>
                <w:bCs w:val="1"/>
                <w:color w:val="auto"/>
                <w:w w:val="98"/>
              </w:rPr>
              <w:t>Unrealized</w:t>
            </w:r>
          </w:p>
        </w:tc>
        <w:tc>
          <w:tcPr>
            <w:tcW w:w="1020" w:type="dxa"/>
            <w:vAlign w:val="bottom"/>
            <w:gridSpan w:val="3"/>
          </w:tcPr>
          <w:p>
            <w:pPr>
              <w:jc w:val="right"/>
              <w:ind w:right="200"/>
              <w:spacing w:after="0" w:line="160" w:lineRule="exact"/>
              <w:rPr>
                <w:sz w:val="20"/>
                <w:szCs w:val="20"/>
                <w:color w:val="auto"/>
              </w:rPr>
            </w:pPr>
            <w:r>
              <w:rPr>
                <w:rFonts w:ascii="Arial" w:cs="Arial" w:eastAsia="Arial" w:hAnsi="Arial"/>
                <w:sz w:val="16"/>
                <w:szCs w:val="16"/>
                <w:b w:val="1"/>
                <w:bCs w:val="1"/>
                <w:color w:val="auto"/>
                <w:w w:val="98"/>
              </w:rPr>
              <w:t>Unrealized</w:t>
            </w:r>
          </w:p>
        </w:tc>
        <w:tc>
          <w:tcPr>
            <w:tcW w:w="8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79"/>
              </w:rPr>
              <w:t>Losses</w:t>
            </w:r>
          </w:p>
        </w:tc>
        <w:tc>
          <w:tcPr>
            <w:tcW w:w="980" w:type="dxa"/>
            <w:vAlign w:val="bottom"/>
            <w:gridSpan w:val="3"/>
          </w:tcPr>
          <w:p>
            <w:pPr>
              <w:ind w:left="80"/>
              <w:spacing w:after="0"/>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ind w:left="80"/>
              <w:spacing w:after="0"/>
              <w:rPr>
                <w:sz w:val="20"/>
                <w:szCs w:val="20"/>
                <w:color w:val="auto"/>
              </w:rPr>
            </w:pPr>
            <w:r>
              <w:rPr>
                <w:rFonts w:ascii="Arial" w:cs="Arial" w:eastAsia="Arial" w:hAnsi="Arial"/>
                <w:sz w:val="16"/>
                <w:szCs w:val="16"/>
                <w:b w:val="1"/>
                <w:bCs w:val="1"/>
                <w:color w:val="auto"/>
              </w:rPr>
              <w:t>Gains</w:t>
            </w:r>
          </w:p>
        </w:tc>
        <w:tc>
          <w:tcPr>
            <w:tcW w:w="160" w:type="dxa"/>
            <w:vAlign w:val="bottom"/>
          </w:tcPr>
          <w:p>
            <w:pPr>
              <w:spacing w:after="0"/>
              <w:rPr>
                <w:sz w:val="18"/>
                <w:szCs w:val="18"/>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79"/>
              </w:rPr>
              <w:t>Losses</w:t>
            </w:r>
          </w:p>
        </w:tc>
        <w:tc>
          <w:tcPr>
            <w:tcW w:w="880" w:type="dxa"/>
            <w:vAlign w:val="bottom"/>
            <w:gridSpan w:val="2"/>
          </w:tcPr>
          <w:p>
            <w:pPr>
              <w:jc w:val="right"/>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165"/>
        </w:trPr>
        <w:tc>
          <w:tcPr>
            <w:tcW w:w="1240" w:type="dxa"/>
            <w:vAlign w:val="bottom"/>
            <w:shd w:val="clear" w:color="auto" w:fill="CCEEFF"/>
          </w:tcPr>
          <w:p>
            <w:pPr>
              <w:ind w:left="20"/>
              <w:spacing w:after="0" w:line="165" w:lineRule="exact"/>
              <w:rPr>
                <w:sz w:val="20"/>
                <w:szCs w:val="20"/>
                <w:color w:val="auto"/>
              </w:rPr>
            </w:pPr>
            <w:r>
              <w:rPr>
                <w:rFonts w:ascii="Arial" w:cs="Arial" w:eastAsia="Arial" w:hAnsi="Arial"/>
                <w:sz w:val="16"/>
                <w:szCs w:val="16"/>
                <w:color w:val="auto"/>
              </w:rPr>
              <w:t>Corporate debt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28,828</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28,812</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44,308</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4"/>
                <w:szCs w:val="14"/>
                <w:color w:val="auto"/>
              </w:rPr>
            </w:pPr>
          </w:p>
        </w:tc>
        <w:tc>
          <w:tcPr>
            <w:tcW w:w="2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44,291</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ind w:left="20"/>
              <w:spacing w:after="0"/>
              <w:rPr>
                <w:sz w:val="20"/>
                <w:szCs w:val="20"/>
                <w:color w:val="auto"/>
              </w:rPr>
            </w:pPr>
            <w:r>
              <w:rPr>
                <w:rFonts w:ascii="Arial" w:cs="Arial" w:eastAsia="Arial" w:hAnsi="Arial"/>
                <w:sz w:val="16"/>
                <w:szCs w:val="16"/>
                <w:color w:val="auto"/>
                <w:w w:val="91"/>
              </w:rPr>
              <w:t>Commercial paper</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1,978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7,953</w:t>
            </w:r>
          </w:p>
        </w:tc>
        <w:tc>
          <w:tcPr>
            <w:tcW w:w="0" w:type="dxa"/>
            <w:vAlign w:val="bottom"/>
          </w:tcPr>
          <w:p>
            <w:pPr>
              <w:spacing w:after="0"/>
              <w:rPr>
                <w:sz w:val="1"/>
                <w:szCs w:val="1"/>
                <w:color w:val="auto"/>
              </w:rPr>
            </w:pPr>
          </w:p>
        </w:tc>
      </w:tr>
      <w:tr>
        <w:trPr>
          <w:trHeight w:val="166"/>
        </w:trPr>
        <w:tc>
          <w:tcPr>
            <w:tcW w:w="124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rPr>
              <w:t>Money market</w:t>
            </w:r>
          </w:p>
        </w:tc>
        <w:tc>
          <w:tcPr>
            <w:tcW w:w="1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13,572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13,572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4,871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4,871</w:t>
            </w:r>
          </w:p>
        </w:tc>
        <w:tc>
          <w:tcPr>
            <w:tcW w:w="0" w:type="dxa"/>
            <w:vAlign w:val="bottom"/>
          </w:tcPr>
          <w:p>
            <w:pPr>
              <w:spacing w:after="0"/>
              <w:rPr>
                <w:sz w:val="1"/>
                <w:szCs w:val="1"/>
                <w:color w:val="auto"/>
              </w:rPr>
            </w:pPr>
          </w:p>
        </w:tc>
      </w:tr>
      <w:tr>
        <w:trPr>
          <w:trHeight w:val="210"/>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funds</w:t>
            </w:r>
          </w:p>
        </w:tc>
        <w:tc>
          <w:tcPr>
            <w:tcW w:w="1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240" w:type="dxa"/>
            <w:vAlign w:val="bottom"/>
          </w:tcPr>
          <w:p>
            <w:pPr>
              <w:ind w:left="20"/>
              <w:spacing w:after="0"/>
              <w:rPr>
                <w:sz w:val="20"/>
                <w:szCs w:val="20"/>
                <w:color w:val="auto"/>
              </w:rPr>
            </w:pPr>
            <w:r>
              <w:rPr>
                <w:rFonts w:ascii="Arial" w:cs="Arial" w:eastAsia="Arial" w:hAnsi="Arial"/>
                <w:sz w:val="16"/>
                <w:szCs w:val="16"/>
                <w:color w:val="auto"/>
              </w:rPr>
              <w:t>Agency bonds</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1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bills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1240" w:type="dxa"/>
            <w:vAlign w:val="bottom"/>
          </w:tcPr>
          <w:p>
            <w:pPr>
              <w:ind w:left="20"/>
              <w:spacing w:after="0" w:line="163" w:lineRule="exact"/>
              <w:rPr>
                <w:sz w:val="20"/>
                <w:szCs w:val="20"/>
                <w:color w:val="auto"/>
              </w:rPr>
            </w:pPr>
            <w:r>
              <w:rPr>
                <w:rFonts w:ascii="Arial" w:cs="Arial" w:eastAsia="Arial" w:hAnsi="Arial"/>
                <w:sz w:val="16"/>
                <w:szCs w:val="16"/>
                <w:color w:val="auto"/>
              </w:rPr>
              <w:t>Municipal debt</w:t>
            </w:r>
          </w:p>
        </w:tc>
        <w:tc>
          <w:tcPr>
            <w:tcW w:w="1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ind w:left="460"/>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7,626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Arial" w:cs="Arial" w:eastAsia="Arial" w:hAnsi="Arial"/>
                <w:sz w:val="16"/>
                <w:szCs w:val="16"/>
                <w:color w:val="auto"/>
              </w:rPr>
              <w:t>7,625</w:t>
            </w:r>
          </w:p>
        </w:tc>
        <w:tc>
          <w:tcPr>
            <w:tcW w:w="0" w:type="dxa"/>
            <w:vAlign w:val="bottom"/>
          </w:tcPr>
          <w:p>
            <w:pPr>
              <w:spacing w:after="0"/>
              <w:rPr>
                <w:sz w:val="1"/>
                <w:szCs w:val="1"/>
                <w:color w:val="auto"/>
              </w:rPr>
            </w:pPr>
          </w:p>
        </w:tc>
      </w:tr>
      <w:tr>
        <w:trPr>
          <w:trHeight w:val="207"/>
        </w:trPr>
        <w:tc>
          <w:tcPr>
            <w:tcW w:w="1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securities</w:t>
            </w: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64,758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64,740</w:t>
            </w:r>
          </w:p>
        </w:tc>
        <w:tc>
          <w:tcPr>
            <w:tcW w:w="0" w:type="dxa"/>
            <w:vAlign w:val="bottom"/>
          </w:tcPr>
          <w:p>
            <w:pPr>
              <w:spacing w:after="0"/>
              <w:rPr>
                <w:sz w:val="1"/>
                <w:szCs w:val="1"/>
                <w:color w:val="auto"/>
              </w:rPr>
            </w:pPr>
          </w:p>
        </w:tc>
      </w:tr>
      <w:tr>
        <w:trPr>
          <w:trHeight w:val="20"/>
        </w:trPr>
        <w:tc>
          <w:tcPr>
            <w:tcW w:w="1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Estimated fair values of available-for-sale securities are generally based on prices obtained from commercial pricing services. The following table summarizes the classification of the available-for-sale securities in our Consolidated Balance Sheets (in thousands):</w:t>
      </w:r>
    </w:p>
    <w:p>
      <w:pPr>
        <w:spacing w:after="0" w:line="143"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6180" w:type="dxa"/>
            <w:vAlign w:val="bottom"/>
          </w:tcPr>
          <w:p>
            <w:pPr>
              <w:spacing w:after="0"/>
              <w:rPr>
                <w:sz w:val="16"/>
                <w:szCs w:val="16"/>
                <w:color w:val="auto"/>
              </w:rPr>
            </w:pPr>
          </w:p>
        </w:tc>
        <w:tc>
          <w:tcPr>
            <w:tcW w:w="15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20" w:type="dxa"/>
            <w:vAlign w:val="bottom"/>
          </w:tcPr>
          <w:p>
            <w:pPr>
              <w:spacing w:after="0"/>
              <w:rPr>
                <w:sz w:val="16"/>
                <w:szCs w:val="16"/>
                <w:color w:val="auto"/>
              </w:rPr>
            </w:pPr>
          </w:p>
        </w:tc>
        <w:tc>
          <w:tcPr>
            <w:tcW w:w="1260" w:type="dxa"/>
            <w:vAlign w:val="bottom"/>
          </w:tcPr>
          <w:p>
            <w:pPr>
              <w:jc w:val="right"/>
              <w:ind w:right="36"/>
              <w:spacing w:after="0"/>
              <w:rPr>
                <w:sz w:val="20"/>
                <w:szCs w:val="20"/>
                <w:color w:val="auto"/>
              </w:rPr>
            </w:pPr>
            <w:r>
              <w:rPr>
                <w:rFonts w:ascii="Arial" w:cs="Arial" w:eastAsia="Arial" w:hAnsi="Arial"/>
                <w:sz w:val="14"/>
                <w:szCs w:val="14"/>
                <w:b w:val="1"/>
                <w:bCs w:val="1"/>
                <w:color w:val="auto"/>
                <w:w w:val="88"/>
              </w:rPr>
              <w:t>December 31, 2022</w:t>
            </w:r>
          </w:p>
        </w:tc>
      </w:tr>
      <w:tr>
        <w:trPr>
          <w:trHeight w:val="25"/>
        </w:trPr>
        <w:tc>
          <w:tcPr>
            <w:tcW w:w="61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equivalents</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29,103</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w:t>
            </w:r>
          </w:p>
        </w:tc>
      </w:tr>
      <w:tr>
        <w:trPr>
          <w:trHeight w:val="266"/>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Marketable securities</w:t>
            </w: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21,966</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37,072</w:t>
            </w:r>
          </w:p>
        </w:tc>
      </w:tr>
      <w:tr>
        <w:trPr>
          <w:trHeight w:val="245"/>
        </w:trPr>
        <w:tc>
          <w:tcPr>
            <w:tcW w:w="6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51,069</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64,740</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portfolio of available-for-sale securities by contractual maturity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50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September 30, 2023</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8"/>
              </w:rPr>
              <w:t>Amortized Cost</w:t>
            </w:r>
          </w:p>
        </w:tc>
        <w:tc>
          <w:tcPr>
            <w:tcW w:w="20" w:type="dxa"/>
            <w:vAlign w:val="bottom"/>
          </w:tcPr>
          <w:p>
            <w:pPr>
              <w:spacing w:after="0"/>
              <w:rPr>
                <w:sz w:val="24"/>
                <w:szCs w:val="24"/>
                <w:color w:val="auto"/>
              </w:rPr>
            </w:pPr>
          </w:p>
        </w:tc>
        <w:tc>
          <w:tcPr>
            <w:tcW w:w="15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w w:val="94"/>
              </w:rPr>
              <w:t>Estimated Fair Value</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080" w:type="dxa"/>
            <w:vAlign w:val="bottom"/>
          </w:tcPr>
          <w:p>
            <w:pPr>
              <w:spacing w:after="0"/>
              <w:rPr>
                <w:sz w:val="21"/>
                <w:szCs w:val="21"/>
                <w:color w:val="auto"/>
              </w:rPr>
            </w:pPr>
          </w:p>
        </w:tc>
        <w:tc>
          <w:tcPr>
            <w:tcW w:w="61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Less than one year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51,086</w:t>
            </w:r>
          </w:p>
        </w:tc>
        <w:tc>
          <w:tcPr>
            <w:tcW w:w="140" w:type="dxa"/>
            <w:vAlign w:val="bottom"/>
            <w:shd w:val="clear" w:color="auto" w:fill="CCEEFF"/>
          </w:tcPr>
          <w:p>
            <w:pPr>
              <w:spacing w:after="0"/>
              <w:rPr>
                <w:sz w:val="21"/>
                <w:szCs w:val="21"/>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51,069</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6180" w:type="dxa"/>
            <w:vAlign w:val="bottom"/>
            <w:gridSpan w:val="3"/>
          </w:tcPr>
          <w:p>
            <w:pPr>
              <w:ind w:left="20"/>
              <w:spacing w:after="0"/>
              <w:rPr>
                <w:sz w:val="20"/>
                <w:szCs w:val="20"/>
                <w:color w:val="auto"/>
              </w:rPr>
            </w:pPr>
            <w:r>
              <w:rPr>
                <w:rFonts w:ascii="Arial" w:cs="Arial" w:eastAsia="Arial" w:hAnsi="Arial"/>
                <w:sz w:val="18"/>
                <w:szCs w:val="18"/>
                <w:color w:val="auto"/>
              </w:rPr>
              <w:t>Greater than one year</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618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51,086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46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8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0"/>
              </w:rPr>
              <w:t>Note 5 – Property and Equipment</w:t>
            </w:r>
          </w:p>
        </w:tc>
        <w:tc>
          <w:tcPr>
            <w:tcW w:w="46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4"/>
        </w:trPr>
        <w:tc>
          <w:tcPr>
            <w:tcW w:w="2580" w:type="dxa"/>
            <w:vAlign w:val="bottom"/>
            <w:tcBorders>
              <w:bottom w:val="single" w:sz="8" w:color="auto"/>
            </w:tcBorders>
            <w:gridSpan w:val="3"/>
            <w:vMerge w:val="continue"/>
          </w:tcPr>
          <w:p>
            <w:pPr>
              <w:spacing w:after="0"/>
              <w:rPr>
                <w:sz w:val="24"/>
                <w:szCs w:val="24"/>
                <w:color w:val="auto"/>
              </w:rPr>
            </w:pPr>
          </w:p>
        </w:tc>
        <w:tc>
          <w:tcPr>
            <w:tcW w:w="4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7260" w:type="dxa"/>
            <w:vAlign w:val="bottom"/>
            <w:gridSpan w:val="4"/>
          </w:tcPr>
          <w:p>
            <w:pPr>
              <w:ind w:left="320"/>
              <w:spacing w:after="0"/>
              <w:rPr>
                <w:sz w:val="20"/>
                <w:szCs w:val="20"/>
                <w:color w:val="auto"/>
              </w:rPr>
            </w:pPr>
            <w:r>
              <w:rPr>
                <w:rFonts w:ascii="Arial" w:cs="Arial" w:eastAsia="Arial" w:hAnsi="Arial"/>
                <w:sz w:val="18"/>
                <w:szCs w:val="18"/>
                <w:color w:val="auto"/>
              </w:rPr>
              <w:t>Property and equipment consisted of the following (in thousands):</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6"/>
              </w:rPr>
              <w:t>September 30, 2023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8"/>
              </w:rPr>
              <w:t>December 31, 2022</w:t>
            </w:r>
          </w:p>
        </w:tc>
        <w:tc>
          <w:tcPr>
            <w:tcW w:w="0" w:type="dxa"/>
            <w:vAlign w:val="bottom"/>
          </w:tcPr>
          <w:p>
            <w:pPr>
              <w:spacing w:after="0"/>
              <w:rPr>
                <w:sz w:val="1"/>
                <w:szCs w:val="1"/>
                <w:color w:val="auto"/>
              </w:rPr>
            </w:pPr>
          </w:p>
        </w:tc>
      </w:tr>
      <w:tr>
        <w:trPr>
          <w:trHeight w:val="25"/>
        </w:trPr>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98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40" w:type="dxa"/>
            <w:vAlign w:val="bottom"/>
            <w:gridSpan w:val="2"/>
            <w:shd w:val="clear" w:color="auto" w:fill="CCEEFF"/>
          </w:tcPr>
          <w:p>
            <w:pPr>
              <w:jc w:val="right"/>
              <w:ind w:right="229"/>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6"/>
        </w:trPr>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gross</w:t>
            </w: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661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66"/>
        </w:trPr>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w:t>
            </w: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20"/>
        </w:trPr>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980" w:type="dxa"/>
            <w:vAlign w:val="bottom"/>
            <w:gridSpan w:val="2"/>
          </w:tcPr>
          <w:p>
            <w:pPr>
              <w:ind w:left="200"/>
              <w:spacing w:after="0"/>
              <w:rPr>
                <w:sz w:val="20"/>
                <w:szCs w:val="20"/>
                <w:color w:val="auto"/>
              </w:rPr>
            </w:pPr>
            <w:r>
              <w:rPr>
                <w:rFonts w:ascii="Arial" w:cs="Arial" w:eastAsia="Arial" w:hAnsi="Arial"/>
                <w:sz w:val="18"/>
                <w:szCs w:val="18"/>
                <w:color w:val="auto"/>
              </w:rPr>
              <w:t>Property and equipment, net</w:t>
            </w:r>
          </w:p>
        </w:tc>
        <w:tc>
          <w:tcPr>
            <w:tcW w:w="540" w:type="dxa"/>
            <w:vAlign w:val="bottom"/>
            <w:gridSpan w:val="2"/>
          </w:tcPr>
          <w:p>
            <w:pPr>
              <w:jc w:val="right"/>
              <w:ind w:right="229"/>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204</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Company’s results included depreciation expense of approximately $89 thousand and $22 thousand for the nine months ended September 30, 2023 and 2022, respectively.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 Income (Loss) Per Share</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For the nine months ended September 30, 2023 and 2022, the Company incurred net losses and therefore no common stock equivalents were utilized in the calculation of diluted loss per share as they are anti-dilutive. At September 30, 2023 and 2022, the Company excluded the following potentially dilutive securities (in thousands):</w:t>
      </w:r>
    </w:p>
    <w:p>
      <w:pPr>
        <w:spacing w:after="0" w:line="166"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580" w:type="dxa"/>
            <w:vAlign w:val="bottom"/>
          </w:tcPr>
          <w:p>
            <w:pPr>
              <w:spacing w:after="0"/>
              <w:rPr>
                <w:sz w:val="17"/>
                <w:szCs w:val="17"/>
                <w:color w:val="auto"/>
              </w:rPr>
            </w:pPr>
          </w:p>
        </w:tc>
        <w:tc>
          <w:tcPr>
            <w:tcW w:w="1160" w:type="dxa"/>
            <w:vAlign w:val="bottom"/>
            <w:tcBorders>
              <w:top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780" w:type="dxa"/>
            <w:vAlign w:val="bottom"/>
            <w:tcBorders>
              <w:top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2022</w:t>
            </w:r>
          </w:p>
        </w:tc>
      </w:tr>
      <w:tr>
        <w:trPr>
          <w:trHeight w:val="25"/>
        </w:trPr>
        <w:tc>
          <w:tcPr>
            <w:tcW w:w="75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0"/>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r>
      <w:tr>
        <w:trPr>
          <w:trHeight w:val="226"/>
        </w:trPr>
        <w:tc>
          <w:tcPr>
            <w:tcW w:w="8740" w:type="dxa"/>
            <w:vAlign w:val="bottom"/>
            <w:gridSpan w:val="2"/>
          </w:tcPr>
          <w:p>
            <w:pPr>
              <w:ind w:left="20"/>
              <w:spacing w:after="0"/>
              <w:rPr>
                <w:sz w:val="20"/>
                <w:szCs w:val="20"/>
                <w:color w:val="auto"/>
              </w:rPr>
            </w:pPr>
            <w:r>
              <w:rPr>
                <w:rFonts w:ascii="Arial" w:cs="Arial" w:eastAsia="Arial" w:hAnsi="Arial"/>
                <w:sz w:val="18"/>
                <w:szCs w:val="18"/>
                <w:color w:val="auto"/>
              </w:rPr>
              <w:t>Warrants</w:t>
            </w:r>
          </w:p>
        </w:tc>
        <w:tc>
          <w:tcPr>
            <w:tcW w:w="600" w:type="dxa"/>
            <w:vAlign w:val="bottom"/>
          </w:tcPr>
          <w:p>
            <w:pPr>
              <w:jc w:val="right"/>
              <w:spacing w:after="0"/>
              <w:rPr>
                <w:sz w:val="20"/>
                <w:szCs w:val="20"/>
                <w:color w:val="auto"/>
              </w:rPr>
            </w:pPr>
            <w:r>
              <w:rPr>
                <w:rFonts w:ascii="Arial" w:cs="Arial" w:eastAsia="Arial" w:hAnsi="Arial"/>
                <w:sz w:val="18"/>
                <w:szCs w:val="18"/>
                <w:color w:val="auto"/>
              </w:rPr>
              <w:t>1,422</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1,424</w:t>
            </w:r>
          </w:p>
        </w:tc>
      </w:tr>
      <w:tr>
        <w:trPr>
          <w:trHeight w:val="227"/>
        </w:trPr>
        <w:tc>
          <w:tcPr>
            <w:tcW w:w="8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 Fair Value Measurements</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 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spacing w:after="0" w:line="11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Level 1 inputs are defined as quoted prices (unadjusted) in active markets for identical assets or liabilities that the reporting entity has the ability to access at the measurement date.</w:t>
      </w:r>
    </w:p>
    <w:p>
      <w:pPr>
        <w:spacing w:after="0" w:line="114"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Level 2 inputs are defined as inputs other than quoted prices included within Level 1 that are observable for the assets or liabilities, either directly or indirectly.</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inputs are defined as unobservable inputs for the assets or liabilities.</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 The Company’s assessment of the significance of a particular input to the fair value measurement requires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judgment and may affect the valuation of the fair value of assets and liabilities and their placement within the fair value hierarchy levels.</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Company's financial assets and liabilities that were accounted for at fair value on a recurring basis as of September 30, 2023 and December 31, 2022 (in thousands):</w:t>
      </w:r>
    </w:p>
    <w:p>
      <w:pPr>
        <w:spacing w:after="0" w:line="196"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5"/>
          </w:tcPr>
          <w:p>
            <w:pPr>
              <w:ind w:left="100"/>
              <w:spacing w:after="0"/>
              <w:rPr>
                <w:sz w:val="20"/>
                <w:szCs w:val="20"/>
                <w:color w:val="auto"/>
              </w:rPr>
            </w:pPr>
            <w:r>
              <w:rPr>
                <w:rFonts w:ascii="Arial" w:cs="Arial" w:eastAsia="Arial" w:hAnsi="Arial"/>
                <w:sz w:val="14"/>
                <w:szCs w:val="14"/>
                <w:b w:val="1"/>
                <w:bCs w:val="1"/>
                <w:color w:val="auto"/>
              </w:rPr>
              <w:t>September 30, 2023</w:t>
            </w: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5"/>
          </w:tcPr>
          <w:p>
            <w:pPr>
              <w:ind w:left="140"/>
              <w:spacing w:after="0"/>
              <w:rPr>
                <w:sz w:val="20"/>
                <w:szCs w:val="20"/>
                <w:color w:val="auto"/>
              </w:rPr>
            </w:pPr>
            <w:r>
              <w:rPr>
                <w:rFonts w:ascii="Arial" w:cs="Arial" w:eastAsia="Arial" w:hAnsi="Arial"/>
                <w:sz w:val="14"/>
                <w:szCs w:val="14"/>
                <w:b w:val="1"/>
                <w:bCs w:val="1"/>
                <w:color w:val="auto"/>
              </w:rPr>
              <w:t>December 31, 2022</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6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9"/>
                <w:szCs w:val="19"/>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9"/>
                <w:szCs w:val="19"/>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9"/>
                <w:szCs w:val="19"/>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9"/>
                <w:szCs w:val="19"/>
                <w:color w:val="auto"/>
              </w:rPr>
            </w:pPr>
          </w:p>
        </w:tc>
        <w:tc>
          <w:tcPr>
            <w:tcW w:w="660" w:type="dxa"/>
            <w:vAlign w:val="bottom"/>
          </w:tcPr>
          <w:p>
            <w:pPr>
              <w:jc w:val="right"/>
              <w:ind w:right="18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
        </w:trPr>
        <w:tc>
          <w:tcPr>
            <w:tcW w:w="16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Assets:</w:t>
            </w: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0"/>
        </w:trPr>
        <w:tc>
          <w:tcPr>
            <w:tcW w:w="1680" w:type="dxa"/>
            <w:vAlign w:val="bottom"/>
          </w:tcPr>
          <w:p>
            <w:pPr>
              <w:spacing w:after="0"/>
              <w:rPr>
                <w:sz w:val="20"/>
                <w:szCs w:val="20"/>
                <w:color w:val="auto"/>
              </w:rPr>
            </w:pPr>
            <w:r>
              <w:rPr>
                <w:rFonts w:ascii="Arial" w:cs="Arial" w:eastAsia="Arial" w:hAnsi="Arial"/>
                <w:sz w:val="16"/>
                <w:szCs w:val="16"/>
                <w:color w:val="auto"/>
              </w:rPr>
              <w:t>Cash equivalents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29,103</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29,103</w:t>
            </w: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27,668</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27,668</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Marketable securities -</w:t>
            </w: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21,966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21,966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ind w:right="4"/>
              <w:spacing w:after="0"/>
              <w:rPr>
                <w:sz w:val="20"/>
                <w:szCs w:val="20"/>
                <w:color w:val="auto"/>
              </w:rPr>
            </w:pPr>
            <w:r>
              <w:rPr>
                <w:rFonts w:ascii="Arial" w:cs="Arial" w:eastAsia="Arial" w:hAnsi="Arial"/>
                <w:sz w:val="16"/>
                <w:szCs w:val="16"/>
                <w:color w:val="auto"/>
              </w:rPr>
              <w:t>37,072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140" w:type="dxa"/>
            <w:vAlign w:val="bottom"/>
            <w:vMerge w:val="restart"/>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37,072</w:t>
            </w:r>
          </w:p>
        </w:tc>
        <w:tc>
          <w:tcPr>
            <w:tcW w:w="0" w:type="dxa"/>
            <w:vAlign w:val="bottom"/>
          </w:tcPr>
          <w:p>
            <w:pPr>
              <w:spacing w:after="0"/>
              <w:rPr>
                <w:sz w:val="1"/>
                <w:szCs w:val="1"/>
                <w:color w:val="auto"/>
              </w:rPr>
            </w:pPr>
          </w:p>
        </w:tc>
      </w:tr>
      <w:tr>
        <w:trPr>
          <w:trHeight w:val="207"/>
        </w:trPr>
        <w:tc>
          <w:tcPr>
            <w:tcW w:w="1680" w:type="dxa"/>
            <w:vAlign w:val="bottom"/>
            <w:shd w:val="clear" w:color="auto" w:fill="CCEEFF"/>
          </w:tcPr>
          <w:p>
            <w:pPr>
              <w:spacing w:after="0"/>
              <w:rPr>
                <w:sz w:val="20"/>
                <w:szCs w:val="20"/>
                <w:color w:val="auto"/>
              </w:rPr>
            </w:pPr>
            <w:r>
              <w:rPr>
                <w:rFonts w:ascii="Arial" w:cs="Arial" w:eastAsia="Arial" w:hAnsi="Arial"/>
                <w:sz w:val="16"/>
                <w:szCs w:val="16"/>
                <w:color w:val="auto"/>
              </w:rPr>
              <w:t>available for sale</w:t>
            </w: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6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29,103</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4"/>
              <w:spacing w:after="0"/>
              <w:rPr>
                <w:sz w:val="20"/>
                <w:szCs w:val="20"/>
                <w:color w:val="auto"/>
              </w:rPr>
            </w:pPr>
            <w:r>
              <w:rPr>
                <w:rFonts w:ascii="Arial" w:cs="Arial" w:eastAsia="Arial" w:hAnsi="Arial"/>
                <w:sz w:val="16"/>
                <w:szCs w:val="16"/>
                <w:color w:val="auto"/>
              </w:rPr>
              <w:t>21,966</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ind w:left="36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51,069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
              <w:spacing w:after="0"/>
              <w:rPr>
                <w:sz w:val="20"/>
                <w:szCs w:val="20"/>
                <w:color w:val="auto"/>
              </w:rPr>
            </w:pPr>
            <w:r>
              <w:rPr>
                <w:rFonts w:ascii="Arial" w:cs="Arial" w:eastAsia="Arial" w:hAnsi="Arial"/>
                <w:sz w:val="16"/>
                <w:szCs w:val="16"/>
                <w:color w:val="auto"/>
              </w:rPr>
              <w:t>27,668</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
              <w:spacing w:after="0"/>
              <w:rPr>
                <w:sz w:val="20"/>
                <w:szCs w:val="20"/>
                <w:color w:val="auto"/>
              </w:rPr>
            </w:pPr>
            <w:r>
              <w:rPr>
                <w:rFonts w:ascii="Arial" w:cs="Arial" w:eastAsia="Arial" w:hAnsi="Arial"/>
                <w:sz w:val="16"/>
                <w:szCs w:val="16"/>
                <w:color w:val="auto"/>
              </w:rPr>
              <w:t>37,072</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rPr>
              <w:t>64,740</w:t>
            </w:r>
          </w:p>
        </w:tc>
        <w:tc>
          <w:tcPr>
            <w:tcW w:w="0" w:type="dxa"/>
            <w:vAlign w:val="bottom"/>
          </w:tcPr>
          <w:p>
            <w:pPr>
              <w:spacing w:after="0"/>
              <w:rPr>
                <w:sz w:val="1"/>
                <w:szCs w:val="1"/>
                <w:color w:val="auto"/>
              </w:rPr>
            </w:pPr>
          </w:p>
        </w:tc>
      </w:tr>
      <w:tr>
        <w:trPr>
          <w:trHeight w:val="23"/>
        </w:trPr>
        <w:tc>
          <w:tcPr>
            <w:tcW w:w="1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 carrying values of accounts payable and accrued expenses approximate fair value as of September 30, 2023 and December 31, 2022, due to the short maturity nature of these items.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 Accrued Liabilities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Accrued liabilities as of September 30, 2023 and December 31, 2022 were as follows (in thousands):</w:t>
      </w:r>
    </w:p>
    <w:p>
      <w:pPr>
        <w:spacing w:after="0" w:line="249"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2023</w:t>
            </w:r>
          </w:p>
        </w:tc>
        <w:tc>
          <w:tcPr>
            <w:tcW w:w="18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5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Salaries, employee benefits and related taxes</w:t>
            </w:r>
          </w:p>
        </w:tc>
        <w:tc>
          <w:tcPr>
            <w:tcW w:w="2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2,586</w:t>
            </w:r>
          </w:p>
        </w:tc>
      </w:tr>
      <w:tr>
        <w:trPr>
          <w:trHeight w:val="266"/>
        </w:trPr>
        <w:tc>
          <w:tcPr>
            <w:tcW w:w="5380" w:type="dxa"/>
            <w:vAlign w:val="bottom"/>
          </w:tcPr>
          <w:p>
            <w:pPr>
              <w:ind w:left="20"/>
              <w:spacing w:after="0"/>
              <w:rPr>
                <w:sz w:val="20"/>
                <w:szCs w:val="20"/>
                <w:color w:val="auto"/>
              </w:rPr>
            </w:pPr>
            <w:r>
              <w:rPr>
                <w:rFonts w:ascii="Arial" w:cs="Arial" w:eastAsia="Arial" w:hAnsi="Arial"/>
                <w:sz w:val="18"/>
                <w:szCs w:val="18"/>
                <w:color w:val="auto"/>
              </w:rPr>
              <w:t>Clinical and R&amp;D related liabilities</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915</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785</w:t>
            </w:r>
          </w:p>
        </w:tc>
      </w:tr>
      <w:tr>
        <w:trPr>
          <w:trHeight w:val="26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Accounting &amp; tax consulting liabilities</w:t>
            </w:r>
          </w:p>
        </w:tc>
        <w:tc>
          <w:tcPr>
            <w:tcW w:w="20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66"/>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liabilities — current</w:t>
            </w:r>
          </w:p>
        </w:tc>
        <w:tc>
          <w:tcPr>
            <w:tcW w:w="2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180</w:t>
            </w:r>
          </w:p>
        </w:tc>
      </w:tr>
      <w:tr>
        <w:trPr>
          <w:trHeight w:val="266"/>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177</w:t>
            </w:r>
          </w:p>
        </w:tc>
      </w:tr>
      <w:tr>
        <w:trPr>
          <w:trHeight w:val="220"/>
        </w:trPr>
        <w:tc>
          <w:tcPr>
            <w:tcW w:w="538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3,820</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3,728</w:t>
            </w:r>
          </w:p>
        </w:tc>
      </w:tr>
      <w:tr>
        <w:trPr>
          <w:trHeight w:val="20"/>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 Operating Leases</w:t>
      </w:r>
    </w:p>
    <w:p>
      <w:pPr>
        <w:spacing w:after="0" w:line="158"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The Company adopted ASU No. 2016-02, Leases (Topic 842) on January 1, 2019 and recognized leases with duration greater than 12 months on the balance sheet using the modified retrospective approach. The Company has an operating lease for one office which expires in 2025. The Company estimates its incremental borrowing rate at lease commencement to determine the present value of lease payments as most of the Company's leases do not provide an implicit rate of return. The Company recognizes lease expense on a straight-line basis over the lease term. For lease agreements entered into or reassessed after the adoption of Topic 842, the Company elected to account for non-lease components associated with its leases and lease components as a single lease component. The Company's lease includes an option for the Company to extend the lease term and/or sub-lease space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Operating lease liabilities and right-of-use assets were recorded in the following captions of our balance sheet as follows (in thousands):</w:t>
      </w:r>
    </w:p>
    <w:p>
      <w:pPr>
        <w:spacing w:after="0" w:line="235"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6"/>
                <w:szCs w:val="16"/>
                <w:color w:val="auto"/>
              </w:rPr>
            </w:pPr>
          </w:p>
        </w:tc>
        <w:tc>
          <w:tcPr>
            <w:tcW w:w="1480" w:type="dxa"/>
            <w:vAlign w:val="bottom"/>
          </w:tcPr>
          <w:p>
            <w:pPr>
              <w:jc w:val="right"/>
              <w:ind w:right="174"/>
              <w:spacing w:after="0"/>
              <w:rPr>
                <w:sz w:val="20"/>
                <w:szCs w:val="20"/>
                <w:color w:val="auto"/>
              </w:rPr>
            </w:pPr>
            <w:r>
              <w:rPr>
                <w:rFonts w:ascii="Arial" w:cs="Arial" w:eastAsia="Arial" w:hAnsi="Arial"/>
                <w:sz w:val="14"/>
                <w:szCs w:val="14"/>
                <w:b w:val="1"/>
                <w:bCs w:val="1"/>
                <w:color w:val="auto"/>
                <w:w w:val="95"/>
              </w:rPr>
              <w:t>December 31, 2022</w:t>
            </w:r>
          </w:p>
        </w:tc>
      </w:tr>
      <w:tr>
        <w:trPr>
          <w:trHeight w:val="25"/>
        </w:trPr>
        <w:tc>
          <w:tcPr>
            <w:tcW w:w="560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BFE4FF"/>
          </w:tcPr>
          <w:p>
            <w:pPr>
              <w:spacing w:after="0"/>
              <w:rPr>
                <w:sz w:val="20"/>
                <w:szCs w:val="20"/>
                <w:color w:val="auto"/>
              </w:rPr>
            </w:pPr>
          </w:p>
        </w:tc>
        <w:tc>
          <w:tcPr>
            <w:tcW w:w="1500" w:type="dxa"/>
            <w:vAlign w:val="bottom"/>
            <w:shd w:val="clear" w:color="auto" w:fill="BFE4FF"/>
          </w:tcPr>
          <w:p>
            <w:pPr>
              <w:spacing w:after="0"/>
              <w:rPr>
                <w:sz w:val="20"/>
                <w:szCs w:val="20"/>
                <w:color w:val="auto"/>
              </w:rPr>
            </w:pPr>
          </w:p>
        </w:tc>
        <w:tc>
          <w:tcPr>
            <w:tcW w:w="120" w:type="dxa"/>
            <w:vAlign w:val="bottom"/>
            <w:shd w:val="clear" w:color="auto" w:fill="BFE4FF"/>
          </w:tcPr>
          <w:p>
            <w:pPr>
              <w:spacing w:after="0"/>
              <w:rPr>
                <w:sz w:val="20"/>
                <w:szCs w:val="20"/>
                <w:color w:val="auto"/>
              </w:rPr>
            </w:pPr>
          </w:p>
        </w:tc>
        <w:tc>
          <w:tcPr>
            <w:tcW w:w="200" w:type="dxa"/>
            <w:vAlign w:val="bottom"/>
            <w:shd w:val="clear" w:color="auto" w:fill="BFE4FF"/>
          </w:tcPr>
          <w:p>
            <w:pPr>
              <w:spacing w:after="0"/>
              <w:rPr>
                <w:sz w:val="20"/>
                <w:szCs w:val="20"/>
                <w:color w:val="auto"/>
              </w:rPr>
            </w:pPr>
          </w:p>
        </w:tc>
        <w:tc>
          <w:tcPr>
            <w:tcW w:w="1480" w:type="dxa"/>
            <w:vAlign w:val="bottom"/>
            <w:shd w:val="clear" w:color="auto" w:fill="BFE4FF"/>
          </w:tcPr>
          <w:p>
            <w:pPr>
              <w:spacing w:after="0"/>
              <w:rPr>
                <w:sz w:val="20"/>
                <w:szCs w:val="20"/>
                <w:color w:val="auto"/>
              </w:rPr>
            </w:pPr>
          </w:p>
        </w:tc>
      </w:tr>
      <w:tr>
        <w:trPr>
          <w:trHeight w:val="252"/>
        </w:trPr>
        <w:tc>
          <w:tcPr>
            <w:tcW w:w="5600" w:type="dxa"/>
            <w:vAlign w:val="bottom"/>
            <w:tcBorders>
              <w:bottom w:val="single" w:sz="8" w:color="BFE4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BFE4FF"/>
            </w:tcBorders>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r>
      <w:tr>
        <w:trPr>
          <w:trHeight w:val="245"/>
        </w:trPr>
        <w:tc>
          <w:tcPr>
            <w:tcW w:w="560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8"/>
                <w:szCs w:val="18"/>
                <w:color w:val="auto"/>
              </w:rPr>
              <w:t>Total Right-of-Use Asset</w:t>
            </w:r>
          </w:p>
        </w:tc>
        <w:tc>
          <w:tcPr>
            <w:tcW w:w="1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BFE4FF"/>
            </w:tcBorders>
            <w:shd w:val="clear" w:color="auto" w:fill="BFE4FF"/>
          </w:tcPr>
          <w:p>
            <w:pPr>
              <w:spacing w:after="0"/>
              <w:rPr>
                <w:sz w:val="20"/>
                <w:szCs w:val="20"/>
                <w:color w:val="auto"/>
              </w:rPr>
            </w:pP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5600" w:type="dxa"/>
            <w:vAlign w:val="bottom"/>
            <w:tcBorders>
              <w:top w:val="single" w:sz="8" w:color="BFE4FF"/>
            </w:tcBorders>
          </w:tcPr>
          <w:p>
            <w:pPr>
              <w:spacing w:after="0" w:line="20" w:lineRule="exact"/>
              <w:rPr>
                <w:sz w:val="1"/>
                <w:szCs w:val="1"/>
                <w:color w:val="auto"/>
              </w:rPr>
            </w:pPr>
          </w:p>
        </w:tc>
        <w:tc>
          <w:tcPr>
            <w:tcW w:w="180" w:type="dxa"/>
            <w:vAlign w:val="bottom"/>
            <w:tcBorders>
              <w:top w:val="single" w:sz="8" w:color="BFE4FF"/>
              <w:bottom w:val="single" w:sz="8" w:color="auto"/>
            </w:tcBorders>
          </w:tcPr>
          <w:p>
            <w:pPr>
              <w:spacing w:after="0" w:line="20" w:lineRule="exact"/>
              <w:rPr>
                <w:sz w:val="1"/>
                <w:szCs w:val="1"/>
                <w:color w:val="auto"/>
              </w:rPr>
            </w:pPr>
          </w:p>
        </w:tc>
        <w:tc>
          <w:tcPr>
            <w:tcW w:w="1500" w:type="dxa"/>
            <w:vAlign w:val="bottom"/>
            <w:tcBorders>
              <w:top w:val="single" w:sz="8" w:color="BFE4FF"/>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BFE4FF"/>
              <w:bottom w:val="single" w:sz="8" w:color="auto"/>
            </w:tcBorders>
          </w:tcPr>
          <w:p>
            <w:pPr>
              <w:spacing w:after="0" w:line="20" w:lineRule="exact"/>
              <w:rPr>
                <w:sz w:val="1"/>
                <w:szCs w:val="1"/>
                <w:color w:val="auto"/>
              </w:rPr>
            </w:pPr>
          </w:p>
        </w:tc>
        <w:tc>
          <w:tcPr>
            <w:tcW w:w="1480" w:type="dxa"/>
            <w:vAlign w:val="bottom"/>
            <w:tcBorders>
              <w:top w:val="single" w:sz="8" w:color="BFE4FF"/>
              <w:bottom w:val="single" w:sz="8" w:color="auto"/>
            </w:tcBorders>
          </w:tcPr>
          <w:p>
            <w:pPr>
              <w:spacing w:after="0" w:line="20" w:lineRule="exact"/>
              <w:rPr>
                <w:sz w:val="1"/>
                <w:szCs w:val="1"/>
                <w:color w:val="auto"/>
              </w:rPr>
            </w:pPr>
          </w:p>
        </w:tc>
      </w:tr>
      <w:tr>
        <w:trPr>
          <w:trHeight w:val="200"/>
        </w:trPr>
        <w:tc>
          <w:tcPr>
            <w:tcW w:w="5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5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Operating Lease Liabilities:</w:t>
            </w:r>
          </w:p>
        </w:tc>
        <w:tc>
          <w:tcPr>
            <w:tcW w:w="180" w:type="dxa"/>
            <w:vAlign w:val="bottom"/>
            <w:shd w:val="clear" w:color="auto" w:fill="BFE4FF"/>
          </w:tcPr>
          <w:p>
            <w:pPr>
              <w:spacing w:after="0"/>
              <w:rPr>
                <w:sz w:val="21"/>
                <w:szCs w:val="21"/>
                <w:color w:val="auto"/>
              </w:rPr>
            </w:pPr>
          </w:p>
        </w:tc>
        <w:tc>
          <w:tcPr>
            <w:tcW w:w="1500" w:type="dxa"/>
            <w:vAlign w:val="bottom"/>
            <w:shd w:val="clear" w:color="auto" w:fill="BFE4FF"/>
          </w:tcPr>
          <w:p>
            <w:pPr>
              <w:spacing w:after="0"/>
              <w:rPr>
                <w:sz w:val="21"/>
                <w:szCs w:val="21"/>
                <w:color w:val="auto"/>
              </w:rPr>
            </w:pPr>
          </w:p>
        </w:tc>
        <w:tc>
          <w:tcPr>
            <w:tcW w:w="12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480" w:type="dxa"/>
            <w:vAlign w:val="bottom"/>
            <w:shd w:val="clear" w:color="auto" w:fill="BFE4FF"/>
          </w:tcPr>
          <w:p>
            <w:pPr>
              <w:spacing w:after="0"/>
              <w:rPr>
                <w:sz w:val="21"/>
                <w:szCs w:val="21"/>
                <w:color w:val="auto"/>
              </w:rPr>
            </w:pPr>
          </w:p>
        </w:tc>
      </w:tr>
      <w:tr>
        <w:trPr>
          <w:trHeight w:val="252"/>
        </w:trPr>
        <w:tc>
          <w:tcPr>
            <w:tcW w:w="560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53"/>
        </w:trPr>
        <w:tc>
          <w:tcPr>
            <w:tcW w:w="5600" w:type="dxa"/>
            <w:vAlign w:val="bottom"/>
            <w:shd w:val="clear" w:color="auto" w:fill="BFE4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BFE4FF"/>
          </w:tcPr>
          <w:p>
            <w:pPr>
              <w:spacing w:after="0"/>
              <w:rPr>
                <w:sz w:val="21"/>
                <w:szCs w:val="21"/>
                <w:color w:val="auto"/>
              </w:rPr>
            </w:pPr>
          </w:p>
        </w:tc>
        <w:tc>
          <w:tcPr>
            <w:tcW w:w="1500" w:type="dxa"/>
            <w:vAlign w:val="bottom"/>
            <w:tcBorders>
              <w:bottom w:val="single" w:sz="8" w:color="auto"/>
            </w:tcBorders>
            <w:shd w:val="clear" w:color="auto" w:fill="BFE4FF"/>
          </w:tcPr>
          <w:p>
            <w:pPr>
              <w:jc w:val="right"/>
              <w:ind w:right="14"/>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BFE4FF"/>
          </w:tcPr>
          <w:p>
            <w:pPr>
              <w:spacing w:after="0"/>
              <w:rPr>
                <w:sz w:val="21"/>
                <w:szCs w:val="21"/>
                <w:color w:val="auto"/>
              </w:rPr>
            </w:pPr>
          </w:p>
        </w:tc>
        <w:tc>
          <w:tcPr>
            <w:tcW w:w="200" w:type="dxa"/>
            <w:vAlign w:val="bottom"/>
            <w:tcBorders>
              <w:bottom w:val="single" w:sz="8" w:color="auto"/>
            </w:tcBorders>
            <w:shd w:val="clear" w:color="auto" w:fill="BFE4FF"/>
          </w:tcPr>
          <w:p>
            <w:pPr>
              <w:spacing w:after="0"/>
              <w:rPr>
                <w:sz w:val="21"/>
                <w:szCs w:val="21"/>
                <w:color w:val="auto"/>
              </w:rPr>
            </w:pPr>
          </w:p>
        </w:tc>
        <w:tc>
          <w:tcPr>
            <w:tcW w:w="14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305</w:t>
            </w:r>
          </w:p>
        </w:tc>
      </w:tr>
      <w:tr>
        <w:trPr>
          <w:trHeight w:val="220"/>
        </w:trPr>
        <w:tc>
          <w:tcPr>
            <w:tcW w:w="560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As of September 30, 2023, the weighted average remaining lease term for our operating lease was 2.0 years, and the weighted average discount rate for our operating lease was 9.625%. As of December 31, 2022, the weighted average remaining lease term for our operating leases was 1.5 years, and the weighted average discount rate for our operating leases was 9.625%.</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minimum lease payments under the lease agreement as of September 30, 2023 were as follows (in thousands):</w:t>
      </w:r>
    </w:p>
    <w:p>
      <w:pPr>
        <w:spacing w:after="0" w:line="391" w:lineRule="exact"/>
        <w:rPr>
          <w:sz w:val="20"/>
          <w:szCs w:val="20"/>
          <w:color w:val="auto"/>
        </w:rPr>
      </w:pPr>
    </w:p>
    <w:tbl>
      <w:tblPr>
        <w:tblLayout w:type="fixed"/>
        <w:tblInd w:w="1080" w:type="dxa"/>
        <w:tblCellMar>
          <w:top w:w="0" w:type="dxa"/>
          <w:left w:w="0" w:type="dxa"/>
          <w:bottom w:w="0" w:type="dxa"/>
          <w:right w:w="0" w:type="dxa"/>
        </w:tblCellMar>
      </w:tblPr>
      <w:tr>
        <w:trPr>
          <w:trHeight w:val="211"/>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Years ended</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89"/>
              </w:rPr>
              <w:t>Operating Leases</w:t>
            </w:r>
          </w:p>
        </w:tc>
      </w:tr>
      <w:tr>
        <w:trPr>
          <w:trHeight w:val="236"/>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shd w:val="clear" w:color="auto" w:fill="BFE4FF"/>
          </w:tcPr>
          <w:p>
            <w:pPr>
              <w:spacing w:after="0"/>
              <w:rPr>
                <w:sz w:val="20"/>
                <w:szCs w:val="20"/>
                <w:color w:val="auto"/>
              </w:rPr>
            </w:pPr>
          </w:p>
        </w:tc>
        <w:tc>
          <w:tcPr>
            <w:tcW w:w="760" w:type="dxa"/>
            <w:vAlign w:val="bottom"/>
            <w:shd w:val="clear" w:color="auto" w:fill="BFE4FF"/>
          </w:tcPr>
          <w:p>
            <w:pPr>
              <w:jc w:val="right"/>
              <w:ind w:right="11"/>
              <w:spacing w:after="0"/>
              <w:rPr>
                <w:sz w:val="20"/>
                <w:szCs w:val="20"/>
                <w:color w:val="auto"/>
              </w:rPr>
            </w:pPr>
            <w:r>
              <w:rPr>
                <w:rFonts w:ascii="Arial" w:cs="Arial" w:eastAsia="Arial" w:hAnsi="Arial"/>
                <w:sz w:val="18"/>
                <w:szCs w:val="18"/>
                <w:color w:val="auto"/>
              </w:rPr>
              <w:t>48</w:t>
            </w:r>
          </w:p>
        </w:tc>
      </w:tr>
      <w:tr>
        <w:trPr>
          <w:trHeight w:val="252"/>
        </w:trPr>
        <w:tc>
          <w:tcPr>
            <w:tcW w:w="7860" w:type="dxa"/>
            <w:vAlign w:val="bottom"/>
          </w:tcPr>
          <w:p>
            <w:pPr>
              <w:ind w:left="20"/>
              <w:spacing w:after="0"/>
              <w:rPr>
                <w:sz w:val="20"/>
                <w:szCs w:val="20"/>
                <w:color w:val="auto"/>
              </w:rPr>
            </w:pPr>
            <w:r>
              <w:rPr>
                <w:rFonts w:ascii="Arial" w:cs="Arial" w:eastAsia="Arial" w:hAnsi="Arial"/>
                <w:sz w:val="18"/>
                <w:szCs w:val="18"/>
                <w:color w:val="auto"/>
              </w:rPr>
              <w:t>2024</w:t>
            </w:r>
          </w:p>
        </w:tc>
        <w:tc>
          <w:tcPr>
            <w:tcW w:w="48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190</w:t>
            </w:r>
          </w:p>
        </w:tc>
      </w:tr>
      <w:tr>
        <w:trPr>
          <w:trHeight w:val="253"/>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2025</w:t>
            </w:r>
          </w:p>
        </w:tc>
        <w:tc>
          <w:tcPr>
            <w:tcW w:w="480" w:type="dxa"/>
            <w:vAlign w:val="bottom"/>
            <w:tcBorders>
              <w:bottom w:val="single" w:sz="8" w:color="auto"/>
            </w:tcBorders>
            <w:shd w:val="clear" w:color="auto" w:fill="BFE4FF"/>
          </w:tcPr>
          <w:p>
            <w:pPr>
              <w:spacing w:after="0"/>
              <w:rPr>
                <w:sz w:val="21"/>
                <w:szCs w:val="21"/>
                <w:color w:val="auto"/>
              </w:rPr>
            </w:pPr>
          </w:p>
        </w:tc>
        <w:tc>
          <w:tcPr>
            <w:tcW w:w="760" w:type="dxa"/>
            <w:vAlign w:val="bottom"/>
            <w:tcBorders>
              <w:bottom w:val="single" w:sz="8" w:color="auto"/>
            </w:tcBorders>
            <w:shd w:val="clear" w:color="auto" w:fill="BFE4FF"/>
          </w:tcPr>
          <w:p>
            <w:pPr>
              <w:jc w:val="right"/>
              <w:ind w:right="11"/>
              <w:spacing w:after="0"/>
              <w:rPr>
                <w:sz w:val="20"/>
                <w:szCs w:val="20"/>
                <w:color w:val="auto"/>
              </w:rPr>
            </w:pPr>
            <w:r>
              <w:rPr>
                <w:rFonts w:ascii="Arial" w:cs="Arial" w:eastAsia="Arial" w:hAnsi="Arial"/>
                <w:sz w:val="18"/>
                <w:szCs w:val="18"/>
                <w:color w:val="auto"/>
              </w:rPr>
              <w:t>143</w:t>
            </w:r>
          </w:p>
        </w:tc>
      </w:tr>
      <w:tr>
        <w:trPr>
          <w:trHeight w:val="233"/>
        </w:trPr>
        <w:tc>
          <w:tcPr>
            <w:tcW w:w="786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8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381</w:t>
            </w:r>
          </w:p>
        </w:tc>
      </w:tr>
      <w:tr>
        <w:trPr>
          <w:trHeight w:val="253"/>
        </w:trPr>
        <w:tc>
          <w:tcPr>
            <w:tcW w:w="7860" w:type="dxa"/>
            <w:vAlign w:val="bottom"/>
            <w:shd w:val="clear" w:color="auto" w:fill="BFE4FF"/>
          </w:tcPr>
          <w:p>
            <w:pPr>
              <w:ind w:left="20"/>
              <w:spacing w:after="0"/>
              <w:rPr>
                <w:sz w:val="20"/>
                <w:szCs w:val="20"/>
                <w:color w:val="auto"/>
              </w:rPr>
            </w:pPr>
            <w:r>
              <w:rPr>
                <w:rFonts w:ascii="Arial" w:cs="Arial" w:eastAsia="Arial" w:hAnsi="Arial"/>
                <w:sz w:val="18"/>
                <w:szCs w:val="18"/>
                <w:color w:val="auto"/>
              </w:rPr>
              <w:t>Less: Amounts representing interest</w:t>
            </w:r>
          </w:p>
        </w:tc>
        <w:tc>
          <w:tcPr>
            <w:tcW w:w="480" w:type="dxa"/>
            <w:vAlign w:val="bottom"/>
            <w:tcBorders>
              <w:bottom w:val="single" w:sz="8" w:color="auto"/>
            </w:tcBorders>
            <w:shd w:val="clear" w:color="auto" w:fill="BFE4FF"/>
          </w:tcPr>
          <w:p>
            <w:pPr>
              <w:spacing w:after="0"/>
              <w:rPr>
                <w:sz w:val="21"/>
                <w:szCs w:val="21"/>
                <w:color w:val="auto"/>
              </w:rPr>
            </w:pPr>
          </w:p>
        </w:tc>
        <w:tc>
          <w:tcPr>
            <w:tcW w:w="76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8"/>
                <w:szCs w:val="18"/>
                <w:color w:val="auto"/>
              </w:rPr>
              <w:t>(36)</w:t>
            </w:r>
          </w:p>
        </w:tc>
      </w:tr>
      <w:tr>
        <w:trPr>
          <w:trHeight w:val="220"/>
        </w:trPr>
        <w:tc>
          <w:tcPr>
            <w:tcW w:w="7860" w:type="dxa"/>
            <w:vAlign w:val="bottom"/>
          </w:tcPr>
          <w:p>
            <w:pPr>
              <w:ind w:left="20"/>
              <w:spacing w:after="0"/>
              <w:rPr>
                <w:sz w:val="20"/>
                <w:szCs w:val="20"/>
                <w:color w:val="auto"/>
              </w:rPr>
            </w:pPr>
            <w:r>
              <w:rPr>
                <w:rFonts w:ascii="Arial" w:cs="Arial" w:eastAsia="Arial" w:hAnsi="Arial"/>
                <w:sz w:val="18"/>
                <w:szCs w:val="18"/>
                <w:color w:val="auto"/>
              </w:rPr>
              <w:t>Present value of lease liabilities</w:t>
            </w: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r>
      <w:tr>
        <w:trPr>
          <w:trHeight w:val="20"/>
        </w:trPr>
        <w:tc>
          <w:tcPr>
            <w:tcW w:w="78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52"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On September 14, 2022, in connection with the Merger, we implemented the Reverse Stock Split, as described in Note 1. All share and per share amounts of common stock, options and warrants in the accompanying financial statements have been restated for all periods presented to give retroactive effect to the Reverse Stock Split. Accordingly, the consolidated statements of equity reflect the impact of the Reverse Stock Split by reclassifying from “common stock” to “additional paid-in capital” in an amount equal to the par value of the decreased shares resulting from the Reverse Stock Split.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Issuances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 The Market Offering Agreement</w:t>
      </w:r>
    </w:p>
    <w:p>
      <w:pPr>
        <w:spacing w:after="0" w:line="152"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During the nine months ended September 30, 2023, the Company issued 64,394 shares of common stock under the ATM Agreement for net proceeds of $270,774. Since inception, the Company has issued 64,394 shares of common stock under the ATM Agreement for net proceeds of $270,774.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Common Stock</w:t>
      </w:r>
    </w:p>
    <w:p>
      <w:pPr>
        <w:spacing w:after="0" w:line="152"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color w:val="auto"/>
        </w:rPr>
        <w:t>In connection with the Merger closing on September 15, 2022, the Company issued an aggregate of 3,772,768 shares of common stock, based on the Exchange Ratio, to holders of Cend, in exchange for all of the Cend capital stock outstanding immediately prior to the closing of the Merger.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17" w:lineRule="exact"/>
        <w:rPr>
          <w:sz w:val="20"/>
          <w:szCs w:val="20"/>
          <w:color w:val="auto"/>
        </w:rPr>
      </w:pPr>
    </w:p>
    <w:p>
      <w:pPr>
        <w:jc w:val="both"/>
        <w:ind w:firstLine="320"/>
        <w:spacing w:after="0" w:line="249" w:lineRule="auto"/>
        <w:rPr>
          <w:sz w:val="20"/>
          <w:szCs w:val="20"/>
          <w:color w:val="auto"/>
        </w:rPr>
      </w:pPr>
      <w:r>
        <w:rPr>
          <w:rFonts w:ascii="Arial" w:cs="Arial" w:eastAsia="Arial" w:hAnsi="Arial"/>
          <w:sz w:val="18"/>
          <w:szCs w:val="18"/>
          <w:color w:val="auto"/>
        </w:rPr>
        <w:t>In connection with the Merger and after giving effect to the Reverse Stock Split, the Company assumed 1,227,776 options outstanding of Cend. The options granted under the Cend Plan are exercisable at various dates as determined upon grant and will expire no more than ten years from their original date of grant. The Cend Plan stock options generally vest over a four-year term. The following table summarizes the activity for stock options and warrants for the nine months ended September 30, 2023:</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4"/>
          </w:tcPr>
          <w:p>
            <w:pPr>
              <w:ind w:left="500"/>
              <w:spacing w:after="0"/>
              <w:rPr>
                <w:sz w:val="20"/>
                <w:szCs w:val="20"/>
                <w:color w:val="auto"/>
              </w:rPr>
            </w:pPr>
            <w:r>
              <w:rPr>
                <w:rFonts w:ascii="Arial" w:cs="Arial" w:eastAsia="Arial" w:hAnsi="Arial"/>
                <w:sz w:val="14"/>
                <w:szCs w:val="14"/>
                <w:color w:val="auto"/>
              </w:rPr>
              <w:t>Stock Options</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4"/>
          </w:tcPr>
          <w:p>
            <w:pPr>
              <w:ind w:left="720"/>
              <w:spacing w:after="0"/>
              <w:rPr>
                <w:sz w:val="20"/>
                <w:szCs w:val="20"/>
                <w:color w:val="auto"/>
              </w:rPr>
            </w:pPr>
            <w:r>
              <w:rPr>
                <w:rFonts w:ascii="Arial" w:cs="Arial" w:eastAsia="Arial" w:hAnsi="Arial"/>
                <w:sz w:val="14"/>
                <w:szCs w:val="14"/>
                <w:color w:val="auto"/>
              </w:rPr>
              <w:t>Warrants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6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3"/>
        </w:trPr>
        <w:tc>
          <w:tcPr>
            <w:tcW w:w="26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tcPr>
          <w:p>
            <w:pPr>
              <w:jc w:val="right"/>
              <w:ind w:right="140"/>
              <w:spacing w:after="0" w:line="113" w:lineRule="exact"/>
              <w:rPr>
                <w:sz w:val="20"/>
                <w:szCs w:val="20"/>
                <w:color w:val="auto"/>
              </w:rPr>
            </w:pPr>
            <w:r>
              <w:rPr>
                <w:rFonts w:ascii="Arial" w:cs="Arial" w:eastAsia="Arial" w:hAnsi="Arial"/>
                <w:sz w:val="12"/>
                <w:szCs w:val="12"/>
                <w:color w:val="auto"/>
                <w:w w:val="93"/>
              </w:rPr>
              <w:t>Weighted Average</w:t>
            </w:r>
          </w:p>
        </w:tc>
        <w:tc>
          <w:tcPr>
            <w:tcW w:w="1120" w:type="dxa"/>
            <w:vAlign w:val="bottom"/>
            <w:gridSpan w:val="3"/>
            <w:vMerge w:val="restart"/>
          </w:tcPr>
          <w:p>
            <w:pPr>
              <w:ind w:left="20"/>
              <w:spacing w:after="0"/>
              <w:rPr>
                <w:sz w:val="20"/>
                <w:szCs w:val="20"/>
                <w:color w:val="auto"/>
              </w:rPr>
            </w:pPr>
            <w:r>
              <w:rPr>
                <w:rFonts w:ascii="Arial" w:cs="Arial" w:eastAsia="Arial" w:hAnsi="Arial"/>
                <w:sz w:val="12"/>
                <w:szCs w:val="12"/>
                <w:color w:val="auto"/>
              </w:rPr>
              <w:t>Aggregate Intrinsic</w:t>
            </w: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2"/>
          </w:tcPr>
          <w:p>
            <w:pPr>
              <w:jc w:val="right"/>
              <w:ind w:right="120"/>
              <w:spacing w:after="0" w:line="113" w:lineRule="exact"/>
              <w:rPr>
                <w:sz w:val="20"/>
                <w:szCs w:val="20"/>
                <w:color w:val="auto"/>
              </w:rPr>
            </w:pPr>
            <w:r>
              <w:rPr>
                <w:rFonts w:ascii="Arial" w:cs="Arial" w:eastAsia="Arial" w:hAnsi="Arial"/>
                <w:sz w:val="12"/>
                <w:szCs w:val="12"/>
                <w:color w:val="auto"/>
                <w:w w:val="93"/>
              </w:rPr>
              <w:t>Weighted Average</w:t>
            </w:r>
          </w:p>
        </w:tc>
        <w:tc>
          <w:tcPr>
            <w:tcW w:w="1020" w:type="dxa"/>
            <w:vAlign w:val="bottom"/>
            <w:gridSpan w:val="2"/>
            <w:vMerge w:val="restart"/>
          </w:tcPr>
          <w:p>
            <w:pPr>
              <w:ind w:left="40"/>
              <w:spacing w:after="0"/>
              <w:rPr>
                <w:sz w:val="20"/>
                <w:szCs w:val="20"/>
                <w:color w:val="auto"/>
              </w:rPr>
            </w:pPr>
            <w:r>
              <w:rPr>
                <w:rFonts w:ascii="Arial" w:cs="Arial" w:eastAsia="Arial" w:hAnsi="Arial"/>
                <w:sz w:val="12"/>
                <w:szCs w:val="12"/>
                <w:color w:val="auto"/>
                <w:w w:val="95"/>
              </w:rPr>
              <w:t>Aggregate Intrinsic</w:t>
            </w:r>
          </w:p>
        </w:tc>
        <w:tc>
          <w:tcPr>
            <w:tcW w:w="0" w:type="dxa"/>
            <w:vAlign w:val="bottom"/>
          </w:tcPr>
          <w:p>
            <w:pPr>
              <w:spacing w:after="0"/>
              <w:rPr>
                <w:sz w:val="1"/>
                <w:szCs w:val="1"/>
                <w:color w:val="auto"/>
              </w:rPr>
            </w:pPr>
          </w:p>
        </w:tc>
      </w:tr>
      <w:tr>
        <w:trPr>
          <w:trHeight w:val="120"/>
        </w:trPr>
        <w:tc>
          <w:tcPr>
            <w:tcW w:w="26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auto"/>
                <w:w w:val="94"/>
              </w:rPr>
              <w:t>Remaining</w:t>
            </w:r>
          </w:p>
        </w:tc>
        <w:tc>
          <w:tcPr>
            <w:tcW w:w="1120" w:type="dxa"/>
            <w:vAlign w:val="bottom"/>
            <w:gridSpan w:val="3"/>
            <w:vMerge w:val="continue"/>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100"/>
              <w:spacing w:after="0" w:line="120" w:lineRule="exact"/>
              <w:rPr>
                <w:sz w:val="20"/>
                <w:szCs w:val="20"/>
                <w:color w:val="auto"/>
              </w:rPr>
            </w:pPr>
            <w:r>
              <w:rPr>
                <w:rFonts w:ascii="Arial" w:cs="Arial" w:eastAsia="Arial" w:hAnsi="Arial"/>
                <w:sz w:val="12"/>
                <w:szCs w:val="12"/>
                <w:color w:val="auto"/>
                <w:w w:val="97"/>
              </w:rPr>
              <w:t>Remaining</w:t>
            </w: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640" w:type="dxa"/>
            <w:vAlign w:val="bottom"/>
          </w:tcPr>
          <w:p>
            <w:pPr>
              <w:spacing w:after="0"/>
              <w:rPr>
                <w:sz w:val="11"/>
                <w:szCs w:val="11"/>
                <w:color w:val="auto"/>
              </w:rPr>
            </w:pPr>
          </w:p>
        </w:tc>
        <w:tc>
          <w:tcPr>
            <w:tcW w:w="1140" w:type="dxa"/>
            <w:vAlign w:val="bottom"/>
            <w:gridSpan w:val="2"/>
            <w:vMerge w:val="restart"/>
          </w:tcPr>
          <w:p>
            <w:pPr>
              <w:ind w:left="360"/>
              <w:spacing w:after="0"/>
              <w:rPr>
                <w:sz w:val="20"/>
                <w:szCs w:val="20"/>
                <w:color w:val="auto"/>
              </w:rPr>
            </w:pPr>
            <w:r>
              <w:rPr>
                <w:rFonts w:ascii="Arial" w:cs="Arial" w:eastAsia="Arial" w:hAnsi="Arial"/>
                <w:sz w:val="12"/>
                <w:szCs w:val="12"/>
                <w:color w:val="auto"/>
              </w:rPr>
              <w:t>Shares</w:t>
            </w: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color w:val="auto"/>
              </w:rPr>
              <w:t>Weighted Average</w:t>
            </w:r>
          </w:p>
        </w:tc>
        <w:tc>
          <w:tcPr>
            <w:tcW w:w="1080" w:type="dxa"/>
            <w:vAlign w:val="bottom"/>
            <w:gridSpan w:val="2"/>
          </w:tcPr>
          <w:p>
            <w:pPr>
              <w:jc w:val="center"/>
              <w:ind w:right="120"/>
              <w:spacing w:after="0" w:line="133" w:lineRule="exact"/>
              <w:rPr>
                <w:sz w:val="20"/>
                <w:szCs w:val="20"/>
                <w:color w:val="auto"/>
              </w:rPr>
            </w:pPr>
            <w:r>
              <w:rPr>
                <w:rFonts w:ascii="Arial" w:cs="Arial" w:eastAsia="Arial" w:hAnsi="Arial"/>
                <w:sz w:val="12"/>
                <w:szCs w:val="12"/>
                <w:color w:val="auto"/>
                <w:w w:val="94"/>
              </w:rPr>
              <w:t>Contractual Term</w:t>
            </w: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3" w:lineRule="exact"/>
              <w:rPr>
                <w:sz w:val="20"/>
                <w:szCs w:val="20"/>
                <w:color w:val="auto"/>
              </w:rPr>
            </w:pPr>
            <w:r>
              <w:rPr>
                <w:rFonts w:ascii="Arial" w:cs="Arial" w:eastAsia="Arial" w:hAnsi="Arial"/>
                <w:sz w:val="12"/>
                <w:szCs w:val="12"/>
                <w:color w:val="auto"/>
                <w:w w:val="95"/>
              </w:rPr>
              <w:t>Value (In</w:t>
            </w:r>
          </w:p>
        </w:tc>
        <w:tc>
          <w:tcPr>
            <w:tcW w:w="1020" w:type="dxa"/>
            <w:vAlign w:val="bottom"/>
            <w:gridSpan w:val="2"/>
            <w:vMerge w:val="restart"/>
          </w:tcPr>
          <w:p>
            <w:pPr>
              <w:ind w:left="280"/>
              <w:spacing w:after="0"/>
              <w:rPr>
                <w:sz w:val="20"/>
                <w:szCs w:val="20"/>
                <w:color w:val="auto"/>
              </w:rPr>
            </w:pPr>
            <w:r>
              <w:rPr>
                <w:rFonts w:ascii="Arial" w:cs="Arial" w:eastAsia="Arial" w:hAnsi="Arial"/>
                <w:sz w:val="12"/>
                <w:szCs w:val="12"/>
                <w:color w:val="auto"/>
              </w:rPr>
              <w:t>Shares</w:t>
            </w:r>
          </w:p>
        </w:tc>
        <w:tc>
          <w:tcPr>
            <w:tcW w:w="1060" w:type="dxa"/>
            <w:vAlign w:val="bottom"/>
            <w:gridSpan w:val="3"/>
          </w:tcPr>
          <w:p>
            <w:pPr>
              <w:ind w:left="20"/>
              <w:spacing w:after="0" w:line="133" w:lineRule="exact"/>
              <w:rPr>
                <w:sz w:val="20"/>
                <w:szCs w:val="20"/>
                <w:color w:val="auto"/>
              </w:rPr>
            </w:pPr>
            <w:r>
              <w:rPr>
                <w:rFonts w:ascii="Arial" w:cs="Arial" w:eastAsia="Arial" w:hAnsi="Arial"/>
                <w:sz w:val="12"/>
                <w:szCs w:val="12"/>
                <w:color w:val="auto"/>
              </w:rPr>
              <w:t>Weighted Average</w:t>
            </w:r>
          </w:p>
        </w:tc>
        <w:tc>
          <w:tcPr>
            <w:tcW w:w="1060" w:type="dxa"/>
            <w:vAlign w:val="bottom"/>
            <w:gridSpan w:val="2"/>
          </w:tcPr>
          <w:p>
            <w:pPr>
              <w:jc w:val="center"/>
              <w:ind w:right="100"/>
              <w:spacing w:after="0" w:line="133" w:lineRule="exact"/>
              <w:rPr>
                <w:sz w:val="20"/>
                <w:szCs w:val="20"/>
                <w:color w:val="auto"/>
              </w:rPr>
            </w:pPr>
            <w:r>
              <w:rPr>
                <w:rFonts w:ascii="Arial" w:cs="Arial" w:eastAsia="Arial" w:hAnsi="Arial"/>
                <w:sz w:val="12"/>
                <w:szCs w:val="12"/>
                <w:color w:val="auto"/>
                <w:w w:val="94"/>
              </w:rPr>
              <w:t>Contractual Term</w:t>
            </w:r>
          </w:p>
        </w:tc>
        <w:tc>
          <w:tcPr>
            <w:tcW w:w="160" w:type="dxa"/>
            <w:vAlign w:val="bottom"/>
          </w:tcPr>
          <w:p>
            <w:pPr>
              <w:spacing w:after="0"/>
              <w:rPr>
                <w:sz w:val="11"/>
                <w:szCs w:val="11"/>
                <w:color w:val="auto"/>
              </w:rPr>
            </w:pPr>
          </w:p>
        </w:tc>
        <w:tc>
          <w:tcPr>
            <w:tcW w:w="860" w:type="dxa"/>
            <w:vAlign w:val="bottom"/>
          </w:tcPr>
          <w:p>
            <w:pPr>
              <w:ind w:left="120"/>
              <w:spacing w:after="0" w:line="133" w:lineRule="exact"/>
              <w:rPr>
                <w:sz w:val="20"/>
                <w:szCs w:val="20"/>
                <w:color w:val="auto"/>
              </w:rPr>
            </w:pPr>
            <w:r>
              <w:rPr>
                <w:rFonts w:ascii="Arial" w:cs="Arial" w:eastAsia="Arial" w:hAnsi="Arial"/>
                <w:sz w:val="12"/>
                <w:szCs w:val="12"/>
                <w:color w:val="auto"/>
              </w:rPr>
              <w:t>Value (In</w:t>
            </w:r>
          </w:p>
        </w:tc>
        <w:tc>
          <w:tcPr>
            <w:tcW w:w="0" w:type="dxa"/>
            <w:vAlign w:val="bottom"/>
          </w:tcPr>
          <w:p>
            <w:pPr>
              <w:spacing w:after="0"/>
              <w:rPr>
                <w:sz w:val="1"/>
                <w:szCs w:val="1"/>
                <w:color w:val="auto"/>
              </w:rPr>
            </w:pPr>
          </w:p>
        </w:tc>
      </w:tr>
      <w:tr>
        <w:trPr>
          <w:trHeight w:val="166"/>
        </w:trPr>
        <w:tc>
          <w:tcPr>
            <w:tcW w:w="26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Exercise Price</w:t>
            </w:r>
          </w:p>
        </w:tc>
        <w:tc>
          <w:tcPr>
            <w:tcW w:w="108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(Years)</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2"/>
                <w:szCs w:val="12"/>
                <w:color w:val="auto"/>
                <w:w w:val="91"/>
              </w:rPr>
              <w:t>Thousands)</w:t>
            </w:r>
          </w:p>
        </w:tc>
        <w:tc>
          <w:tcPr>
            <w:tcW w:w="10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2"/>
                <w:szCs w:val="12"/>
                <w:color w:val="auto"/>
              </w:rPr>
              <w:t>Exercise Price</w:t>
            </w:r>
          </w:p>
        </w:tc>
        <w:tc>
          <w:tcPr>
            <w:tcW w:w="1060" w:type="dxa"/>
            <w:vAlign w:val="bottom"/>
            <w:gridSpan w:val="2"/>
          </w:tcPr>
          <w:p>
            <w:pPr>
              <w:jc w:val="center"/>
              <w:ind w:right="100"/>
              <w:spacing w:after="0"/>
              <w:rPr>
                <w:sz w:val="20"/>
                <w:szCs w:val="20"/>
                <w:color w:val="auto"/>
              </w:rPr>
            </w:pPr>
            <w:r>
              <w:rPr>
                <w:rFonts w:ascii="Arial" w:cs="Arial" w:eastAsia="Arial" w:hAnsi="Arial"/>
                <w:sz w:val="12"/>
                <w:szCs w:val="12"/>
                <w:color w:val="auto"/>
                <w:w w:val="91"/>
              </w:rPr>
              <w:t>(Years)</w:t>
            </w:r>
          </w:p>
        </w:tc>
        <w:tc>
          <w:tcPr>
            <w:tcW w:w="160" w:type="dxa"/>
            <w:vAlign w:val="bottom"/>
          </w:tcPr>
          <w:p>
            <w:pPr>
              <w:spacing w:after="0"/>
              <w:rPr>
                <w:sz w:val="14"/>
                <w:szCs w:val="14"/>
                <w:color w:val="auto"/>
              </w:rPr>
            </w:pPr>
          </w:p>
        </w:tc>
        <w:tc>
          <w:tcPr>
            <w:tcW w:w="860" w:type="dxa"/>
            <w:vAlign w:val="bottom"/>
          </w:tcPr>
          <w:p>
            <w:pPr>
              <w:ind w:left="60"/>
              <w:spacing w:after="0"/>
              <w:rPr>
                <w:sz w:val="20"/>
                <w:szCs w:val="20"/>
                <w:color w:val="auto"/>
              </w:rPr>
            </w:pPr>
            <w:r>
              <w:rPr>
                <w:rFonts w:ascii="Arial" w:cs="Arial" w:eastAsia="Arial" w:hAnsi="Arial"/>
                <w:sz w:val="12"/>
                <w:szCs w:val="12"/>
                <w:color w:val="auto"/>
              </w:rPr>
              <w:t>Thousands)</w:t>
            </w:r>
          </w:p>
        </w:tc>
        <w:tc>
          <w:tcPr>
            <w:tcW w:w="0" w:type="dxa"/>
            <w:vAlign w:val="bottom"/>
          </w:tcPr>
          <w:p>
            <w:pPr>
              <w:spacing w:after="0"/>
              <w:rPr>
                <w:sz w:val="1"/>
                <w:szCs w:val="1"/>
                <w:color w:val="auto"/>
              </w:rPr>
            </w:pPr>
          </w:p>
        </w:tc>
      </w:tr>
      <w:tr>
        <w:trPr>
          <w:trHeight w:val="200"/>
        </w:trPr>
        <w:tc>
          <w:tcPr>
            <w:tcW w:w="2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Outstanding at December 31, 2022</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1,391,352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7.03</w:t>
            </w:r>
          </w:p>
        </w:tc>
        <w:tc>
          <w:tcPr>
            <w:tcW w:w="1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w:t>
            </w:r>
          </w:p>
        </w:tc>
        <w:tc>
          <w:tcPr>
            <w:tcW w:w="1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1,423,774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42.57</w:t>
            </w: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3"/>
        </w:trPr>
        <w:tc>
          <w:tcPr>
            <w:tcW w:w="26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Changes during the period:</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140"/>
              <w:spacing w:after="0"/>
              <w:rPr>
                <w:sz w:val="20"/>
                <w:szCs w:val="20"/>
                <w:color w:val="auto"/>
              </w:rPr>
            </w:pPr>
            <w:r>
              <w:rPr>
                <w:rFonts w:ascii="Arial" w:cs="Arial" w:eastAsia="Arial" w:hAnsi="Arial"/>
                <w:sz w:val="14"/>
                <w:szCs w:val="14"/>
                <w:color w:val="auto"/>
              </w:rPr>
              <w:t>Granted</w:t>
            </w:r>
          </w:p>
        </w:tc>
        <w:tc>
          <w:tcPr>
            <w:tcW w:w="1040" w:type="dxa"/>
            <w:vAlign w:val="bottom"/>
          </w:tcPr>
          <w:p>
            <w:pPr>
              <w:jc w:val="right"/>
              <w:spacing w:after="0"/>
              <w:rPr>
                <w:sz w:val="20"/>
                <w:szCs w:val="20"/>
                <w:color w:val="auto"/>
              </w:rPr>
            </w:pPr>
            <w:r>
              <w:rPr>
                <w:rFonts w:ascii="Arial" w:cs="Arial" w:eastAsia="Arial" w:hAnsi="Arial"/>
                <w:sz w:val="14"/>
                <w:szCs w:val="14"/>
                <w:color w:val="auto"/>
              </w:rPr>
              <w:t>180,896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Exercised</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640" w:type="dxa"/>
            <w:vAlign w:val="bottom"/>
          </w:tcPr>
          <w:p>
            <w:pPr>
              <w:ind w:left="140"/>
              <w:spacing w:after="0"/>
              <w:rPr>
                <w:sz w:val="20"/>
                <w:szCs w:val="20"/>
                <w:color w:val="auto"/>
              </w:rPr>
            </w:pPr>
            <w:r>
              <w:rPr>
                <w:rFonts w:ascii="Arial" w:cs="Arial" w:eastAsia="Arial" w:hAnsi="Arial"/>
                <w:sz w:val="14"/>
                <w:szCs w:val="14"/>
                <w:color w:val="auto"/>
              </w:rPr>
              <w:t>Forfeited</w:t>
            </w:r>
          </w:p>
        </w:tc>
        <w:tc>
          <w:tcPr>
            <w:tcW w:w="1040" w:type="dxa"/>
            <w:vAlign w:val="bottom"/>
          </w:tcPr>
          <w:p>
            <w:pPr>
              <w:jc w:val="right"/>
              <w:spacing w:after="0"/>
              <w:rPr>
                <w:sz w:val="20"/>
                <w:szCs w:val="20"/>
                <w:color w:val="auto"/>
              </w:rPr>
            </w:pPr>
            <w:r>
              <w:rPr>
                <w:rFonts w:ascii="Arial" w:cs="Arial" w:eastAsia="Arial" w:hAnsi="Arial"/>
                <w:sz w:val="14"/>
                <w:szCs w:val="14"/>
                <w:color w:val="auto"/>
              </w:rPr>
              <w:t>(144,594)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Expired</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(24,603)</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(2,000)</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88.35</w:t>
            </w:r>
          </w:p>
        </w:tc>
        <w:tc>
          <w:tcPr>
            <w:tcW w:w="1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640" w:type="dxa"/>
            <w:vAlign w:val="bottom"/>
          </w:tcPr>
          <w:p>
            <w:pPr>
              <w:ind w:left="20"/>
              <w:spacing w:after="0"/>
              <w:rPr>
                <w:sz w:val="20"/>
                <w:szCs w:val="20"/>
                <w:color w:val="auto"/>
              </w:rPr>
            </w:pPr>
            <w:r>
              <w:rPr>
                <w:rFonts w:ascii="Arial" w:cs="Arial" w:eastAsia="Arial" w:hAnsi="Arial"/>
                <w:sz w:val="14"/>
                <w:szCs w:val="14"/>
                <w:color w:val="auto"/>
              </w:rPr>
              <w:t>Outstanding at September 30,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1,320,551</w:t>
            </w:r>
          </w:p>
        </w:tc>
        <w:tc>
          <w:tcPr>
            <w:tcW w:w="10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10.82</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78.7</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1,421,744</w:t>
            </w:r>
          </w:p>
        </w:tc>
        <w:tc>
          <w:tcPr>
            <w:tcW w:w="120" w:type="dxa"/>
            <w:vAlign w:val="bottom"/>
          </w:tcPr>
          <w:p>
            <w:pPr>
              <w:spacing w:after="0"/>
              <w:rPr>
                <w:sz w:val="17"/>
                <w:szCs w:val="17"/>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42.51</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shd w:val="clear" w:color="auto" w:fill="CCEEFF"/>
          </w:tcPr>
          <w:p>
            <w:pPr>
              <w:ind w:left="20"/>
              <w:spacing w:after="0" w:line="108" w:lineRule="exact"/>
              <w:rPr>
                <w:sz w:val="20"/>
                <w:szCs w:val="20"/>
                <w:color w:val="auto"/>
              </w:rPr>
            </w:pPr>
            <w:r>
              <w:rPr>
                <w:rFonts w:ascii="Arial" w:cs="Arial" w:eastAsia="Arial" w:hAnsi="Arial"/>
                <w:sz w:val="12"/>
                <w:szCs w:val="12"/>
                <w:color w:val="auto"/>
              </w:rPr>
              <w:t>Vested at September 30, 2023</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1,316,134</w:t>
            </w:r>
          </w:p>
        </w:tc>
        <w:tc>
          <w:tcPr>
            <w:tcW w:w="10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10.84</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6.29</w:t>
            </w:r>
          </w:p>
        </w:tc>
        <w:tc>
          <w:tcPr>
            <w:tcW w:w="12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78.7</w:t>
            </w:r>
          </w:p>
        </w:tc>
        <w:tc>
          <w:tcPr>
            <w:tcW w:w="10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1,421,744</w:t>
            </w:r>
          </w:p>
        </w:tc>
        <w:tc>
          <w:tcPr>
            <w:tcW w:w="12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ind w:right="10"/>
              <w:spacing w:after="0"/>
              <w:rPr>
                <w:sz w:val="20"/>
                <w:szCs w:val="20"/>
                <w:color w:val="auto"/>
              </w:rPr>
            </w:pPr>
            <w:r>
              <w:rPr>
                <w:rFonts w:ascii="Arial" w:cs="Arial" w:eastAsia="Arial" w:hAnsi="Arial"/>
                <w:sz w:val="14"/>
                <w:szCs w:val="14"/>
                <w:color w:val="auto"/>
              </w:rPr>
              <w:t>42.51</w:t>
            </w:r>
          </w:p>
        </w:tc>
        <w:tc>
          <w:tcPr>
            <w:tcW w:w="10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10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or expected to vest in the future</w:t>
            </w: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vMerge w:val="continue"/>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640" w:type="dxa"/>
            <w:vAlign w:val="bottom"/>
          </w:tcPr>
          <w:p>
            <w:pPr>
              <w:ind w:left="20"/>
              <w:spacing w:after="0"/>
              <w:rPr>
                <w:sz w:val="20"/>
                <w:szCs w:val="20"/>
                <w:color w:val="auto"/>
              </w:rPr>
            </w:pPr>
            <w:r>
              <w:rPr>
                <w:rFonts w:ascii="Arial" w:cs="Arial" w:eastAsia="Arial" w:hAnsi="Arial"/>
                <w:sz w:val="14"/>
                <w:szCs w:val="14"/>
                <w:color w:val="auto"/>
              </w:rPr>
              <w:t>Vested at September 30, 2023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1,229,103</w:t>
            </w:r>
          </w:p>
        </w:tc>
        <w:tc>
          <w:tcPr>
            <w:tcW w:w="10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11.25</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78.2</w:t>
            </w: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1,421,744</w:t>
            </w:r>
          </w:p>
        </w:tc>
        <w:tc>
          <w:tcPr>
            <w:tcW w:w="120" w:type="dxa"/>
            <w:vAlign w:val="bottom"/>
          </w:tcPr>
          <w:p>
            <w:pPr>
              <w:spacing w:after="0"/>
              <w:rPr>
                <w:sz w:val="15"/>
                <w:szCs w:val="15"/>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42.51</w:t>
            </w:r>
          </w:p>
        </w:tc>
        <w:tc>
          <w:tcPr>
            <w:tcW w:w="100" w:type="dxa"/>
            <w:vAlign w:val="bottom"/>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39"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nine months ended September 30, 2023 and 2022, the Company issued restricted stock for services as follows (in thousands, except share data):</w:t>
      </w:r>
    </w:p>
    <w:p>
      <w:pPr>
        <w:spacing w:after="0" w:line="152" w:lineRule="exact"/>
        <w:rPr>
          <w:sz w:val="20"/>
          <w:szCs w:val="20"/>
          <w:color w:val="auto"/>
        </w:rPr>
      </w:pPr>
    </w:p>
    <w:tbl>
      <w:tblPr>
        <w:tblLayout w:type="fixed"/>
        <w:tblInd w:w="1500" w:type="dxa"/>
        <w:tblCellMar>
          <w:top w:w="0" w:type="dxa"/>
          <w:left w:w="0" w:type="dxa"/>
          <w:bottom w:w="0" w:type="dxa"/>
          <w:right w:w="0" w:type="dxa"/>
        </w:tblCellMar>
      </w:tblPr>
      <w:tr>
        <w:trPr>
          <w:trHeight w:val="211"/>
        </w:trPr>
        <w:tc>
          <w:tcPr>
            <w:tcW w:w="55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7"/>
        </w:trPr>
        <w:tc>
          <w:tcPr>
            <w:tcW w:w="55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2023</w:t>
            </w:r>
          </w:p>
        </w:tc>
        <w:tc>
          <w:tcPr>
            <w:tcW w:w="2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r>
      <w:tr>
        <w:trPr>
          <w:trHeight w:val="247"/>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Number of restricted stock issued</w:t>
            </w:r>
          </w:p>
        </w:tc>
        <w:tc>
          <w:tcPr>
            <w:tcW w:w="2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159,950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70,740</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580" w:type="dxa"/>
            <w:vAlign w:val="bottom"/>
          </w:tcPr>
          <w:p>
            <w:pPr>
              <w:spacing w:after="0"/>
              <w:rPr>
                <w:sz w:val="20"/>
                <w:szCs w:val="20"/>
                <w:color w:val="auto"/>
              </w:rPr>
            </w:pPr>
            <w:r>
              <w:rPr>
                <w:rFonts w:ascii="Arial" w:cs="Arial" w:eastAsia="Arial" w:hAnsi="Arial"/>
                <w:sz w:val="16"/>
                <w:szCs w:val="16"/>
                <w:color w:val="auto"/>
              </w:rPr>
              <w:t>Value of restricted stock issued</w:t>
            </w:r>
          </w:p>
        </w:tc>
        <w:tc>
          <w:tcPr>
            <w:tcW w:w="2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973</w:t>
            </w:r>
          </w:p>
        </w:tc>
      </w:tr>
      <w:tr>
        <w:trPr>
          <w:trHeight w:val="20"/>
        </w:trPr>
        <w:tc>
          <w:tcPr>
            <w:tcW w:w="5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vesting terms of restricted stock issuances are generally between one and four years.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nine months ended September 30, 2023 and 2022, the Company issued restricted stock units for services as follows (in thousands, except share data):</w:t>
      </w:r>
    </w:p>
    <w:p>
      <w:pPr>
        <w:spacing w:after="0" w:line="152" w:lineRule="exact"/>
        <w:rPr>
          <w:sz w:val="20"/>
          <w:szCs w:val="20"/>
          <w:color w:val="auto"/>
        </w:rPr>
      </w:pPr>
    </w:p>
    <w:tbl>
      <w:tblPr>
        <w:tblLayout w:type="fixed"/>
        <w:tblInd w:w="1360" w:type="dxa"/>
        <w:tblCellMar>
          <w:top w:w="0" w:type="dxa"/>
          <w:left w:w="0" w:type="dxa"/>
          <w:bottom w:w="0" w:type="dxa"/>
          <w:right w:w="0" w:type="dxa"/>
        </w:tblCellMar>
      </w:tblPr>
      <w:tr>
        <w:trPr>
          <w:trHeight w:val="211"/>
        </w:trPr>
        <w:tc>
          <w:tcPr>
            <w:tcW w:w="5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207"/>
        </w:trPr>
        <w:tc>
          <w:tcPr>
            <w:tcW w:w="58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2023</w:t>
            </w: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r>
      <w:tr>
        <w:trPr>
          <w:trHeight w:val="247"/>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restricted stock units issued</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188,850</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111,170</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880" w:type="dxa"/>
            <w:vAlign w:val="bottom"/>
          </w:tcPr>
          <w:p>
            <w:pPr>
              <w:ind w:left="20"/>
              <w:spacing w:after="0"/>
              <w:rPr>
                <w:sz w:val="20"/>
                <w:szCs w:val="20"/>
                <w:color w:val="auto"/>
              </w:rPr>
            </w:pPr>
            <w:r>
              <w:rPr>
                <w:rFonts w:ascii="Arial" w:cs="Arial" w:eastAsia="Arial" w:hAnsi="Arial"/>
                <w:sz w:val="16"/>
                <w:szCs w:val="16"/>
                <w:color w:val="auto"/>
              </w:rPr>
              <w:t>Value of restricted stock units issued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c>
          <w:tcPr>
            <w:tcW w:w="140" w:type="dxa"/>
            <w:vAlign w:val="bottom"/>
          </w:tcPr>
          <w:p>
            <w:pPr>
              <w:spacing w:after="0"/>
              <w:rPr>
                <w:sz w:val="16"/>
                <w:szCs w:val="16"/>
                <w:color w:val="auto"/>
              </w:rPr>
            </w:pP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1,386</w:t>
            </w: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jc w:val="both"/>
        <w:ind w:firstLine="320"/>
        <w:spacing w:after="0" w:line="303" w:lineRule="auto"/>
        <w:rPr>
          <w:sz w:val="20"/>
          <w:szCs w:val="20"/>
          <w:color w:val="auto"/>
        </w:rPr>
      </w:pPr>
      <w:r>
        <w:rPr>
          <w:rFonts w:ascii="Arial" w:cs="Arial" w:eastAsia="Arial" w:hAnsi="Arial"/>
          <w:sz w:val="16"/>
          <w:szCs w:val="16"/>
          <w:color w:val="auto"/>
        </w:rPr>
        <w:t>The weighted average estimated fair value of restricted stock units issued for services in the nine months ended September 30, 2023 and 2022 was $3.00 and $12.46 per share, respectively. The fair value of the restricted stock units was determined using the Company’s closing stock price on the date of issuance. The vesting terms of restricted stock unit issuances are generally one year, or upon the achievement of performance-based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 Share-Based Compensation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52" w:lineRule="exact"/>
        <w:rPr>
          <w:sz w:val="20"/>
          <w:szCs w:val="20"/>
          <w:color w:val="auto"/>
        </w:rPr>
      </w:pPr>
    </w:p>
    <w:p>
      <w:pPr>
        <w:jc w:val="both"/>
        <w:ind w:right="100" w:firstLine="320"/>
        <w:spacing w:after="0" w:line="296" w:lineRule="auto"/>
        <w:rPr>
          <w:sz w:val="20"/>
          <w:szCs w:val="20"/>
          <w:color w:val="auto"/>
        </w:rPr>
      </w:pPr>
      <w:r>
        <w:rPr>
          <w:rFonts w:ascii="Arial" w:cs="Arial" w:eastAsia="Arial" w:hAnsi="Arial"/>
          <w:sz w:val="17"/>
          <w:szCs w:val="17"/>
          <w:color w:val="auto"/>
        </w:rPr>
        <w:t>We utilize share-based compensation in the form of stock options, restricted stock, and restricted stock units. The following table summarizes the components of share-based compensation expense for the three and nine months ended September 30, 2023 and 2022 (in thousands):</w:t>
      </w:r>
    </w:p>
    <w:p>
      <w:pPr>
        <w:spacing w:after="0" w:line="120"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320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50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5"/>
        </w:trPr>
        <w:tc>
          <w:tcPr>
            <w:tcW w:w="50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86"/>
        </w:trPr>
        <w:tc>
          <w:tcPr>
            <w:tcW w:w="50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2022</w:t>
            </w:r>
          </w:p>
        </w:tc>
      </w:tr>
      <w:tr>
        <w:trPr>
          <w:trHeight w:val="226"/>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26"/>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45"/>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940" w:type="dxa"/>
            <w:vAlign w:val="bottom"/>
            <w:tcBorders>
              <w:bottom w:val="single" w:sz="8" w:color="auto"/>
            </w:tcBorders>
            <w:shd w:val="clear" w:color="auto" w:fill="CCEEFF"/>
          </w:tcPr>
          <w:p>
            <w:pPr>
              <w:jc w:val="right"/>
              <w:ind w:right="76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3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4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both"/>
        <w:ind w:right="100" w:firstLine="320"/>
        <w:spacing w:after="0" w:line="266" w:lineRule="auto"/>
        <w:rPr>
          <w:sz w:val="20"/>
          <w:szCs w:val="20"/>
          <w:color w:val="auto"/>
        </w:rPr>
      </w:pPr>
      <w:r>
        <w:rPr>
          <w:rFonts w:ascii="Arial" w:cs="Arial" w:eastAsia="Arial" w:hAnsi="Arial"/>
          <w:sz w:val="18"/>
          <w:szCs w:val="18"/>
          <w:color w:val="auto"/>
        </w:rPr>
        <w:t>Total compensation cost related to unvested awards not yet recognized and the weighted-average periods over which the awards were expected to be recognized at September 30, 2023 were as follows (in thousands):</w:t>
      </w:r>
    </w:p>
    <w:p>
      <w:pPr>
        <w:spacing w:after="0" w:line="12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Options</w:t>
            </w: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Restricted Stock</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w w:val="92"/>
              </w:rPr>
              <w:t>Restricted Stock</w:t>
            </w:r>
          </w:p>
        </w:tc>
        <w:tc>
          <w:tcPr>
            <w:tcW w:w="0" w:type="dxa"/>
            <w:vAlign w:val="bottom"/>
          </w:tcPr>
          <w:p>
            <w:pPr>
              <w:spacing w:after="0"/>
              <w:rPr>
                <w:sz w:val="1"/>
                <w:szCs w:val="1"/>
                <w:color w:val="auto"/>
              </w:rPr>
            </w:pPr>
          </w:p>
        </w:tc>
      </w:tr>
      <w:tr>
        <w:trPr>
          <w:trHeight w:val="190"/>
        </w:trPr>
        <w:tc>
          <w:tcPr>
            <w:tcW w:w="7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Units</w:t>
            </w: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221</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161</w:t>
            </w:r>
          </w:p>
        </w:tc>
        <w:tc>
          <w:tcPr>
            <w:tcW w:w="14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6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9"/>
              </w:rPr>
              <w:t>483</w:t>
            </w:r>
          </w:p>
        </w:tc>
        <w:tc>
          <w:tcPr>
            <w:tcW w:w="0" w:type="dxa"/>
            <w:vAlign w:val="bottom"/>
          </w:tcPr>
          <w:p>
            <w:pPr>
              <w:spacing w:after="0"/>
              <w:rPr>
                <w:sz w:val="1"/>
                <w:szCs w:val="1"/>
                <w:color w:val="auto"/>
              </w:rPr>
            </w:pPr>
          </w:p>
        </w:tc>
      </w:tr>
      <w:tr>
        <w:trPr>
          <w:trHeight w:val="225"/>
        </w:trPr>
        <w:tc>
          <w:tcPr>
            <w:tcW w:w="7580" w:type="dxa"/>
            <w:vAlign w:val="bottom"/>
          </w:tcPr>
          <w:p>
            <w:pPr>
              <w:ind w:left="20"/>
              <w:spacing w:after="0"/>
              <w:rPr>
                <w:sz w:val="20"/>
                <w:szCs w:val="20"/>
                <w:color w:val="auto"/>
              </w:rPr>
            </w:pPr>
            <w:r>
              <w:rPr>
                <w:rFonts w:ascii="Arial" w:cs="Arial" w:eastAsia="Arial" w:hAnsi="Arial"/>
                <w:sz w:val="18"/>
                <w:szCs w:val="18"/>
                <w:color w:val="auto"/>
              </w:rPr>
              <w:t>Expected weighted-average period in years of compensation cost to be recognized</w:t>
            </w:r>
          </w:p>
        </w:tc>
        <w:tc>
          <w:tcPr>
            <w:tcW w:w="120" w:type="dxa"/>
            <w:vAlign w:val="bottom"/>
          </w:tcPr>
          <w:p>
            <w:pPr>
              <w:spacing w:after="0"/>
              <w:rPr>
                <w:sz w:val="19"/>
                <w:szCs w:val="19"/>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85"/>
              </w:rPr>
              <w:t>1.85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ind w:left="520"/>
              <w:spacing w:after="0"/>
              <w:rPr>
                <w:sz w:val="20"/>
                <w:szCs w:val="20"/>
                <w:color w:val="auto"/>
              </w:rPr>
            </w:pPr>
            <w:r>
              <w:rPr>
                <w:rFonts w:ascii="Arial" w:cs="Arial" w:eastAsia="Arial" w:hAnsi="Arial"/>
                <w:sz w:val="18"/>
                <w:szCs w:val="18"/>
                <w:color w:val="auto"/>
                <w:w w:val="91"/>
              </w:rPr>
              <w:t>1.10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ind w:left="340"/>
              <w:spacing w:after="0"/>
              <w:rPr>
                <w:sz w:val="20"/>
                <w:szCs w:val="20"/>
                <w:color w:val="auto"/>
              </w:rPr>
            </w:pPr>
            <w:r>
              <w:rPr>
                <w:rFonts w:ascii="Arial" w:cs="Arial" w:eastAsia="Arial" w:hAnsi="Arial"/>
                <w:sz w:val="18"/>
                <w:szCs w:val="18"/>
                <w:color w:val="auto"/>
                <w:w w:val="85"/>
              </w:rPr>
              <w:t>1.69</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right="100" w:firstLine="320"/>
        <w:spacing w:after="0" w:line="266" w:lineRule="auto"/>
        <w:rPr>
          <w:sz w:val="20"/>
          <w:szCs w:val="20"/>
          <w:color w:val="auto"/>
        </w:rPr>
      </w:pPr>
      <w:r>
        <w:rPr>
          <w:rFonts w:ascii="Arial" w:cs="Arial" w:eastAsia="Arial" w:hAnsi="Arial"/>
          <w:sz w:val="18"/>
          <w:szCs w:val="18"/>
          <w:color w:val="auto"/>
        </w:rPr>
        <w:t>Total fair value of shares vested and the weighted average estimated fair values of shares granted for the nine months ended September 30, 2023 and 2022 were as follows (in thousands):</w:t>
      </w:r>
    </w:p>
    <w:p>
      <w:pPr>
        <w:spacing w:after="0" w:line="10" w:lineRule="exact"/>
        <w:rPr>
          <w:sz w:val="20"/>
          <w:szCs w:val="20"/>
          <w:color w:val="auto"/>
        </w:rPr>
      </w:pPr>
    </w:p>
    <w:tbl>
      <w:tblPr>
        <w:tblLayout w:type="fixed"/>
        <w:tblInd w:w="1240" w:type="dxa"/>
        <w:tblCellMar>
          <w:top w:w="0" w:type="dxa"/>
          <w:left w:w="0" w:type="dxa"/>
          <w:bottom w:w="0" w:type="dxa"/>
          <w:right w:w="0" w:type="dxa"/>
        </w:tblCellMar>
      </w:tblPr>
      <w:tr>
        <w:trPr>
          <w:trHeight w:val="184"/>
        </w:trPr>
        <w:tc>
          <w:tcPr>
            <w:tcW w:w="6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Stock Options</w:t>
            </w:r>
          </w:p>
        </w:tc>
        <w:tc>
          <w:tcPr>
            <w:tcW w:w="820" w:type="dxa"/>
            <w:vAlign w:val="bottom"/>
          </w:tcPr>
          <w:p>
            <w:pPr>
              <w:spacing w:after="0"/>
              <w:rPr>
                <w:sz w:val="16"/>
                <w:szCs w:val="16"/>
                <w:color w:val="auto"/>
              </w:rPr>
            </w:pPr>
          </w:p>
        </w:tc>
      </w:tr>
      <w:tr>
        <w:trPr>
          <w:trHeight w:val="25"/>
        </w:trPr>
        <w:tc>
          <w:tcPr>
            <w:tcW w:w="6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4"/>
          </w:tcPr>
          <w:p>
            <w:pPr>
              <w:spacing w:after="0"/>
              <w:rPr>
                <w:sz w:val="2"/>
                <w:szCs w:val="2"/>
                <w:color w:val="auto"/>
              </w:rPr>
            </w:pPr>
          </w:p>
        </w:tc>
      </w:tr>
      <w:tr>
        <w:trPr>
          <w:trHeight w:val="186"/>
        </w:trPr>
        <w:tc>
          <w:tcPr>
            <w:tcW w:w="6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3"/>
        </w:trPr>
        <w:tc>
          <w:tcPr>
            <w:tcW w:w="6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2023</w:t>
            </w:r>
          </w:p>
        </w:tc>
        <w:tc>
          <w:tcPr>
            <w:tcW w:w="16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2022</w:t>
            </w:r>
          </w:p>
        </w:tc>
      </w:tr>
      <w:tr>
        <w:trPr>
          <w:trHeight w:val="25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Total fair value of shares vested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1,001</w:t>
            </w:r>
          </w:p>
        </w:tc>
        <w:tc>
          <w:tcPr>
            <w:tcW w:w="16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65"/>
        </w:trPr>
        <w:tc>
          <w:tcPr>
            <w:tcW w:w="6460" w:type="dxa"/>
            <w:vAlign w:val="bottom"/>
          </w:tcPr>
          <w:p>
            <w:pPr>
              <w:spacing w:after="0"/>
              <w:rPr>
                <w:sz w:val="20"/>
                <w:szCs w:val="20"/>
                <w:color w:val="auto"/>
              </w:rPr>
            </w:pPr>
            <w:r>
              <w:rPr>
                <w:rFonts w:ascii="Arial" w:cs="Arial" w:eastAsia="Arial" w:hAnsi="Arial"/>
                <w:sz w:val="18"/>
                <w:szCs w:val="18"/>
                <w:color w:val="auto"/>
              </w:rPr>
              <w:t>Weighted average estimated fair value of shares granted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23"/>
                <w:szCs w:val="23"/>
                <w:color w:val="auto"/>
              </w:rPr>
            </w:pPr>
          </w:p>
        </w:tc>
        <w:tc>
          <w:tcPr>
            <w:tcW w:w="420" w:type="dxa"/>
            <w:vAlign w:val="bottom"/>
          </w:tcPr>
          <w:p>
            <w:pPr>
              <w:jc w:val="right"/>
              <w:ind w:right="2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bl>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Assumptions</w:t>
      </w:r>
    </w:p>
    <w:p>
      <w:pPr>
        <w:spacing w:after="0" w:line="152" w:lineRule="exact"/>
        <w:rPr>
          <w:sz w:val="20"/>
          <w:szCs w:val="20"/>
          <w:color w:val="auto"/>
        </w:rPr>
      </w:pPr>
    </w:p>
    <w:p>
      <w:pPr>
        <w:jc w:val="both"/>
        <w:ind w:right="100" w:firstLine="320"/>
        <w:spacing w:after="0" w:line="279" w:lineRule="auto"/>
        <w:rPr>
          <w:sz w:val="20"/>
          <w:szCs w:val="20"/>
          <w:color w:val="auto"/>
        </w:rPr>
      </w:pPr>
      <w:r>
        <w:rPr>
          <w:rFonts w:ascii="Arial" w:cs="Arial" w:eastAsia="Arial" w:hAnsi="Arial"/>
          <w:sz w:val="17"/>
          <w:szCs w:val="17"/>
          <w:color w:val="auto"/>
        </w:rPr>
        <w:t>The fair value of stock options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 Income Taxes</w:t>
      </w:r>
    </w:p>
    <w:p>
      <w:pPr>
        <w:spacing w:after="0" w:line="158" w:lineRule="exact"/>
        <w:rPr>
          <w:sz w:val="20"/>
          <w:szCs w:val="20"/>
          <w:color w:val="auto"/>
        </w:rPr>
      </w:pPr>
    </w:p>
    <w:p>
      <w:pPr>
        <w:jc w:val="both"/>
        <w:ind w:right="100" w:firstLine="320"/>
        <w:spacing w:after="0" w:line="303" w:lineRule="auto"/>
        <w:rPr>
          <w:sz w:val="20"/>
          <w:szCs w:val="20"/>
          <w:color w:val="auto"/>
        </w:rPr>
      </w:pPr>
      <w:r>
        <w:rPr>
          <w:rFonts w:ascii="Arial" w:cs="Arial" w:eastAsia="Arial" w:hAnsi="Arial"/>
          <w:sz w:val="16"/>
          <w:szCs w:val="16"/>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89" w:lineRule="exact"/>
        <w:rPr>
          <w:sz w:val="20"/>
          <w:szCs w:val="20"/>
          <w:color w:val="auto"/>
        </w:rPr>
      </w:pPr>
    </w:p>
    <w:p>
      <w:pPr>
        <w:jc w:val="both"/>
        <w:ind w:right="100" w:firstLine="320"/>
        <w:spacing w:after="0" w:line="288" w:lineRule="auto"/>
        <w:rPr>
          <w:sz w:val="20"/>
          <w:szCs w:val="20"/>
          <w:color w:val="auto"/>
        </w:rPr>
      </w:pPr>
      <w:r>
        <w:rPr>
          <w:rFonts w:ascii="Arial" w:cs="Arial" w:eastAsia="Arial" w:hAnsi="Arial"/>
          <w:sz w:val="16"/>
          <w:szCs w:val="16"/>
          <w:color w:val="auto"/>
        </w:rPr>
        <w:t>As of December 31, 2021, the Company had approximately $281.0 million of Federal NOLs available to offset future taxable income expiring from 2030 through 2036. The Company performed an analysis and determined that they had an ownership change of greater than 50% over a 3-year testing period on January 25, 2021. As a result, $168.8 million of the $281.0 million of Federal NOLs will expire unutilized. The Company wrote off that portion of the deferred tax asset and reduced the corresponding valuation allowance resulting in $112.3 million of remaining Federal NOLs. The write off of the deferred tax asset and the corresponding reduction in valuation allowance has no impact to the balance sheet or income statement. Losses incurred before the ownership change on January 25, 2021 will be subject to an annual limitation of $173 thousand under Internal Revenue Code Section 382.</w:t>
      </w:r>
    </w:p>
    <w:p>
      <w:pPr>
        <w:spacing w:after="0" w:line="86" w:lineRule="exact"/>
        <w:rPr>
          <w:sz w:val="20"/>
          <w:szCs w:val="20"/>
          <w:color w:val="auto"/>
        </w:rPr>
      </w:pPr>
    </w:p>
    <w:p>
      <w:pPr>
        <w:jc w:val="both"/>
        <w:ind w:right="100" w:firstLine="320"/>
        <w:spacing w:after="0" w:line="266" w:lineRule="auto"/>
        <w:rPr>
          <w:sz w:val="20"/>
          <w:szCs w:val="20"/>
          <w:color w:val="auto"/>
        </w:rPr>
      </w:pPr>
      <w:r>
        <w:rPr>
          <w:rFonts w:ascii="Arial" w:cs="Arial" w:eastAsia="Arial" w:hAnsi="Arial"/>
          <w:sz w:val="18"/>
          <w:szCs w:val="18"/>
          <w:color w:val="auto"/>
        </w:rPr>
        <w:t>As of December 31, 2022, the Company had approximately $34.0 million of Federal NOLs available to offset future taxable income expiring from 2030 through 2036. The Company performed an analysis and determined that they had an</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ownership change of greater than 50% on September 15, 2022. As a result of the ownership change, $88.2 million of Federal NOLs will expire unutilized. The Company wrote off that portion of the deferred tax asset and reduced the corresponding valuation allowance resulting in $34.0 million of remaining Federal NOLs. The write off of the deferred tax asset and the corresponding reduction in valuation allowance has no impact to the balance sheet or income statement. Losses incurred before the ownership change on September 15, 2022 will be subject to an annual limitation of zero while losses incurred after September 15, 2022 will not be subject to limitations.</w:t>
      </w:r>
    </w:p>
    <w:p>
      <w:pPr>
        <w:spacing w:after="0" w:line="129"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As of December 31, 2022, Cend Therapeutics had approximately $10.9 million of Federal NOLs available to offset future taxable income. The Company performed an analysis and determined that there was an ownership change of greater than 50% on September 15, 2022. As of September 15, 2022 Cend has approximately $10.7 million of Federal and $15.0 million of state NOLs. The state NOLs will expire from the 2036 through 2042 tax years. Using a fair market value of $36.1 million and applying an applicable federal rate of 2.54% Cend will have an annual limitation of approximately $917 thousand each year. The Federal NOL of $106 thousand incurred in the post-acquisition period September 15, 2022 to December 31, 2022 is not subject to limitation and does not expire. Cend’s wholly owned Australian subsidiary has $1.8 million of NOLs which will be carried forward and do not expire. There is a full valuation allowance against the NOLs.</w:t>
      </w:r>
    </w:p>
    <w:p>
      <w:pPr>
        <w:spacing w:after="0" w:line="115"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As of December 31, 2022 and 2021, the Company had State NOLs available in New Jersey of $35.5 million and $97.0 million, respectively, California of $10.0 million and $69.5 million, respectively, and New York City of $1.9 million and $13.0 million, respectively, to offset future taxable income expiring from 2032 through 2042. In accordance with Section 382 of the Internal Revenue code, the usage of the Company’s NOLs is limited given the change in ownership. The ultimate realization of deferred tax assets is dependent upon the generation of future taxable income during the period when those temporary differences become deductible.</w:t>
      </w:r>
    </w:p>
    <w:p>
      <w:pPr>
        <w:spacing w:after="0" w:line="129"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Company applies the FASB’s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 authority. The Company recognizes interest and penalties associated with uncertain tax positions as a component of income tax expense.</w:t>
      </w:r>
    </w:p>
    <w:p>
      <w:pPr>
        <w:spacing w:after="0" w:line="109"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As of December 31, 2022 and 2021, the Company’s uncertain tax positions were $344 thousand and $0, respectively. Due to the acquisition of Cend, the Company’s uncertain tax positions increased by $344 thousand related to Federal and state credits and certain state NOLs. The Company will continue to evaluate its uncertain tax positions in future periods. As of September 30, 2023, the Company does not believe there will be any material changes in its unrecognized tax positions over the next year.</w:t>
      </w:r>
    </w:p>
    <w:p>
      <w:pPr>
        <w:spacing w:after="0" w:line="11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For years prior to 2019, the federal statute of limitations is closed for assessing tax. The Company’s state tax returns remain open to examination for a period of three to four years from the date of filing.</w:t>
      </w:r>
    </w:p>
    <w:p>
      <w:pPr>
        <w:spacing w:after="0" w:line="114"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On April 5, 2023, the Company received final approval from the New Jersey Economic Development Authority (“NJEDA”) under the Technology Business Tax Certificate Transfer Program (“Program”) to sell a percentage of its New Jersey net operating losses (“NJ NOLs”), which were subsequently sold to a qualifying and approved buyer pursuant to the Program for net proceeds of $2.2 million. The $2.3 million of NJ NOLs related tax benefits has been recorded as a benefit from income taxes and the loss on sale of $0.1 million recorded in other income (expense).</w:t>
      </w:r>
    </w:p>
    <w:p>
      <w:pPr>
        <w:spacing w:after="0" w:line="109"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On August 16, 2022, the Inflation Reduction Act was signed into law. The Inflation Reduction Act includes various tax provisions, which are effective for tax years beginning on or after January 1, 2023. For tax years beginning after December 31, 2021, the Tax Cuts &amp; Jobs Act of 2017 eliminated the option to deduct research and development expenditures as incurred and instead required taxpayers to capitalize and amortize them over five or 15 years beginning in 2022. Since the Company is in a net operating loss position, the capitalization of research and development costs did not have a material impact on the Company’s results of operations for the year ended December 31, 2022. The Company will continue to monitor the future impact of changes in tax legislation.</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 Australia Research and Development Tax Incentive</w:t>
      </w:r>
    </w:p>
    <w:p>
      <w:pPr>
        <w:spacing w:after="0" w:line="252"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The Company’s Australian subsidiary, which conducts core research and development activities, is eligible to receive a refundable tax incentive between 43.5% to 48.5% (depending upon the income tax rate) for qualified research and development activities. As of the nine months ended September 30, 2023, $0.5 million was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September 4, 2023 the Company's Australian subsidiary received a $0.6 million tax refund from the Australian Taxation Office related to the 2022 tax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 Contingencies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w:t>
      </w:r>
    </w:p>
    <w:p>
      <w:pPr>
        <w:spacing w:after="0" w:line="123"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Lingmed filed an answer to Cend’s response on July 11, 2022. At a Case Management Conference held on August 4, 2023, the Court set a trial date in the matter for August 2, 2024. The Company denies these allegations made by Lingmed and intends to vigorously defend itself.</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 Technology Transfer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Impilo Therapeutics</w:t>
      </w:r>
    </w:p>
    <w:p>
      <w:pPr>
        <w:spacing w:after="0" w:line="139"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In July 2023, the Company entered into a technology transfer agreement with Impilo Therapeutics (“Impilo”) under which the Company transferred its rights to its tumor penetrating nanocomplex (TPN) platform to Impilo. As consideration for the technology transfer, Impilo issued a total of 766,000 shares of its pre-seed preferred stock to the Company. On October 3, 2023 in connection with the Sanford Burnham Prebys license agreement (Note 16) Impilo cancelled the original stock certificate for 766,000 shares and reissued 574,500 shares of its pre-seed preferred stock to the Company.</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16 – License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Sanford Burnham Prebys</w:t>
      </w:r>
    </w:p>
    <w:p>
      <w:pPr>
        <w:spacing w:after="0" w:line="139"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In December 2015, Cend entered into a license agreement with Sanford Burnham Prebys (“SBP”) under which Cend was granted an exclusive, worldwide, royalty-bearing license to certain patent rights and know-how controlled by SBP related to the development of LSTA1.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$10,000 increasing to $20,000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which, pursuant to the technology transfer agreement with Impilo, resulted in SBP receiving 191,500 shares of the Company’s pre-seed preferred stock in Impilo on October 3, 2023.</w:t>
      </w:r>
    </w:p>
    <w:p>
      <w:pPr>
        <w:spacing w:after="0" w:line="118" w:lineRule="exact"/>
        <w:rPr>
          <w:sz w:val="20"/>
          <w:szCs w:val="20"/>
          <w:color w:val="auto"/>
        </w:rPr>
      </w:pPr>
    </w:p>
    <w:p>
      <w:pPr>
        <w:jc w:val="both"/>
        <w:ind w:firstLine="320"/>
        <w:spacing w:after="0" w:line="281" w:lineRule="auto"/>
        <w:rPr>
          <w:sz w:val="20"/>
          <w:szCs w:val="20"/>
          <w:color w:val="auto"/>
        </w:rPr>
      </w:pPr>
      <w:r>
        <w:rPr>
          <w:rFonts w:ascii="Arial" w:cs="Arial" w:eastAsia="Arial" w:hAnsi="Arial"/>
          <w:sz w:val="16"/>
          <w:szCs w:val="16"/>
          <w:color w:val="auto"/>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w:t>
      </w:r>
    </w:p>
    <w:p>
      <w:pPr>
        <w:spacing w:after="0" w:line="1" w:lineRule="exact"/>
        <w:rPr>
          <w:sz w:val="20"/>
          <w:szCs w:val="20"/>
          <w:color w:val="auto"/>
        </w:rPr>
      </w:pPr>
    </w:p>
    <w:p>
      <w:pPr>
        <w:jc w:val="both"/>
        <w:ind w:firstLine="6"/>
        <w:spacing w:after="0" w:line="248" w:lineRule="auto"/>
        <w:tabs>
          <w:tab w:leader="none" w:pos="21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7"/>
          <w:szCs w:val="17"/>
          <w:color w:val="auto"/>
        </w:rPr>
        <w:t>In October 2021, Cend entered into a license agreement with SBP under which Cend was granted an exclusive, royalty-bearing license to certain patent rights and know-how controlled by SBP. The agreement provides Cend with the rights to grant and authorize sublicenses to use, sell, and otherwise exploit the patent rights. The Company is required to pay an annual license maintenance fee of $20,000, increasing to $30,000 on year four of the agreement. Further, the Company could be required to make milestone payments to SBP upon completion of certain regulatory and commercial milestones. The aggregate potential milestone payments are approximately $23.2 million. The Company is obligated to pay SBP royalties of 4% of net sales of products sold by the Company or through a sublicense, subject to certain reductions. Additionally, the Company is obligated to pay SBP varying sublicense fees, ranging from 10% to 25%, dependent on when the related milestones are reached. On September 14, 2023, pursuant to the technology transfer agreement with Impilo, the license was assigned in full to Impilo.</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SBP owned 382,030 shares of the Company’s common stock as of September 30, 2023 and is a related party.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California at San Diego</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In March 2021, Cend entered into a license agreement with the University of California at San Diego (“UCSD”) under which Cend was granted an exclusive, royalty-bearing license to certain patent rights related to the development of nano-particles to modulate immune response. The agreement provides the Company with the rights to grant and authorize sublicenses to use, sell and otherwise exploit the patent rights. The Company could be required to make milestone payments to UCSD upon completion of certain regulatory and commercial milestones. The aggregate potential milestone payments are approximately $1.2 million. The Company has also agreed to pay UCSD royalties of 1.5% of net sales of products sold by the Company or through a sublicense, subject to certain reductions. Additionally, the Company agreed to pay UCSD varying sublicense fees, ranging from 10% to 20%, dependent on when the related milestones are reached.</w:t>
      </w:r>
    </w:p>
    <w:p>
      <w:pPr>
        <w:spacing w:after="0" w:line="128"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16"/>
          <w:szCs w:val="16"/>
          <w:color w:val="auto"/>
        </w:rPr>
        <w:t>The agreement will expire upon the expiration of the longest-lived patent rights. The agreement may be terminated in its entirety by the Company at any time by giving UCSD ninety days’ prior written notice. The agreement may be terminated in its entirety by UCSD if the Company, at any time, (i) fails to perform or violates any term of the agreement and fails to cure the default within sixty days. Upon termination of the agreement for any reason, UCSD may terminate a sublicensee but will allow the Company to assign any sublicenses to UCSD provided a) that the sublicensee is in good standing upon termination of the agreement with the Company; and b) the sublicensee is not currently involved in litigation as an adverse party to UCSD.</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On August 2, 2023, pursuant to the technology transfer agreement with Impilo, the license was assigned in full to Impilo.</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Massachusetts Institute of Technology</w:t>
      </w:r>
    </w:p>
    <w:p>
      <w:pPr>
        <w:spacing w:after="0" w:line="152"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In October 2021, Cend entered into a license agreement with the Massachusetts Institute of Technology ("MIT") under which Cend was granted an exclusive, royalty-bearing license to certain patent rights related to the development of tissue specific delivery of interfering RNA. The agreement provides the Company with the rights to grant and authorize sublicenses to use, sell, and otherwise exploit the patent rights. As consideration for the license, Cend issued a total of 43,236 shares of common stock, as adjusted for the Reverse Stock Split and Exchange Ratio. The Company is required to pay an annual license maintenance fee of $20,000, increasing to $25,000 for year two and three of the agreement, increasing to $50,000 on year four of the agreement and thereafter until the first commercial sale, and increasing to $150,000 each year of the agreement after the first sale. Further, the Company could be required to make milestone payments to MIT upon completion of certain regulatory and commercial milestones. The aggregate potential milestone payments are approximately $5.0 million. The Company has also agreed to pay MIT royalties of 2% of net sales of products sold by the Company or through a sublicense, subject to certain reductions. Additionally, the Company is obligated to pay MIT varying sublicense fees, ranging from 3% to 20%, depending on when the related milestones are reached. In connection with the close of the Merger, the Company was required to pay MIT a change of control fee of $0.3 million.</w:t>
      </w:r>
    </w:p>
    <w:p>
      <w:pPr>
        <w:spacing w:after="0" w:line="93"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The agreement expires upon the expiration or abandonment of all valid claims. The agreement may be earlier terminated in its entirety by the Company at any time by giving MIT six months prior written notice. The agreement may also be terminated in its entirety by MIT if the Company, at any time, (i) defaults in the payment of any sum when due and fails to make such payment within thirty days after receipt of written notice, or (ii) commits a material breach of its obligations under the agreement (aside from item (i)) and fails to cure that breach within sixty days after receipt of written notice. Upon termination of the agreement for any reason, the rights and licenses granted to the Company shall terminate and revert to MIT. Upon termination of the agreement for any reason, MIT may terminate a sublicensee but will allow the Company to assign any sublicenses to MIT provided that the sublicensee is in good standing upon termination of the agreement with the Company.</w:t>
      </w:r>
    </w:p>
    <w:p>
      <w:pPr>
        <w:spacing w:after="0" w:line="115"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On June 30, 2023, in accordance with the provisions of the license agreement, the Company provided notice to MIT that the license agreement would terminate effective December 30, 2023. Until such date, the license remains in full force and effect.</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MIT owned 43,236 shares of the Company’s common stock as of September 30, 2023.</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17 – Research Collaboration and License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License and Collaboration Agreement</w:t>
      </w:r>
    </w:p>
    <w:p>
      <w:pPr>
        <w:spacing w:after="0" w:line="152"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In February 2021, Cend entered into an Exclusive License and Collaboration Agreement (the “Qilu Agreement”) in which Cend granted an exclusive license to Qilu for the development and commercialization of LSTA1 in the Territory (defined as the Greater Area of China including China, Macau, Hong Kong, and Taiwan). Under the terms of the agreement, Qilu is solely responsible for the development of LSTA1 in its Territory. In consideration for the license, Qilu made an upfront payment of $10 million to Cend, which was recognized as revenue by Cend prior to the Merger. In addition, Cend received and recognized as revenue a $5 million development milestone prior to the Merger. The Company is eligible to receive additional developmental and commercial milestone payments up to $95 million and $125 million, respectively, tiered royalties on net sales ranging from 10% to 15%, and tiered sublicensing revenues ranging from 12% to 35%.</w:t>
      </w:r>
    </w:p>
    <w:p>
      <w:pPr>
        <w:spacing w:after="0" w:line="128" w:lineRule="exact"/>
        <w:rPr>
          <w:sz w:val="20"/>
          <w:szCs w:val="20"/>
          <w:color w:val="auto"/>
        </w:rPr>
      </w:pPr>
    </w:p>
    <w:p>
      <w:pPr>
        <w:jc w:val="both"/>
        <w:ind w:firstLine="320"/>
        <w:spacing w:after="0" w:line="295" w:lineRule="auto"/>
        <w:rPr>
          <w:sz w:val="20"/>
          <w:szCs w:val="20"/>
          <w:color w:val="auto"/>
        </w:rPr>
      </w:pPr>
      <w:r>
        <w:rPr>
          <w:rFonts w:ascii="Arial" w:cs="Arial" w:eastAsia="Arial" w:hAnsi="Arial"/>
          <w:sz w:val="16"/>
          <w:szCs w:val="16"/>
          <w:color w:val="auto"/>
        </w:rPr>
        <w:t>Unless terminated early, the Qilu Agreement will continue in effect until the expiration of all Qilu payment obligations. Either party may terminate the Qilu Agreement if an undisputed material breach by the other party is not cured within a defined 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58"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contains forward-looking statements that involve risks and uncertainties. Our actual results could differ materially from those anticipated in these forward-looking statements as a result of various factors, including those set forth under “Cautionary Note Regarding Forward-Looking Statements” herein and under “Risk Factors” in our 2022 Form 10-K. The following discussion should be read in conjunction with our consolidated financial statements and related notes thereto included elsewhere in this Quarterly Report and in our 2022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2"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We are a clinical-stage pharmaceutical company dedicated to the discovery, development, and commercialization of innovative therapies for the treatment of solid tumors and other major diseases. Our lead investigational product candidate, LSTA1, is designed to activate a novel uptake pathway that allows co-administered or tethered (i.e., molecularly bound) anti-cancer drugs to penetrate solid tumors more effectively. LSTA1 actuates this active transport system in a tumor-specific manner, resulting in systemically co-administered anti-cancer drugs more efficiently penetrating and accumulating in the tumor, while normal tissues are unlikely to be affected. LSTA1 also has the potential to modify the tumor microenvironment (“TME”), thereby making tumors more susceptible to immunotherapies and inhibiting the metastasis cascade (i.e., the spread of cancer to other parts of the body). We and our collaborators have amassed significant non-clinical data demonstrating enhanced delivery of a range of existing and emerging anti-cancer therapies, including chemotherapeutics, immunotherapies and RNA-based therapeutics. To date, LSTA1 has also demonstrated favorable safety, tolerability, and activity in completed and ongoing clinical trials designed to enhance delivery of standard-of-care chemotherapy for pancreatic cancer. We are exploring the potential of LSTA1 to enable a variety of treatment modalities to treat a range of solid tumors more effectively. In addition, we have development programs based on our autologous CD34+ cell therapy technology platform that we are seeking to partner while incurring no additional capital outlay.</w:t>
      </w:r>
    </w:p>
    <w:p>
      <w:pPr>
        <w:spacing w:after="0" w:line="103"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Our leadership team has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Our current development pipeline includes our product candidate LSTA1, which is the subject of Phase 1b/2a and 2b clinical studies being conducted globally in a variety of solid tumor types, including, metastatic pancreatic ductal adenocarcinoma (mPDAC) and other forms of pancreatic cancer, cholangiocarcinoma, esophageal cancer, head and neck cancer, appendiceal cancer, colon cancer and glioblastoma multiforme in combination with a variety of anti-cancer regimens.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Targeted Solid Tumor Penetration via CendR Active Transport</w:t>
      </w:r>
    </w:p>
    <w:p>
      <w:pPr>
        <w:spacing w:after="0" w:line="152" w:lineRule="exact"/>
        <w:rPr>
          <w:sz w:val="20"/>
          <w:szCs w:val="20"/>
          <w:color w:val="auto"/>
        </w:rPr>
      </w:pPr>
    </w:p>
    <w:p>
      <w:pPr>
        <w:jc w:val="both"/>
        <w:ind w:firstLine="320"/>
        <w:spacing w:after="0" w:line="288" w:lineRule="auto"/>
        <w:rPr>
          <w:sz w:val="20"/>
          <w:szCs w:val="20"/>
          <w:color w:val="auto"/>
        </w:rPr>
      </w:pPr>
      <w:r>
        <w:rPr>
          <w:rFonts w:ascii="Arial" w:cs="Arial" w:eastAsia="Arial" w:hAnsi="Arial"/>
          <w:sz w:val="16"/>
          <w:szCs w:val="16"/>
          <w:color w:val="auto"/>
        </w:rPr>
        <w:t>Many solid tumor cancers, including pancreatic ductal adenocarcinoma (“PDAC”), are surrounded by dense fibrotic tissue, or stroma. This limits the efficacy of current chemotherapies for these cancers. Emerging immunotherapy treatments, including checkpoint inhibitors, adoptive cell therapies such as chimeric antigen receptor T (“CAR-T”) cells, as well as nucleic acid-based therapies, such as short interfering RNA (“siRNA”), antisense oligonucleotides (“ASO”), and messenger RNAs (“mRNAs”) also face challenges in penetrating solid tumors. Many tumors also exhibit an immunosuppressive tumor microenvironment (“TME”), which suppresses patients’ immune systems’ ability to fight their cancer and can limit effectiveness of immunotherapies and/or contribute to metastases. These factors negatively impact the ability of many therapeutic agents to effectively treat these cancers.</w:t>
      </w:r>
    </w:p>
    <w:p>
      <w:pPr>
        <w:spacing w:after="0" w:line="100" w:lineRule="exact"/>
        <w:rPr>
          <w:sz w:val="20"/>
          <w:szCs w:val="20"/>
          <w:color w:val="auto"/>
        </w:rPr>
      </w:pPr>
    </w:p>
    <w:p>
      <w:pPr>
        <w:jc w:val="both"/>
        <w:ind w:firstLine="320"/>
        <w:spacing w:after="0" w:line="267" w:lineRule="auto"/>
        <w:rPr>
          <w:sz w:val="20"/>
          <w:szCs w:val="20"/>
          <w:color w:val="auto"/>
        </w:rPr>
      </w:pPr>
      <w:r>
        <w:rPr>
          <w:rFonts w:ascii="Arial" w:cs="Arial" w:eastAsia="Arial" w:hAnsi="Arial"/>
          <w:sz w:val="17"/>
          <w:szCs w:val="17"/>
          <w:color w:val="auto"/>
        </w:rPr>
        <w:t>To address the tumor stroma’s role as a primary impediment to effective treatment, our approach is to activate the C-end rule (“CendR”), or CendR system, a naturally occurring active transport system. Our lead investigational drug, LSTA1 (a specific internalizing R-G-D or iRGD peptide), activates this transport system in a tumor-specific manner (Sugahara, Science, 2010). LSTA1 enables more selective and efficient uptake of systemically administered anti-cancer drugs resulting in more intratumoral drug accumulation. The overall result is enhanced anticancer activity without an increase in side effects. While it is possible to couple/tether or conjugate some anticancer drugs to LSTA1, we believe that the co-administration approach is an advantage because it does not create a new chemical entity with its attendant development and regulatory hurdles, thereby providing an anticipated faster-to-clinic and faster-to-market product opportunity for a range of co-administration therapies.</w:t>
      </w:r>
    </w:p>
    <w:p>
      <w:pPr>
        <w:spacing w:after="0" w:line="10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LSTA1 has demonstrated favorable safety/tolerability and activity in clinical trials to enhance delivery of standard-of-care chemotherapy for mPDAC.</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LSTA1’s cancer-targeted delivery may enable such emerging treatment modalities to treat a range of solid tumors potentially more effectively.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LSTA1 as a treatment for solid tumor cancers in combination with other anti-cancer agents</w:t>
      </w:r>
    </w:p>
    <w:p>
      <w:pPr>
        <w:spacing w:after="0" w:line="139" w:lineRule="exact"/>
        <w:rPr>
          <w:sz w:val="20"/>
          <w:szCs w:val="20"/>
          <w:color w:val="auto"/>
        </w:rPr>
      </w:pPr>
    </w:p>
    <w:p>
      <w:pPr>
        <w:jc w:val="both"/>
        <w:ind w:firstLine="320"/>
        <w:spacing w:after="0" w:line="265" w:lineRule="auto"/>
        <w:rPr>
          <w:sz w:val="20"/>
          <w:szCs w:val="20"/>
          <w:color w:val="auto"/>
        </w:rPr>
      </w:pPr>
      <w:r>
        <w:rPr>
          <w:rFonts w:ascii="Arial" w:cs="Arial" w:eastAsia="Arial" w:hAnsi="Arial"/>
          <w:sz w:val="17"/>
          <w:szCs w:val="17"/>
          <w:color w:val="auto"/>
        </w:rPr>
        <w:t>LSTA1 is an investigational drug that actuates the CendR active transport mechanism while also having the potential to modify the TME and make it less immunosuppressive, thereby making the tumor more susceptible to attack by the immune system and/or inhibiting the metastasis cascade. It is targeted to tumor vasculature, endothelial cells, tumor cells and some intratumoral immunosuppressive cells by its affinity for alpha-v, beta-3 and beta-5 integrins that are upregulated on these cells. LSTA1 is a nine amino acid cyclic internalizing RGD (“iRGD”) peptide that, once bound to these integrins, is cleaved by proteases expressed in tumors to release a peptide fragment, called a CendR fragment. The CendR fragment then binds to an adjacent receptor, called neuropilin-1 receptor, to activate a novel uptake pathway that allows circulating moieties such as anticancer drugs to more selectively and effectively penetrate solid tumors. The ability of LSTA1 to modify the TME to enhance delivery and efficacy of co-administered drugs has been demonstrated in many preclinical models in a range of solid tumors with the results from Lisata, collaborators and research groups around the world having been the subject of over 300 related scientific publications.</w:t>
      </w:r>
    </w:p>
    <w:p>
      <w:pPr>
        <w:spacing w:after="0" w:line="121"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With regard to clinical development, LSTA1 is the subject of a completed Phase 1b clinical trial of 31 first-line metastatic pancreatic ductal adenocarcinoma patients, of which 29 were evaluable. Results from the trial showed that the safety profile of the LSTA1 combination regimen was similar to standard of care (“SoC”) alone with LSTA1 being well-tolerated with no-dose limiting toxicities. An Objective Response Rate (“ORR”) of fifty nine percent was observed, including a rare complete response, which compares favorably to the twenty three percent ORR observed in the “MPACT” clinical trial that served as the basis for approval of nab-paclitaxel for use in combination with gemcitabine for the treatment of first line, metastatic pancreatic ductal adenocarcinoma (Von Hoff, et al. 2013). A Disease Control Rate (“DCR”); (partial and complete responses plus stable disease) of over seventy nine percent was observed in comparison to a DCR of forty eight percent observed in the MPACT trial. Reduction in the level of circulating tumor biomarker CA19-9 was observed in 96% of patients versus 61% in the MPACT trial. Importantly, median progression-free survival and median overall survival of nearly ten months and over thirteen months were observed, respectively, vs. less than six months and less than nine months, respectively, in the MPACT trial. These results have been published in The Lancet Gastroenterology and Hepatology (Dean, et al. 2022).</w:t>
      </w:r>
    </w:p>
    <w:p>
      <w:pPr>
        <w:spacing w:after="0" w:line="107"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Additionally, LSTA1 is the subject of multiple ongoing and planned clinical trials being conducted globally in a variety of solid tumor types and in combination with several chemotherapy and immunotherapy anti-cancer regimens. The following diagram summarizes these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71755</wp:posOffset>
            </wp:positionV>
            <wp:extent cx="5579110" cy="31362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579110" cy="313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636270</wp:posOffset>
            </wp:positionV>
            <wp:extent cx="5579110" cy="31362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79110" cy="3136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Ischemic Repair (CD34+ Cell Technology)</w:t>
      </w:r>
    </w:p>
    <w:p>
      <w:pPr>
        <w:spacing w:after="0" w:line="152" w:lineRule="exact"/>
        <w:rPr>
          <w:sz w:val="20"/>
          <w:szCs w:val="20"/>
          <w:color w:val="auto"/>
        </w:rPr>
      </w:pPr>
    </w:p>
    <w:p>
      <w:pPr>
        <w:jc w:val="both"/>
        <w:ind w:firstLine="320"/>
        <w:spacing w:after="0" w:line="273" w:lineRule="auto"/>
        <w:rPr>
          <w:sz w:val="20"/>
          <w:szCs w:val="20"/>
          <w:color w:val="auto"/>
        </w:rPr>
      </w:pPr>
      <w:r>
        <w:rPr>
          <w:rFonts w:ascii="Arial" w:cs="Arial" w:eastAsia="Arial" w:hAnsi="Arial"/>
          <w:sz w:val="17"/>
          <w:szCs w:val="17"/>
          <w:color w:val="auto"/>
        </w:rPr>
        <w:t>The CD34+ cell was discovered as a result of the deliberate search for a cell capable of stimulating the development and/or repair of blood vessels. All tissues in the body maintain their function by replacing cells over time. In addition to the maintenance function, the body must also be capable of building new blood vessels after injury. A CD34+ cell is an endothelial progenitor cell that has the ability to stimulate new blood vessel formation at the level of the microvasculature. No other native cell discovered to date has demonstrated this same capability.</w:t>
      </w:r>
    </w:p>
    <w:p>
      <w:pPr>
        <w:spacing w:after="0" w:line="109"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Our proprietary cell technology using autologous (a patient’s own naturally occurring) CD34+ cells has led to the development of therapeutic product candidates designed to address diseases and conditions caused by ischemia. Ischemia occurs when the supply of oxygenated blood to healthy tissue is restricted or reduced. Through the administration of CD34+ cells, we seek to promote the development and formation of new microvasculature and thereby increase blood flow to the impacted area. We believe that a number of conditions caused by underlying ischemic injury can be improved through our CD34+ cell technology, including, but not limited to, Buerger's disease, critical limb ischemia (“CLI”), coronary microvascular dysfunction (“CMD”), refractory angina, and diabetic kidney disease (“DKD”).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HONEDRA</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for Treatment of Critical Limb Ischemia</w:t>
      </w:r>
    </w:p>
    <w:p>
      <w:pPr>
        <w:spacing w:after="0" w:line="88" w:lineRule="exact"/>
        <w:rPr>
          <w:sz w:val="20"/>
          <w:szCs w:val="20"/>
          <w:color w:val="auto"/>
        </w:rPr>
      </w:pPr>
    </w:p>
    <w:p>
      <w:pPr>
        <w:jc w:val="both"/>
        <w:ind w:firstLine="320"/>
        <w:spacing w:after="0" w:line="251" w:lineRule="auto"/>
        <w:rPr>
          <w:sz w:val="20"/>
          <w:szCs w:val="20"/>
          <w:color w:val="auto"/>
        </w:rPr>
      </w:pPr>
      <w:r>
        <w:rPr>
          <w:rFonts w:ascii="Arial" w:cs="Arial" w:eastAsia="Arial" w:hAnsi="Arial"/>
          <w:sz w:val="17"/>
          <w:szCs w:val="17"/>
          <w:color w:val="auto"/>
        </w:rPr>
        <w:t>Our randomized, open-label, registration-eligible study of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 Japan for the treatment of CLI and Buerger's disease has, to date, demonstrated positive trends in both safety and efficacy. The HONEDRA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study's enrollment, however, was significantly curtailed by the COVID-19 pandemic's impact in Japan, including the States of Emergency in Japan that persisted for much of 2020, 2021, and 2022. Due to the significant and continued operational and financial burden incurred as a result of these COVID-19 delays, coupled with the unpredictability of the timing of site enrollment re-initiation, we suspended further enrollment in the fourth quarter of 2021. Following study suspension, we completed all protocol-defined patient observations and completed the clinical study report. Data from the follow-up of all patients completed in the registration-eligible clinical trial in Japan have been compiled and are the subject of discussions with the Pharmaceuticals and Medical Devices Agency (“PMDA”) in Japan as part of the Japanese regulatory pre-consultation process and in preparation for the formal clinical consultation meetings which precede a Japanese new drug application (“JNDA”). To date, the PMDA has provided advice on how to prepare for the formal consultation meeting and has indicated their preference for additional clinical information to accompany the filing of a JNDA. Concomitantly, the Company has reinforced its efforts to secure a Japanese partner to complete the remaining steps of development/registration as well as eventual commercialization in Japan.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81280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Cend Therapeutics, Inc. and Name Change</w:t>
      </w:r>
    </w:p>
    <w:p>
      <w:pPr>
        <w:spacing w:after="0" w:line="152"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On September 15, 2022, the Company, then operating as Caladrius Biosciences, Inc. (“Caladrius”), completed its acquisition of Cend Therapeutics, Inc. (“Cend”), a Delaware corporation (the “Merger”), in accordance with the terms of the Agreement and Plan of Merger and Reorganization (the “Merger Agreement”), dated as of April 26, 2022, by and among Caladrius, Cend and CS Cedar Merger Sub, Inc. (“Merger Sub”).</w:t>
      </w:r>
    </w:p>
    <w:p>
      <w:pPr>
        <w:spacing w:after="0" w:line="90"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Pursuant to the terms set forth in the Merger Agreement and effective September 15, 2022 (the “Effective Time”): (i) Merger Sub merged with and into Cend, with Cend surviving as a wholly owned subsidiary of Caladrius, (ii) Caladrius changed its name to Lisata Therapeutics, Inc. in connection with and immediately following to the Effective Time, and (iii) Caladrius effected a 1:15 reverse stock split of its common stock (“Reverse Stock Split”) prior to the Effective Time. At the Effective Time, each share of Cend's common stock outstanding immediately prior to the Effective Time was converted into the right to receive shares of Lisata’s common stock based on an exchange ratio of 0.5338 (the “Exchange Ratio”), after taking into account the Reverse Stock Split. In connection with the Merger close, the Company issued an aggregate of 3,772,768 shares of common stock, based on the Exchange Ratio, to holders of Cend, in exchange for all of the Cend capital stock outstanding immediately prior to the closing of the Merger.</w:t>
      </w:r>
    </w:p>
    <w:p>
      <w:pPr>
        <w:spacing w:after="0" w:line="103"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Pursuant to the Merger Agreement, we assumed all of the outstanding and unexercised options to purchase shares of Cend capital stock under the 2016 Equity Incentive Plan (the “Cend Plan”), and, in connection with the Merger, such options were converted into options to purchase shares of Lisata’s common stock based on the Exchange Ratio. At the closing of the Merger at the Effective Time, we assumed Cend's stock options to purchase an aggregate of 1,227,776 shares of the Company's common stock.</w:t>
      </w:r>
    </w:p>
    <w:p>
      <w:pPr>
        <w:spacing w:after="0" w:line="126" w:lineRule="exact"/>
        <w:rPr>
          <w:sz w:val="20"/>
          <w:szCs w:val="20"/>
          <w:color w:val="auto"/>
        </w:rPr>
      </w:pPr>
    </w:p>
    <w:p>
      <w:pPr>
        <w:jc w:val="both"/>
        <w:ind w:firstLine="320"/>
        <w:spacing w:after="0" w:line="285" w:lineRule="auto"/>
        <w:rPr>
          <w:sz w:val="20"/>
          <w:szCs w:val="20"/>
          <w:color w:val="auto"/>
        </w:rPr>
      </w:pPr>
      <w:r>
        <w:rPr>
          <w:rFonts w:ascii="Arial" w:cs="Arial" w:eastAsia="Arial" w:hAnsi="Arial"/>
          <w:sz w:val="16"/>
          <w:szCs w:val="16"/>
          <w:color w:val="auto"/>
        </w:rPr>
        <w:t>Caladrius was considered to be the accounting acquirer based on the terms of the Merger Agreement and certain factors including: (i) Caladrius owned approximately 52% of the Company's outstanding shares of common stock immediately following the close of the Merger; (ii) although both entities contributed to the new management team of Lisata, the Caladrius team has more individuals on the management team and will hold the CEO, CMO and other senior management roles; (iii) Caladrius paid a premium to acquire Cend’s assets; and (iv) Caladrius was significantly larger than Cend regarding total assets, operations, and research and development activities. The Merger was accounted for as an asset acquisition as substantially all of the fair value is concentrated in in-process research and development (“IPR&amp;D”). Cend’s assets (except for cash and working capital) were measured and recognized as an allocation of the transaction price based on their relative fair values as of the transaction date with any value associated with IPR&amp;D with no alternative future use being expensed. The prior reported operating results prior to the Merger close are those of Caladrius.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Out-licensing Opportunities</w:t>
      </w:r>
    </w:p>
    <w:p>
      <w:pPr>
        <w:spacing w:after="0" w:line="152"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17"/>
          <w:szCs w:val="17"/>
          <w:color w:val="auto"/>
        </w:rPr>
        <w:t>Our broad intellectual property portfolio of assets includes notable programs available for out-licensing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2023 Compared to Three Months Ended September 30, 2022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three months ended September 30, 2023 and September 30, 2022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040" w:type="dxa"/>
            <w:vAlign w:val="bottom"/>
          </w:tcPr>
          <w:p>
            <w:pPr>
              <w:spacing w:after="0"/>
              <w:rPr>
                <w:sz w:val="18"/>
                <w:szCs w:val="18"/>
                <w:color w:val="auto"/>
              </w:rPr>
            </w:pPr>
          </w:p>
        </w:tc>
        <w:tc>
          <w:tcPr>
            <w:tcW w:w="3400" w:type="dxa"/>
            <w:vAlign w:val="bottom"/>
            <w:gridSpan w:val="6"/>
          </w:tcPr>
          <w:p>
            <w:pPr>
              <w:ind w:left="380"/>
              <w:spacing w:after="0"/>
              <w:rPr>
                <w:sz w:val="20"/>
                <w:szCs w:val="20"/>
                <w:color w:val="auto"/>
              </w:rPr>
            </w:pPr>
            <w:r>
              <w:rPr>
                <w:rFonts w:ascii="Arial" w:cs="Arial" w:eastAsia="Arial" w:hAnsi="Arial"/>
                <w:sz w:val="16"/>
                <w:szCs w:val="16"/>
                <w:b w:val="1"/>
                <w:bCs w:val="1"/>
                <w:color w:val="auto"/>
              </w:rPr>
              <w:t>Three Months Ended September 30,</w:t>
            </w: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4"/>
        </w:trPr>
        <w:tc>
          <w:tcPr>
            <w:tcW w:w="504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4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6"/>
                <w:szCs w:val="16"/>
                <w:b w:val="1"/>
                <w:bCs w:val="1"/>
                <w:color w:val="auto"/>
              </w:rPr>
              <w:t>2022</w:t>
            </w:r>
          </w:p>
        </w:tc>
        <w:tc>
          <w:tcPr>
            <w:tcW w:w="1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Change</w:t>
            </w:r>
          </w:p>
        </w:tc>
      </w:tr>
      <w:tr>
        <w:trPr>
          <w:trHeight w:val="195"/>
        </w:trPr>
        <w:tc>
          <w:tcPr>
            <w:tcW w:w="50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980" w:type="dxa"/>
            <w:vAlign w:val="bottom"/>
            <w:shd w:val="clear" w:color="auto" w:fill="CCEEFF"/>
          </w:tcPr>
          <w:p>
            <w:pPr>
              <w:jc w:val="right"/>
              <w:ind w:right="80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0"/>
        </w:trPr>
        <w:tc>
          <w:tcPr>
            <w:tcW w:w="5040" w:type="dxa"/>
            <w:vAlign w:val="bottom"/>
          </w:tcPr>
          <w:p>
            <w:pPr>
              <w:ind w:left="100"/>
              <w:spacing w:after="0"/>
              <w:rPr>
                <w:sz w:val="20"/>
                <w:szCs w:val="20"/>
                <w:color w:val="auto"/>
              </w:rPr>
            </w:pPr>
            <w:r>
              <w:rPr>
                <w:rFonts w:ascii="Arial" w:cs="Arial" w:eastAsia="Arial" w:hAnsi="Arial"/>
                <w:sz w:val="16"/>
                <w:szCs w:val="16"/>
                <w:color w:val="auto"/>
              </w:rPr>
              <w:t>In-process research and development</w:t>
            </w:r>
          </w:p>
        </w:tc>
        <w:tc>
          <w:tcPr>
            <w:tcW w:w="98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(30,393)</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3,992</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(1,408)</w:t>
            </w:r>
          </w:p>
        </w:tc>
      </w:tr>
      <w:tr>
        <w:trPr>
          <w:trHeight w:val="204"/>
        </w:trPr>
        <w:tc>
          <w:tcPr>
            <w:tcW w:w="504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9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5,964</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37,720</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(31,756)</w:t>
            </w:r>
          </w:p>
        </w:tc>
      </w:tr>
      <w:tr>
        <w:trPr>
          <w:trHeight w:val="216"/>
        </w:trPr>
        <w:tc>
          <w:tcPr>
            <w:tcW w:w="50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from operations</w:t>
            </w:r>
          </w:p>
        </w:tc>
        <w:tc>
          <w:tcPr>
            <w:tcW w:w="9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(5,964)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(37,720)</w:t>
            </w:r>
          </w:p>
        </w:tc>
        <w:tc>
          <w:tcPr>
            <w:tcW w:w="1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31,756</w:t>
            </w:r>
          </w:p>
        </w:tc>
      </w:tr>
      <w:tr>
        <w:trPr>
          <w:trHeight w:val="204"/>
        </w:trPr>
        <w:tc>
          <w:tcPr>
            <w:tcW w:w="5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9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703</w:t>
            </w:r>
          </w:p>
        </w:tc>
        <w:tc>
          <w:tcPr>
            <w:tcW w:w="1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w:t>
            </w:r>
          </w:p>
        </w:tc>
        <w:tc>
          <w:tcPr>
            <w:tcW w:w="16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w:t>
            </w:r>
          </w:p>
        </w:tc>
      </w:tr>
      <w:tr>
        <w:trPr>
          <w:trHeight w:val="206"/>
        </w:trPr>
        <w:tc>
          <w:tcPr>
            <w:tcW w:w="5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9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5040" w:type="dxa"/>
            <w:vAlign w:val="bottom"/>
          </w:tcPr>
          <w:p>
            <w:pPr>
              <w:ind w:left="100"/>
              <w:spacing w:after="0"/>
              <w:rPr>
                <w:sz w:val="20"/>
                <w:szCs w:val="20"/>
                <w:color w:val="auto"/>
              </w:rPr>
            </w:pPr>
            <w:r>
              <w:rPr>
                <w:rFonts w:ascii="Arial" w:cs="Arial" w:eastAsia="Arial" w:hAnsi="Arial"/>
                <w:sz w:val="16"/>
                <w:szCs w:val="16"/>
                <w:color w:val="auto"/>
              </w:rPr>
              <w:t>Net loss</w:t>
            </w: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(5,261)</w:t>
            </w:r>
          </w:p>
        </w:tc>
        <w:tc>
          <w:tcPr>
            <w:tcW w:w="1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(37,383)</w:t>
            </w:r>
          </w:p>
        </w:tc>
        <w:tc>
          <w:tcPr>
            <w:tcW w:w="1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32,122</w:t>
            </w:r>
          </w:p>
        </w:tc>
      </w:tr>
      <w:tr>
        <w:trPr>
          <w:trHeight w:val="20"/>
        </w:trPr>
        <w:tc>
          <w:tcPr>
            <w:tcW w:w="50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jc w:val="both"/>
        <w:ind w:firstLine="404"/>
        <w:spacing w:after="0" w:line="266" w:lineRule="auto"/>
        <w:rPr>
          <w:sz w:val="20"/>
          <w:szCs w:val="20"/>
          <w:color w:val="auto"/>
        </w:rPr>
      </w:pPr>
      <w:r>
        <w:rPr>
          <w:rFonts w:ascii="Arial" w:cs="Arial" w:eastAsia="Arial" w:hAnsi="Arial"/>
          <w:sz w:val="18"/>
          <w:szCs w:val="18"/>
          <w:color w:val="auto"/>
        </w:rPr>
        <w:t>Overall, net losses were $5.3 million for the three months ended September 30, 2023, compared to $37.4 million for the three months ended September 30,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5"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For the three months ended September 30, 2023, operating expenses totaled $6.0 million, compared to $37.7 million for the three months ended September 30, 2022, representing a decrease of 84.2%. Excluding the in-process research and development expense of $30.4 million relating to the Merger, operating expenses decreased by $1.4 million, or 18.6% compared to the three months ended September 30, 2022. Operating expenses comprised the following:</w:t>
      </w:r>
    </w:p>
    <w:p>
      <w:pPr>
        <w:spacing w:after="0" w:line="166" w:lineRule="exact"/>
        <w:rPr>
          <w:sz w:val="20"/>
          <w:szCs w:val="20"/>
          <w:color w:val="auto"/>
        </w:rPr>
      </w:pPr>
    </w:p>
    <w:p>
      <w:pPr>
        <w:jc w:val="both"/>
        <w:ind w:left="640" w:hanging="314"/>
        <w:spacing w:after="0" w:line="278" w:lineRule="auto"/>
        <w:tabs>
          <w:tab w:leader="none" w:pos="635" w:val="left"/>
        </w:tabs>
        <w:numPr>
          <w:ilvl w:val="0"/>
          <w:numId w:val="6"/>
        </w:numPr>
        <w:rPr>
          <w:rFonts w:ascii="Arial" w:cs="Arial" w:eastAsia="Arial" w:hAnsi="Arial"/>
          <w:sz w:val="19"/>
          <w:szCs w:val="19"/>
          <w:b w:val="1"/>
          <w:bCs w:val="1"/>
          <w:i w:val="1"/>
          <w:iCs w:val="1"/>
          <w:color w:val="auto"/>
        </w:rPr>
      </w:pPr>
      <w:r>
        <w:rPr>
          <w:rFonts w:ascii="Arial" w:cs="Arial" w:eastAsia="Arial" w:hAnsi="Arial"/>
          <w:sz w:val="16"/>
          <w:szCs w:val="16"/>
          <w:color w:val="auto"/>
        </w:rPr>
        <w:t>Research and development expenses were approximately $3.4 million for the three months ended September 30, 2023, compared to $3.3 million for the three months ended September 30, 2022, representing an increase of $45.0 thousand or 1.3%. This was primarily due to expenses associated with our study activities in the current year for our LSTA1 Phase 2a proof-of-concept Bolster trial in various solid tumors in combination with the corresponding standards of care, enrollment activities for the LSTA1 Phase 2b ASCEND study, chemistry, manufacturing and control (“CMC”) activities for LSTA1 and study start up activities for the LSTA1 Phase 2a study for the treatment of glioblastoma multiforme being offset by expenses associated with our Ischemic Repair programs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Phase 2b study,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diabetic kidney disease) in the prior year.</w:t>
      </w:r>
    </w:p>
    <w:p>
      <w:pPr>
        <w:spacing w:after="0" w:line="39" w:lineRule="exact"/>
        <w:rPr>
          <w:rFonts w:ascii="Arial" w:cs="Arial" w:eastAsia="Arial" w:hAnsi="Arial"/>
          <w:sz w:val="19"/>
          <w:szCs w:val="19"/>
          <w:b w:val="1"/>
          <w:bCs w:val="1"/>
          <w:i w:val="1"/>
          <w:iCs w:val="1"/>
          <w:color w:val="auto"/>
        </w:rPr>
      </w:pPr>
    </w:p>
    <w:p>
      <w:pPr>
        <w:jc w:val="both"/>
        <w:ind w:left="640" w:hanging="314"/>
        <w:spacing w:after="0" w:line="295" w:lineRule="auto"/>
        <w:tabs>
          <w:tab w:leader="none" w:pos="635" w:val="left"/>
        </w:tabs>
        <w:numPr>
          <w:ilvl w:val="0"/>
          <w:numId w:val="6"/>
        </w:numPr>
        <w:rPr>
          <w:rFonts w:ascii="Arial" w:cs="Arial" w:eastAsia="Arial" w:hAnsi="Arial"/>
          <w:sz w:val="16"/>
          <w:szCs w:val="16"/>
          <w:color w:val="auto"/>
        </w:rPr>
      </w:pPr>
      <w:r>
        <w:rPr>
          <w:rFonts w:ascii="Arial" w:cs="Arial" w:eastAsia="Arial" w:hAnsi="Arial"/>
          <w:sz w:val="16"/>
          <w:szCs w:val="16"/>
          <w:color w:val="auto"/>
        </w:rPr>
        <w:t>General and administrative expenses were approximately $2.6 million for the three months ended September 30, 2023, compared to $4.0 million for the three months ended September 30, 2022, representing a decrease of $1.4 million or 35.3%. This was primarily due to non-recurring merger related costs in the prior year, a decrease in equity expense due to prior year performance stock unit vesting, Merger option assumption expense and departing board member restricted stock unit vesting and timing of our annual stockholder meeting versus the prior year.</w:t>
      </w:r>
    </w:p>
    <w:p>
      <w:pPr>
        <w:spacing w:after="0" w:line="8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Historically, to minimize our use of cash, we have used a variety of equity instruments to compensate employees, consultants and other service providers.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use of these instruments has resulted in charges to the results of operations, which have been significant in the past.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Total other income (expense) is comprised primarily of investment income from cash, cash equivalents and marketable securities for both three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2023 Compared to Nine Months Ended September 30, 2022</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for the nine months ended September 30, 2023 and September 30, 2022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5420" w:type="dxa"/>
            <w:vAlign w:val="bottom"/>
          </w:tcPr>
          <w:p>
            <w:pPr>
              <w:spacing w:after="0"/>
              <w:rPr>
                <w:sz w:val="18"/>
                <w:szCs w:val="18"/>
                <w:color w:val="auto"/>
              </w:rPr>
            </w:pPr>
          </w:p>
        </w:tc>
        <w:tc>
          <w:tcPr>
            <w:tcW w:w="3300" w:type="dxa"/>
            <w:vAlign w:val="bottom"/>
            <w:gridSpan w:val="6"/>
          </w:tcPr>
          <w:p>
            <w:pPr>
              <w:ind w:left="380"/>
              <w:spacing w:after="0"/>
              <w:rPr>
                <w:sz w:val="20"/>
                <w:szCs w:val="20"/>
                <w:color w:val="auto"/>
              </w:rPr>
            </w:pPr>
            <w:r>
              <w:rPr>
                <w:rFonts w:ascii="Arial" w:cs="Arial" w:eastAsia="Arial" w:hAnsi="Arial"/>
                <w:sz w:val="16"/>
                <w:szCs w:val="16"/>
                <w:b w:val="1"/>
                <w:bCs w:val="1"/>
                <w:color w:val="auto"/>
              </w:rPr>
              <w:t>Nine Months Ended September 30,</w:t>
            </w: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04"/>
        </w:trPr>
        <w:tc>
          <w:tcPr>
            <w:tcW w:w="542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2022</w:t>
            </w:r>
          </w:p>
        </w:tc>
        <w:tc>
          <w:tcPr>
            <w:tcW w:w="1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Change</w:t>
            </w:r>
          </w:p>
        </w:tc>
      </w:tr>
      <w:tr>
        <w:trPr>
          <w:trHeight w:val="195"/>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Research and development</w:t>
            </w:r>
          </w:p>
        </w:tc>
        <w:tc>
          <w:tcPr>
            <w:tcW w:w="900" w:type="dxa"/>
            <w:vAlign w:val="bottom"/>
            <w:shd w:val="clear" w:color="auto" w:fill="CCEEFF"/>
          </w:tcPr>
          <w:p>
            <w:pPr>
              <w:jc w:val="right"/>
              <w:ind w:right="72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9,721</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9,853</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10"/>
        </w:trPr>
        <w:tc>
          <w:tcPr>
            <w:tcW w:w="5420" w:type="dxa"/>
            <w:vAlign w:val="bottom"/>
          </w:tcPr>
          <w:p>
            <w:pPr>
              <w:ind w:left="100"/>
              <w:spacing w:after="0"/>
              <w:rPr>
                <w:sz w:val="20"/>
                <w:szCs w:val="20"/>
                <w:color w:val="auto"/>
              </w:rPr>
            </w:pPr>
            <w:r>
              <w:rPr>
                <w:rFonts w:ascii="Arial" w:cs="Arial" w:eastAsia="Arial" w:hAnsi="Arial"/>
                <w:sz w:val="16"/>
                <w:szCs w:val="16"/>
                <w:color w:val="auto"/>
              </w:rPr>
              <w:t>In-process research and development</w:t>
            </w:r>
          </w:p>
        </w:tc>
        <w:tc>
          <w:tcPr>
            <w:tcW w:w="9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30,393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(30,393)</w:t>
            </w: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9,962</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10,815</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r>
      <w:tr>
        <w:trPr>
          <w:trHeight w:val="204"/>
        </w:trPr>
        <w:tc>
          <w:tcPr>
            <w:tcW w:w="5420" w:type="dxa"/>
            <w:vAlign w:val="bottom"/>
          </w:tcPr>
          <w:p>
            <w:pPr>
              <w:ind w:left="420"/>
              <w:spacing w:after="0"/>
              <w:rPr>
                <w:sz w:val="20"/>
                <w:szCs w:val="20"/>
                <w:color w:val="auto"/>
              </w:rPr>
            </w:pPr>
            <w:r>
              <w:rPr>
                <w:rFonts w:ascii="Arial" w:cs="Arial" w:eastAsia="Arial" w:hAnsi="Arial"/>
                <w:sz w:val="16"/>
                <w:szCs w:val="16"/>
                <w:color w:val="auto"/>
              </w:rPr>
              <w:t>Total operating expenses</w:t>
            </w:r>
          </w:p>
        </w:tc>
        <w:tc>
          <w:tcPr>
            <w:tcW w:w="9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19,683</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51,061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(31,378)</w:t>
            </w:r>
          </w:p>
        </w:tc>
      </w:tr>
      <w:tr>
        <w:trPr>
          <w:trHeight w:val="216"/>
        </w:trPr>
        <w:tc>
          <w:tcPr>
            <w:tcW w:w="54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Loss from operations</w:t>
            </w:r>
          </w:p>
        </w:tc>
        <w:tc>
          <w:tcPr>
            <w:tcW w:w="9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(19,683)</w:t>
            </w:r>
          </w:p>
        </w:tc>
        <w:tc>
          <w:tcPr>
            <w:tcW w:w="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(51,061)</w:t>
            </w:r>
          </w:p>
        </w:tc>
        <w:tc>
          <w:tcPr>
            <w:tcW w:w="1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31,378</w:t>
            </w:r>
          </w:p>
        </w:tc>
      </w:tr>
      <w:tr>
        <w:trPr>
          <w:trHeight w:val="204"/>
        </w:trPr>
        <w:tc>
          <w:tcPr>
            <w:tcW w:w="54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income (expense)</w:t>
            </w:r>
          </w:p>
        </w:tc>
        <w:tc>
          <w:tcPr>
            <w:tcW w:w="9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1,878</w:t>
            </w:r>
          </w:p>
        </w:tc>
        <w:tc>
          <w:tcPr>
            <w:tcW w:w="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1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1,531</w:t>
            </w:r>
          </w:p>
        </w:tc>
      </w:tr>
      <w:tr>
        <w:trPr>
          <w:trHeight w:val="206"/>
        </w:trPr>
        <w:tc>
          <w:tcPr>
            <w:tcW w:w="54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Benefit from income taxes</w:t>
            </w:r>
          </w:p>
        </w:tc>
        <w:tc>
          <w:tcPr>
            <w:tcW w:w="9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(2,330)</w:t>
            </w:r>
          </w:p>
        </w:tc>
        <w:tc>
          <w:tcPr>
            <w:tcW w:w="18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(2,479)</w:t>
            </w:r>
          </w:p>
        </w:tc>
        <w:tc>
          <w:tcPr>
            <w:tcW w:w="1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r>
      <w:tr>
        <w:trPr>
          <w:trHeight w:val="209"/>
        </w:trPr>
        <w:tc>
          <w:tcPr>
            <w:tcW w:w="5420" w:type="dxa"/>
            <w:vAlign w:val="bottom"/>
          </w:tcPr>
          <w:p>
            <w:pPr>
              <w:ind w:left="100"/>
              <w:spacing w:after="0"/>
              <w:rPr>
                <w:sz w:val="20"/>
                <w:szCs w:val="20"/>
                <w:color w:val="auto"/>
              </w:rPr>
            </w:pPr>
            <w:r>
              <w:rPr>
                <w:rFonts w:ascii="Arial" w:cs="Arial" w:eastAsia="Arial" w:hAnsi="Arial"/>
                <w:sz w:val="16"/>
                <w:szCs w:val="16"/>
                <w:color w:val="auto"/>
              </w:rPr>
              <w:t>Net loss</w:t>
            </w:r>
          </w:p>
        </w:tc>
        <w:tc>
          <w:tcPr>
            <w:tcW w:w="900" w:type="dxa"/>
            <w:vAlign w:val="bottom"/>
            <w:tcBorders>
              <w:bottom w:val="single" w:sz="8" w:color="auto"/>
            </w:tcBorders>
          </w:tcPr>
          <w:p>
            <w:pPr>
              <w:jc w:val="right"/>
              <w:ind w:right="72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(15,475)</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(48,235)</w:t>
            </w:r>
          </w:p>
        </w:tc>
        <w:tc>
          <w:tcPr>
            <w:tcW w:w="180" w:type="dxa"/>
            <w:vAlign w:val="bottom"/>
          </w:tcPr>
          <w:p>
            <w:pPr>
              <w:spacing w:after="0"/>
              <w:rPr>
                <w:sz w:val="18"/>
                <w:szCs w:val="18"/>
                <w:color w:val="auto"/>
              </w:rPr>
            </w:pPr>
          </w:p>
        </w:tc>
        <w:tc>
          <w:tcPr>
            <w:tcW w:w="280" w:type="dxa"/>
            <w:vAlign w:val="bottom"/>
            <w:tcBorders>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32,760</w:t>
            </w:r>
          </w:p>
        </w:tc>
      </w:tr>
      <w:tr>
        <w:trPr>
          <w:trHeight w:val="20"/>
        </w:trPr>
        <w:tc>
          <w:tcPr>
            <w:tcW w:w="5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ind w:firstLine="404"/>
        <w:spacing w:after="0" w:line="266" w:lineRule="auto"/>
        <w:rPr>
          <w:sz w:val="20"/>
          <w:szCs w:val="20"/>
          <w:color w:val="auto"/>
        </w:rPr>
      </w:pPr>
      <w:r>
        <w:rPr>
          <w:rFonts w:ascii="Arial" w:cs="Arial" w:eastAsia="Arial" w:hAnsi="Arial"/>
          <w:sz w:val="18"/>
          <w:szCs w:val="18"/>
          <w:color w:val="auto"/>
        </w:rPr>
        <w:t>Overall, net losses were $15.5 million for the nine months ended September 30, 2023, compared to $48.2 million for the nine months ended September 30, 2022.</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For the nine months ended September 30, 2023, operating expenses totaled $19.7 million compared to $51.1 million for the nine months ended September 30, 2022, representing a decrease of 61.5%. Excluding the in-process research and development expense of $30.4 million relating to the Merger, operating expenses decreased by $1.0 million, or 4.8% compared to the nine months ended September 30, 2022. Operating expenses comprised the following:</w:t>
      </w:r>
    </w:p>
    <w:p>
      <w:pPr>
        <w:spacing w:after="0" w:line="166" w:lineRule="exact"/>
        <w:rPr>
          <w:sz w:val="20"/>
          <w:szCs w:val="20"/>
          <w:color w:val="auto"/>
        </w:rPr>
      </w:pPr>
    </w:p>
    <w:p>
      <w:pPr>
        <w:jc w:val="both"/>
        <w:ind w:left="640" w:hanging="314"/>
        <w:spacing w:after="0" w:line="278" w:lineRule="auto"/>
        <w:tabs>
          <w:tab w:leader="none" w:pos="635" w:val="left"/>
        </w:tabs>
        <w:numPr>
          <w:ilvl w:val="0"/>
          <w:numId w:val="7"/>
        </w:numPr>
        <w:rPr>
          <w:rFonts w:ascii="Arial" w:cs="Arial" w:eastAsia="Arial" w:hAnsi="Arial"/>
          <w:sz w:val="19"/>
          <w:szCs w:val="19"/>
          <w:b w:val="1"/>
          <w:bCs w:val="1"/>
          <w:i w:val="1"/>
          <w:iCs w:val="1"/>
          <w:color w:val="auto"/>
        </w:rPr>
      </w:pPr>
      <w:r>
        <w:rPr>
          <w:rFonts w:ascii="Arial" w:cs="Arial" w:eastAsia="Arial" w:hAnsi="Arial"/>
          <w:sz w:val="16"/>
          <w:szCs w:val="16"/>
          <w:color w:val="auto"/>
        </w:rPr>
        <w:t>Research and development expenses were approximately $9.7 million for the nine months ended September 30, 2023, compared to $9.9 million for the nine months ended September 30, 2022, representing a decrease of $0.1 million or 1.3%. This was primarily due to expenses associated with our study activities in the current year for our LSTA1 Phase 2a proof-of-concept Bolster trial in various solid tumors in combination with the corresponding standards of care, enrollment activities for the LSTA1 Phase 2b ASCEND study, chemistry, manufacturing and control (“CMC”) activities for LSTA1 and study start up activities for the LSTA1 Phase 2a study for the treatment of glioblastoma multiforme being offset by expenses associated with our Ischemic Repair programs (XOWNA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Phase 2b study, HONEDRA</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diabetic kidney disease) in the prior year.</w:t>
      </w:r>
    </w:p>
    <w:p>
      <w:pPr>
        <w:spacing w:after="0" w:line="25" w:lineRule="exact"/>
        <w:rPr>
          <w:rFonts w:ascii="Arial" w:cs="Arial" w:eastAsia="Arial" w:hAnsi="Arial"/>
          <w:sz w:val="19"/>
          <w:szCs w:val="19"/>
          <w:b w:val="1"/>
          <w:bCs w:val="1"/>
          <w:i w:val="1"/>
          <w:iCs w:val="1"/>
          <w:color w:val="auto"/>
        </w:rPr>
      </w:pPr>
    </w:p>
    <w:p>
      <w:pPr>
        <w:jc w:val="both"/>
        <w:ind w:left="640" w:hanging="314"/>
        <w:spacing w:after="0" w:line="290" w:lineRule="auto"/>
        <w:tabs>
          <w:tab w:leader="none" w:pos="635"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General and administrative expenses were approximately $10.0 million for the nine months ended September 30, 2023, compared to $10.8 million for the nine months ended September 30, 2022, representing a decrease of $0.9 million or 7.9%. This was primarily due to non-recurring Merger related costs in the prior year, a decrease in equity expense due to prior year performance stock unit vesting, Merger option assumption expense and departing board member restricted stock unit vesting, lower annual stockholder meeting expenses and a decrease in directors and officers insurance premiums, partially offset by severance costs associated with the elimination of the Chief Business Officer position on May 1, 2023.</w:t>
      </w:r>
    </w:p>
    <w:p>
      <w:pPr>
        <w:spacing w:after="0" w:line="1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Historically, to minimize our use of cash, we have used a variety of equity instruments to compensate employees, consultants and other service providers.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The use of these instruments has resulted in charges to the results of operations, which have been significant in the past.</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58" w:lineRule="exact"/>
        <w:rPr>
          <w:sz w:val="20"/>
          <w:szCs w:val="20"/>
          <w:color w:val="auto"/>
        </w:rPr>
      </w:pPr>
    </w:p>
    <w:p>
      <w:pPr>
        <w:jc w:val="both"/>
        <w:ind w:firstLine="320"/>
        <w:spacing w:after="0" w:line="296" w:lineRule="auto"/>
        <w:rPr>
          <w:sz w:val="20"/>
          <w:szCs w:val="20"/>
          <w:color w:val="auto"/>
        </w:rPr>
      </w:pPr>
      <w:r>
        <w:rPr>
          <w:rFonts w:ascii="Arial" w:cs="Arial" w:eastAsia="Arial" w:hAnsi="Arial"/>
          <w:sz w:val="17"/>
          <w:szCs w:val="17"/>
          <w:color w:val="auto"/>
        </w:rPr>
        <w:t>Total other income (expense) is comprised of investment income from cash, cash equivalents and marketable securities for both nine months ended September 30, 2023 and 2022 and a loss on sale related to the sale of our NJ NOLs in the nine months ended September 30, 2023 and 2022.</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w:t>
      </w:r>
    </w:p>
    <w:p>
      <w:pPr>
        <w:spacing w:after="0" w:line="158"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In April 2023, we received final approval from the NJEDA under the Program to sell a percentage of our NJ NOLs, which were subsequently sold to a qualifying and approved buyer pursuant to the Program for net proceeds of $2.2 million. The $2.3 million of our NJ NOL Tax Benefits have been recorded as a benefit from income taxes and the loss on sale of $0.1 million recorded in other income (expense).</w:t>
      </w:r>
    </w:p>
    <w:p>
      <w:pPr>
        <w:spacing w:after="0" w:line="104" w:lineRule="exact"/>
        <w:rPr>
          <w:sz w:val="20"/>
          <w:szCs w:val="20"/>
          <w:color w:val="auto"/>
        </w:rPr>
      </w:pPr>
    </w:p>
    <w:p>
      <w:pPr>
        <w:jc w:val="both"/>
        <w:ind w:firstLine="320"/>
        <w:spacing w:after="0" w:line="279" w:lineRule="auto"/>
        <w:rPr>
          <w:sz w:val="20"/>
          <w:szCs w:val="20"/>
          <w:color w:val="auto"/>
        </w:rPr>
      </w:pPr>
      <w:r>
        <w:rPr>
          <w:rFonts w:ascii="Arial" w:cs="Arial" w:eastAsia="Arial" w:hAnsi="Arial"/>
          <w:sz w:val="17"/>
          <w:szCs w:val="17"/>
          <w:color w:val="auto"/>
        </w:rPr>
        <w:t>In February 2022, we received final approval from the NJEDA under the Program to sell a percentage of our NJ NOLs, which were subsequently sold to a qualifying and approved buyer pursuant to the Program for net proceeds of $2.3 million. The $2.5 million of our NJ NOL Tax Benefits have been recorded as a benefit from income taxes and the loss on sale of $0.1 million recorded in other income (expense).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Liquidity and Capital Resources</w:t>
      </w:r>
    </w:p>
    <w:p>
      <w:pPr>
        <w:spacing w:after="0" w:line="158" w:lineRule="exact"/>
        <w:rPr>
          <w:sz w:val="20"/>
          <w:szCs w:val="20"/>
          <w:color w:val="auto"/>
        </w:rPr>
      </w:pPr>
    </w:p>
    <w:p>
      <w:pPr>
        <w:jc w:val="both"/>
        <w:ind w:right="20" w:firstLine="320"/>
        <w:spacing w:after="0" w:line="266" w:lineRule="auto"/>
        <w:rPr>
          <w:sz w:val="20"/>
          <w:szCs w:val="20"/>
          <w:color w:val="auto"/>
        </w:rPr>
      </w:pPr>
      <w:r>
        <w:rPr>
          <w:rFonts w:ascii="Arial" w:cs="Arial" w:eastAsia="Arial" w:hAnsi="Arial"/>
          <w:sz w:val="18"/>
          <w:szCs w:val="18"/>
          <w:color w:val="auto"/>
        </w:rPr>
        <w:t>As of September 30, 2023, we had cash, cash equivalents and marketable securities of approximately $54.4 million, working capital of approximately $52.1 million, and stockholders’ equity of approximately $53.0 million.</w:t>
      </w:r>
    </w:p>
    <w:p>
      <w:pPr>
        <w:spacing w:after="0" w:line="100"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During the nine months ended September 30, 2023, we met our immediate cash requirements through existing cash balances. Additionally, we used equity and equity-linked instruments to pay for services and compensation.</w:t>
      </w:r>
    </w:p>
    <w:p>
      <w:pPr>
        <w:spacing w:after="0" w:line="11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or provided by, operating, investing and financing activities were as follows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560" w:type="dxa"/>
            <w:vAlign w:val="bottom"/>
          </w:tcPr>
          <w:p>
            <w:pPr>
              <w:spacing w:after="0"/>
              <w:rPr>
                <w:sz w:val="16"/>
                <w:szCs w:val="16"/>
                <w:color w:val="auto"/>
              </w:rPr>
            </w:pPr>
          </w:p>
        </w:tc>
        <w:tc>
          <w:tcPr>
            <w:tcW w:w="296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16"/>
                <w:szCs w:val="16"/>
                <w:color w:val="auto"/>
              </w:rPr>
            </w:pPr>
          </w:p>
        </w:tc>
      </w:tr>
      <w:tr>
        <w:trPr>
          <w:trHeight w:val="25"/>
        </w:trPr>
        <w:tc>
          <w:tcPr>
            <w:tcW w:w="75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2"/>
        </w:trPr>
        <w:tc>
          <w:tcPr>
            <w:tcW w:w="75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5"/>
                <w:szCs w:val="15"/>
                <w:color w:val="auto"/>
              </w:rPr>
            </w:pPr>
          </w:p>
        </w:tc>
      </w:tr>
      <w:tr>
        <w:trPr>
          <w:trHeight w:val="25"/>
        </w:trPr>
        <w:tc>
          <w:tcPr>
            <w:tcW w:w="7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jc w:val="right"/>
              <w:ind w:right="903"/>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(15,963)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(14,702)</w:t>
            </w:r>
          </w:p>
        </w:tc>
      </w:tr>
      <w:tr>
        <w:trPr>
          <w:trHeight w:val="226"/>
        </w:trPr>
        <w:tc>
          <w:tcPr>
            <w:tcW w:w="756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15,816</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21,805</w:t>
            </w:r>
          </w:p>
        </w:tc>
      </w:tr>
      <w:tr>
        <w:trPr>
          <w:trHeight w:val="227"/>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bl>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Operating Activities</w:t>
      </w:r>
    </w:p>
    <w:p>
      <w:pPr>
        <w:spacing w:after="0" w:line="152"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Our cash used in operating activities during the nine months ended September 30, 2023 was $16.0 million, which is comprised of (i) our net loss of $15.5 million, adjusted for non-cash expenses totaling $1.0 million (which includes adjustments for equity-based compensation, depreciation and amortization, a loss on disposal of fixed assets, and amortization/accretion of marketable securities), and (ii) changes in operating assets and liabilities using approximately $1.5 million.</w:t>
      </w:r>
    </w:p>
    <w:p>
      <w:pPr>
        <w:spacing w:after="0" w:line="126" w:lineRule="exact"/>
        <w:rPr>
          <w:sz w:val="20"/>
          <w:szCs w:val="20"/>
          <w:color w:val="auto"/>
        </w:rPr>
      </w:pPr>
    </w:p>
    <w:p>
      <w:pPr>
        <w:jc w:val="both"/>
        <w:ind w:firstLine="320"/>
        <w:spacing w:after="0" w:line="253" w:lineRule="auto"/>
        <w:rPr>
          <w:sz w:val="20"/>
          <w:szCs w:val="20"/>
          <w:color w:val="auto"/>
        </w:rPr>
      </w:pPr>
      <w:r>
        <w:rPr>
          <w:rFonts w:ascii="Arial" w:cs="Arial" w:eastAsia="Arial" w:hAnsi="Arial"/>
          <w:sz w:val="18"/>
          <w:szCs w:val="18"/>
          <w:color w:val="auto"/>
        </w:rPr>
        <w:t>Our cash used in operating activities during the nine months ended September 30, 2022 was $14.7 million, which is comprised of (i) our net loss of $48.2 million, adjusted for non-cash expenses totaling $33.5 million (which includes adjustments for equity-based compensation, depreciation and amortization, in process research and development expenses, and amortization/accretion of marketable securities) and (ii) changes in operating assets and liabilities providing approximately $0.1 million.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Investing Activities</w:t>
      </w:r>
    </w:p>
    <w:p>
      <w:pPr>
        <w:spacing w:after="0" w:line="152"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provided by investing activities during the nine months ended September 30, 2023 totaled $15.8 million and was primarily due to net sales of marketable securities (net of purchases of marketable securities).</w:t>
      </w:r>
    </w:p>
    <w:p>
      <w:pPr>
        <w:spacing w:after="0" w:line="114"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Our cash provided by investing activities during the nine months ended September 30, 2022 totaled $21.8 million and was primarily due to net sales of marketable securities (net of purchases of marketable securities) partially offset by the asset acquisition costs, net of cash acquired related to the Merger and purchase of property and equipment.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Financing Activities</w:t>
      </w:r>
    </w:p>
    <w:p>
      <w:pPr>
        <w:spacing w:after="0" w:line="152"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Our cash provided by financing activities during the nine months ended September 30, 2023 totaled $0.4 million and consisted of proceeds from the issuance of shares through our ATM Agreement (as defined below) of $0.3 million, option exercise proceeds of $0.2 million partially offset by tax withholding-related payments of $0.1 million on net share settlement equity awards to employees.</w:t>
      </w:r>
    </w:p>
    <w:p>
      <w:pPr>
        <w:spacing w:after="0" w:line="123"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Our cash used in financing activities during the nine months ended September 30, 2022 totaled $0.2 million and consisted primarily of tax withholding-related payments on net share settlement equity awards to employees.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Requirements Outlook</w:t>
      </w:r>
    </w:p>
    <w:p>
      <w:pPr>
        <w:spacing w:after="0" w:line="158" w:lineRule="exact"/>
        <w:rPr>
          <w:sz w:val="20"/>
          <w:szCs w:val="20"/>
          <w:color w:val="auto"/>
        </w:rPr>
      </w:pPr>
    </w:p>
    <w:p>
      <w:pPr>
        <w:jc w:val="both"/>
        <w:ind w:firstLine="320"/>
        <w:spacing w:after="0" w:line="284" w:lineRule="auto"/>
        <w:rPr>
          <w:sz w:val="20"/>
          <w:szCs w:val="20"/>
          <w:color w:val="auto"/>
        </w:rPr>
      </w:pPr>
      <w:r>
        <w:rPr>
          <w:rFonts w:ascii="Arial" w:cs="Arial" w:eastAsia="Arial" w:hAnsi="Arial"/>
          <w:sz w:val="16"/>
          <w:szCs w:val="16"/>
          <w:color w:val="auto"/>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operating expenses for at least the next 12 months following the issuance of our financial statements. Our future capital requirements are difficult to forecast and will depend on many factors including the timing and nature of any other strategic transactions that we undertake;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and our ability to establish and maintain collaboration partnerships, in-license/out-license or other similar arrangements and the financial terms of such agreements.</w:t>
      </w:r>
    </w:p>
    <w:p>
      <w:pPr>
        <w:spacing w:after="0" w:line="114" w:lineRule="exact"/>
        <w:rPr>
          <w:sz w:val="20"/>
          <w:szCs w:val="20"/>
          <w:color w:val="auto"/>
        </w:rPr>
      </w:pPr>
    </w:p>
    <w:p>
      <w:pPr>
        <w:jc w:val="both"/>
        <w:ind w:firstLine="320"/>
        <w:spacing w:after="0" w:line="286" w:lineRule="auto"/>
        <w:rPr>
          <w:sz w:val="20"/>
          <w:szCs w:val="20"/>
          <w:color w:val="auto"/>
        </w:rPr>
      </w:pPr>
      <w:r>
        <w:rPr>
          <w:rFonts w:ascii="Arial" w:cs="Arial" w:eastAsia="Arial" w:hAnsi="Arial"/>
          <w:sz w:val="16"/>
          <w:szCs w:val="16"/>
          <w:color w:val="auto"/>
        </w:rPr>
        <w:t>On June 4, 2021, we entered into an At The Market Offering Agreement (the “ATM Agreement”) with H.C. Wainwright &amp; Co., LLC as sales agent, in connection with an “at the market offering” under which we from time to time may offer and sell shares of our common stock having an aggregate offering price of up to $50.0 million. Subsequent to the filing of our Form 10-K on March 22, 2022, the aggregate market value of our outstanding common stock held by non-affiliates was approximately $43.6 million. Pursuant to General Instruction I.B.6 of Form S-3, since the aggregate market value of our outstanding common stock held by non-affiliates was below $75.0 million at the time of such Form 10-K filing, the aggregate amount of securities that we are permitted to offer and sell was reduced to $17,698,943, which was equal to one-third of the aggregate market value of our common stock held by non-affiliates as of September 21, 2022. Since inception we have issued 64,394 shares of common stock under the ATM Agreement for net proceeds of $270,774.</w:t>
      </w:r>
    </w:p>
    <w:p>
      <w:pPr>
        <w:spacing w:after="0" w:line="89" w:lineRule="exact"/>
        <w:rPr>
          <w:sz w:val="20"/>
          <w:szCs w:val="20"/>
          <w:color w:val="auto"/>
        </w:rPr>
      </w:pPr>
    </w:p>
    <w:p>
      <w:pPr>
        <w:jc w:val="both"/>
        <w:ind w:firstLine="320"/>
        <w:spacing w:after="0" w:line="268" w:lineRule="auto"/>
        <w:rPr>
          <w:sz w:val="20"/>
          <w:szCs w:val="20"/>
          <w:color w:val="auto"/>
        </w:rPr>
      </w:pPr>
      <w:r>
        <w:rPr>
          <w:rFonts w:ascii="Arial" w:cs="Arial" w:eastAsia="Arial" w:hAnsi="Arial"/>
          <w:sz w:val="17"/>
          <w:szCs w:val="17"/>
          <w:color w:val="auto"/>
        </w:rPr>
        <w:t>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do not have any off-balance sheet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58" w:lineRule="exact"/>
        <w:rPr>
          <w:sz w:val="20"/>
          <w:szCs w:val="20"/>
          <w:color w:val="auto"/>
        </w:rPr>
      </w:pPr>
    </w:p>
    <w:p>
      <w:pPr>
        <w:jc w:val="both"/>
        <w:ind w:firstLine="320"/>
        <w:spacing w:after="0" w:line="266" w:lineRule="auto"/>
        <w:rPr>
          <w:sz w:val="20"/>
          <w:szCs w:val="20"/>
          <w:color w:val="auto"/>
        </w:rPr>
      </w:pPr>
      <w:r>
        <w:rPr>
          <w:rFonts w:ascii="Arial" w:cs="Arial" w:eastAsia="Arial" w:hAnsi="Arial"/>
          <w:sz w:val="18"/>
          <w:szCs w:val="18"/>
          <w:color w:val="auto"/>
        </w:rPr>
        <w:t>There have been no material changes in our critical accounting policies and estimates during the three and nine months ended September 30, 2023, compared to those reported in our 2022 Form 10-K.</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158" w:lineRule="exact"/>
        <w:rPr>
          <w:sz w:val="20"/>
          <w:szCs w:val="20"/>
          <w:color w:val="auto"/>
        </w:rPr>
      </w:pPr>
    </w:p>
    <w:p>
      <w:pPr>
        <w:jc w:val="both"/>
        <w:ind w:firstLine="320"/>
        <w:spacing w:after="0" w:line="283"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our principal financial officer,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spacing w:after="0" w:line="90" w:lineRule="exact"/>
        <w:rPr>
          <w:sz w:val="20"/>
          <w:szCs w:val="20"/>
          <w:color w:val="auto"/>
        </w:rPr>
      </w:pPr>
    </w:p>
    <w:p>
      <w:pPr>
        <w:jc w:val="both"/>
        <w:ind w:firstLine="320"/>
        <w:spacing w:after="0" w:line="250" w:lineRule="auto"/>
        <w:rPr>
          <w:sz w:val="20"/>
          <w:szCs w:val="20"/>
          <w:color w:val="auto"/>
        </w:rPr>
      </w:pPr>
      <w:r>
        <w:rPr>
          <w:rFonts w:ascii="Arial" w:cs="Arial" w:eastAsia="Arial" w:hAnsi="Arial"/>
          <w:sz w:val="18"/>
          <w:szCs w:val="18"/>
          <w:color w:val="auto"/>
        </w:rPr>
        <w:t>As of September 30, 2023, we evaluated, with the participation of our management, including our Chief Executive Officer, the effectiveness of our disclosure controls and procedures as defined in Rules 13a-15(e) and 15d-15(e) under the Exchange Act. Based on that evaluation, our Chief Executive Officer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Chief Executive Officer, as appropriate to allow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Changes in Internal Control over Financial Reporting</w:t>
      </w:r>
    </w:p>
    <w:p>
      <w:pPr>
        <w:spacing w:after="0" w:line="158" w:lineRule="exact"/>
        <w:rPr>
          <w:sz w:val="20"/>
          <w:szCs w:val="20"/>
          <w:color w:val="auto"/>
        </w:rPr>
      </w:pPr>
    </w:p>
    <w:p>
      <w:pPr>
        <w:jc w:val="both"/>
        <w:ind w:firstLine="320"/>
        <w:spacing w:after="0" w:line="256" w:lineRule="auto"/>
        <w:rPr>
          <w:sz w:val="20"/>
          <w:szCs w:val="20"/>
          <w:color w:val="auto"/>
        </w:rPr>
      </w:pPr>
      <w:r>
        <w:rPr>
          <w:rFonts w:ascii="Arial" w:cs="Arial" w:eastAsia="Arial" w:hAnsi="Arial"/>
          <w:sz w:val="18"/>
          <w:szCs w:val="18"/>
          <w:color w:val="auto"/>
        </w:rPr>
        <w:t>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58" w:lineRule="exact"/>
        <w:rPr>
          <w:sz w:val="20"/>
          <w:szCs w:val="20"/>
          <w:color w:val="auto"/>
        </w:rPr>
      </w:pPr>
    </w:p>
    <w:p>
      <w:pPr>
        <w:ind w:right="140" w:firstLine="320"/>
        <w:spacing w:after="0" w:line="266" w:lineRule="auto"/>
        <w:rPr>
          <w:sz w:val="20"/>
          <w:szCs w:val="20"/>
          <w:color w:val="auto"/>
        </w:rPr>
      </w:pPr>
      <w:r>
        <w:rPr>
          <w:rFonts w:ascii="Arial" w:cs="Arial" w:eastAsia="Arial" w:hAnsi="Arial"/>
          <w:sz w:val="18"/>
          <w:szCs w:val="18"/>
          <w:color w:val="auto"/>
        </w:rPr>
        <w:t>Other than as disclosed in “Note 14 – Contingencies” set forth in the Notes to Unaudited Consolidated Financial Statements, which are included herein, there are no material changes to the disclosures previously reported in our 2022 Form 10-K.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58"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There have been no material changes to the risk factors previously reported in our 2022 Form 10-K. See the risk factors set forth in our 2022 Annual Report on Form 10-K under the caption “Item 1A - Risk Factors.”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5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Exhibit Index appearing immediately after the signature page to this Form 10-Q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31" w:lineRule="exact"/>
        <w:rPr>
          <w:sz w:val="20"/>
          <w:szCs w:val="20"/>
          <w:color w:val="auto"/>
        </w:rPr>
      </w:pPr>
    </w:p>
    <w:p>
      <w:pPr>
        <w:ind w:firstLine="320"/>
        <w:spacing w:after="0" w:line="26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tbl>
      <w:tblPr>
        <w:tblLayout w:type="fixed"/>
        <w:tblInd w:w="2180" w:type="dxa"/>
        <w:tblCellMar>
          <w:top w:w="0" w:type="dxa"/>
          <w:left w:w="0" w:type="dxa"/>
          <w:bottom w:w="0" w:type="dxa"/>
          <w:right w:w="0" w:type="dxa"/>
        </w:tblCellMar>
      </w:tblPr>
      <w:tr>
        <w:trPr>
          <w:trHeight w:val="230"/>
        </w:trPr>
        <w:tc>
          <w:tcPr>
            <w:tcW w:w="2440" w:type="dxa"/>
            <w:vAlign w:val="bottom"/>
          </w:tcPr>
          <w:p>
            <w:pPr>
              <w:spacing w:after="0"/>
              <w:rPr>
                <w:sz w:val="20"/>
                <w:szCs w:val="20"/>
                <w:color w:val="auto"/>
              </w:rPr>
            </w:pPr>
          </w:p>
        </w:tc>
        <w:tc>
          <w:tcPr>
            <w:tcW w:w="5080" w:type="dxa"/>
            <w:vAlign w:val="bottom"/>
            <w:gridSpan w:val="3"/>
          </w:tcPr>
          <w:p>
            <w:pPr>
              <w:ind w:left="1100"/>
              <w:spacing w:after="0"/>
              <w:rPr>
                <w:sz w:val="20"/>
                <w:szCs w:val="20"/>
                <w:color w:val="auto"/>
              </w:rPr>
            </w:pPr>
            <w:r>
              <w:rPr>
                <w:rFonts w:ascii="Arial" w:cs="Arial" w:eastAsia="Arial" w:hAnsi="Arial"/>
                <w:sz w:val="18"/>
                <w:szCs w:val="18"/>
                <w:b w:val="1"/>
                <w:bCs w:val="1"/>
                <w:color w:val="auto"/>
              </w:rPr>
              <w:t>LISATA THERAPEUTICS, INC.</w:t>
            </w:r>
          </w:p>
        </w:tc>
      </w:tr>
      <w:tr>
        <w:trPr>
          <w:trHeight w:val="201"/>
        </w:trPr>
        <w:tc>
          <w:tcPr>
            <w:tcW w:w="2440" w:type="dxa"/>
            <w:vAlign w:val="bottom"/>
          </w:tcPr>
          <w:p>
            <w:pPr>
              <w:spacing w:after="0" w:line="201" w:lineRule="exact"/>
              <w:rPr>
                <w:sz w:val="20"/>
                <w:szCs w:val="20"/>
                <w:color w:val="auto"/>
              </w:rPr>
            </w:pPr>
            <w:r>
              <w:rPr>
                <w:rFonts w:ascii="Arial" w:cs="Arial" w:eastAsia="Arial" w:hAnsi="Arial"/>
                <w:sz w:val="18"/>
                <w:szCs w:val="18"/>
                <w:color w:val="auto"/>
              </w:rPr>
              <w:t>November 2, 2023</w:t>
            </w:r>
          </w:p>
        </w:tc>
        <w:tc>
          <w:tcPr>
            <w:tcW w:w="5080" w:type="dxa"/>
            <w:vAlign w:val="bottom"/>
            <w:gridSpan w:val="3"/>
          </w:tcPr>
          <w:p>
            <w:pPr>
              <w:ind w:left="1100"/>
              <w:spacing w:after="0" w:line="201" w:lineRule="exact"/>
              <w:rPr>
                <w:sz w:val="20"/>
                <w:szCs w:val="20"/>
                <w:color w:val="auto"/>
              </w:rPr>
            </w:pPr>
            <w:r>
              <w:rPr>
                <w:rFonts w:ascii="Arial" w:cs="Arial" w:eastAsia="Arial" w:hAnsi="Arial"/>
                <w:sz w:val="18"/>
                <w:szCs w:val="18"/>
                <w:color w:val="auto"/>
              </w:rPr>
              <w:t>By: /s/ David J. Mazzo, PhD</w:t>
            </w:r>
          </w:p>
        </w:tc>
      </w:tr>
      <w:tr>
        <w:trPr>
          <w:trHeight w:val="20"/>
        </w:trPr>
        <w:tc>
          <w:tcPr>
            <w:tcW w:w="2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21"/>
        </w:trPr>
        <w:tc>
          <w:tcPr>
            <w:tcW w:w="2440" w:type="dxa"/>
            <w:vAlign w:val="bottom"/>
          </w:tcPr>
          <w:p>
            <w:pPr>
              <w:spacing w:after="0"/>
              <w:rPr>
                <w:sz w:val="19"/>
                <w:szCs w:val="19"/>
                <w:color w:val="auto"/>
              </w:rPr>
            </w:pPr>
          </w:p>
        </w:tc>
        <w:tc>
          <w:tcPr>
            <w:tcW w:w="5080" w:type="dxa"/>
            <w:vAlign w:val="bottom"/>
            <w:gridSpan w:val="3"/>
          </w:tcPr>
          <w:p>
            <w:pPr>
              <w:ind w:left="1100"/>
              <w:spacing w:after="0"/>
              <w:rPr>
                <w:sz w:val="20"/>
                <w:szCs w:val="20"/>
                <w:color w:val="auto"/>
              </w:rPr>
            </w:pPr>
            <w:r>
              <w:rPr>
                <w:rFonts w:ascii="Arial" w:cs="Arial" w:eastAsia="Arial" w:hAnsi="Arial"/>
                <w:sz w:val="18"/>
                <w:szCs w:val="18"/>
                <w:color w:val="auto"/>
              </w:rPr>
              <w:t>Name: David J. Mazzo, PhD</w:t>
            </w:r>
          </w:p>
        </w:tc>
      </w:tr>
      <w:tr>
        <w:trPr>
          <w:trHeight w:val="213"/>
        </w:trPr>
        <w:tc>
          <w:tcPr>
            <w:tcW w:w="2440" w:type="dxa"/>
            <w:vAlign w:val="bottom"/>
          </w:tcPr>
          <w:p>
            <w:pPr>
              <w:spacing w:after="0"/>
              <w:rPr>
                <w:sz w:val="18"/>
                <w:szCs w:val="18"/>
                <w:color w:val="auto"/>
              </w:rPr>
            </w:pPr>
          </w:p>
        </w:tc>
        <w:tc>
          <w:tcPr>
            <w:tcW w:w="5080" w:type="dxa"/>
            <w:vAlign w:val="bottom"/>
            <w:gridSpan w:val="3"/>
          </w:tcPr>
          <w:p>
            <w:pPr>
              <w:ind w:left="1100"/>
              <w:spacing w:after="0"/>
              <w:rPr>
                <w:sz w:val="20"/>
                <w:szCs w:val="20"/>
                <w:color w:val="auto"/>
              </w:rPr>
            </w:pPr>
            <w:r>
              <w:rPr>
                <w:rFonts w:ascii="Arial" w:cs="Arial" w:eastAsia="Arial" w:hAnsi="Arial"/>
                <w:sz w:val="18"/>
                <w:szCs w:val="18"/>
                <w:color w:val="auto"/>
              </w:rPr>
              <w:t>Title: President &amp; Chief Executive Officer</w:t>
            </w:r>
          </w:p>
        </w:tc>
      </w:tr>
      <w:tr>
        <w:trPr>
          <w:trHeight w:val="213"/>
        </w:trPr>
        <w:tc>
          <w:tcPr>
            <w:tcW w:w="2440" w:type="dxa"/>
            <w:vAlign w:val="bottom"/>
          </w:tcPr>
          <w:p>
            <w:pPr>
              <w:spacing w:after="0"/>
              <w:rPr>
                <w:sz w:val="18"/>
                <w:szCs w:val="18"/>
                <w:color w:val="auto"/>
              </w:rPr>
            </w:pPr>
          </w:p>
        </w:tc>
        <w:tc>
          <w:tcPr>
            <w:tcW w:w="5080" w:type="dxa"/>
            <w:vAlign w:val="bottom"/>
            <w:gridSpan w:val="3"/>
          </w:tcPr>
          <w:p>
            <w:pPr>
              <w:ind w:left="1100"/>
              <w:spacing w:after="0"/>
              <w:rPr>
                <w:sz w:val="20"/>
                <w:szCs w:val="20"/>
                <w:color w:val="auto"/>
              </w:rPr>
            </w:pPr>
            <w:r>
              <w:rPr>
                <w:rFonts w:ascii="Arial" w:cs="Arial" w:eastAsia="Arial" w:hAnsi="Arial"/>
                <w:sz w:val="18"/>
                <w:szCs w:val="18"/>
                <w:color w:val="auto"/>
                <w:w w:val="92"/>
              </w:rPr>
              <w:t>(Principal Executive Officer, Principal Financial Officer</w:t>
            </w:r>
          </w:p>
        </w:tc>
      </w:tr>
      <w:tr>
        <w:trPr>
          <w:trHeight w:val="224"/>
        </w:trPr>
        <w:tc>
          <w:tcPr>
            <w:tcW w:w="2440" w:type="dxa"/>
            <w:vAlign w:val="bottom"/>
          </w:tcPr>
          <w:p>
            <w:pPr>
              <w:spacing w:after="0"/>
              <w:rPr>
                <w:sz w:val="19"/>
                <w:szCs w:val="19"/>
                <w:color w:val="auto"/>
              </w:rPr>
            </w:pPr>
          </w:p>
        </w:tc>
        <w:tc>
          <w:tcPr>
            <w:tcW w:w="5080" w:type="dxa"/>
            <w:vAlign w:val="bottom"/>
            <w:gridSpan w:val="3"/>
          </w:tcPr>
          <w:p>
            <w:pPr>
              <w:ind w:left="1140"/>
              <w:spacing w:after="0"/>
              <w:rPr>
                <w:sz w:val="20"/>
                <w:szCs w:val="20"/>
                <w:color w:val="auto"/>
              </w:rPr>
            </w:pPr>
            <w:r>
              <w:rPr>
                <w:rFonts w:ascii="Arial" w:cs="Arial" w:eastAsia="Arial" w:hAnsi="Arial"/>
                <w:sz w:val="18"/>
                <w:szCs w:val="18"/>
                <w:color w:val="auto"/>
              </w:rPr>
              <w:t>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66675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Index</w:t>
      </w:r>
    </w:p>
    <w:p>
      <w:pPr>
        <w:spacing w:after="0" w:line="200" w:lineRule="exact"/>
        <w:rPr>
          <w:sz w:val="20"/>
          <w:szCs w:val="20"/>
          <w:color w:val="auto"/>
        </w:rPr>
      </w:pPr>
    </w:p>
    <w:p>
      <w:pPr>
        <w:spacing w:after="0" w:line="397" w:lineRule="exact"/>
        <w:rPr>
          <w:sz w:val="20"/>
          <w:szCs w:val="20"/>
          <w:color w:val="auto"/>
        </w:rPr>
      </w:pPr>
    </w:p>
    <w:tbl>
      <w:tblPr>
        <w:tblLayout w:type="fixed"/>
        <w:tblInd w:w="1000" w:type="dxa"/>
        <w:tblCellMar>
          <w:top w:w="0" w:type="dxa"/>
          <w:left w:w="0" w:type="dxa"/>
          <w:bottom w:w="0" w:type="dxa"/>
          <w:right w:w="0" w:type="dxa"/>
        </w:tblCellMar>
      </w:tblPr>
      <w:tr>
        <w:trPr>
          <w:trHeight w:val="213"/>
        </w:trPr>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1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9"/>
              </w:rPr>
              <w:t>LISATA THERAPEUTICS, INC.</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140" w:type="dxa"/>
            <w:vAlign w:val="bottom"/>
          </w:tcPr>
          <w:p>
            <w:pPr>
              <w:jc w:val="center"/>
              <w:ind w:right="1059"/>
              <w:spacing w:after="0"/>
              <w:rPr>
                <w:sz w:val="20"/>
                <w:szCs w:val="20"/>
                <w:color w:val="auto"/>
              </w:rPr>
            </w:pPr>
            <w:r>
              <w:rPr>
                <w:rFonts w:ascii="Arial" w:cs="Arial" w:eastAsia="Arial" w:hAnsi="Arial"/>
                <w:sz w:val="18"/>
                <w:szCs w:val="18"/>
                <w:b w:val="1"/>
                <w:bCs w:val="1"/>
                <w:color w:val="auto"/>
                <w:w w:val="97"/>
              </w:rPr>
              <w:t>FORM 10-Q</w:t>
            </w:r>
          </w:p>
        </w:tc>
        <w:tc>
          <w:tcPr>
            <w:tcW w:w="0" w:type="dxa"/>
            <w:vAlign w:val="bottom"/>
          </w:tcPr>
          <w:p>
            <w:pPr>
              <w:spacing w:after="0"/>
              <w:rPr>
                <w:sz w:val="1"/>
                <w:szCs w:val="1"/>
                <w:color w:val="auto"/>
              </w:rPr>
            </w:pPr>
          </w:p>
        </w:tc>
      </w:tr>
      <w:tr>
        <w:trPr>
          <w:trHeight w:val="453"/>
        </w:trPr>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tcPr>
          <w:p>
            <w:pPr>
              <w:jc w:val="center"/>
              <w:ind w:right="1059"/>
              <w:spacing w:after="0"/>
              <w:rPr>
                <w:sz w:val="20"/>
                <w:szCs w:val="20"/>
                <w:color w:val="auto"/>
              </w:rPr>
            </w:pPr>
            <w:r>
              <w:rPr>
                <w:rFonts w:ascii="Arial" w:cs="Arial" w:eastAsia="Arial" w:hAnsi="Arial"/>
                <w:sz w:val="18"/>
                <w:szCs w:val="18"/>
                <w:b w:val="1"/>
                <w:bCs w:val="1"/>
                <w:color w:val="auto"/>
                <w:w w:val="92"/>
              </w:rPr>
              <w:t>Exhibit Index</w:t>
            </w:r>
          </w:p>
        </w:tc>
        <w:tc>
          <w:tcPr>
            <w:tcW w:w="0" w:type="dxa"/>
            <w:vAlign w:val="bottom"/>
          </w:tcPr>
          <w:p>
            <w:pPr>
              <w:spacing w:after="0"/>
              <w:rPr>
                <w:sz w:val="1"/>
                <w:szCs w:val="1"/>
                <w:color w:val="auto"/>
              </w:rPr>
            </w:pPr>
          </w:p>
        </w:tc>
      </w:tr>
      <w:tr>
        <w:trPr>
          <w:trHeight w:val="28"/>
        </w:trPr>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3"/>
        </w:trPr>
        <w:tc>
          <w:tcPr>
            <w:tcW w:w="800" w:type="dxa"/>
            <w:vAlign w:val="bottom"/>
            <w:gridSpan w:val="5"/>
            <w:vMerge w:val="restart"/>
            <w:shd w:val="clear" w:color="auto" w:fill="CCEEFF"/>
          </w:tcPr>
          <w:p>
            <w:pPr>
              <w:jc w:val="center"/>
              <w:spacing w:after="0"/>
              <w:rPr>
                <w:sz w:val="20"/>
                <w:szCs w:val="20"/>
                <w:color w:val="auto"/>
              </w:rPr>
            </w:pPr>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p>
        </w:tc>
        <w:tc>
          <w:tcPr>
            <w:tcW w:w="320" w:type="dxa"/>
            <w:vAlign w:val="bottom"/>
            <w:shd w:val="clear" w:color="auto" w:fill="CCEEFF"/>
          </w:tcPr>
          <w:p>
            <w:pPr>
              <w:jc w:val="right"/>
              <w:ind w:right="20"/>
              <w:spacing w:after="0" w:line="163" w:lineRule="exact"/>
              <w:rPr>
                <w:sz w:val="20"/>
                <w:szCs w:val="20"/>
                <w:color w:val="auto"/>
              </w:rPr>
            </w:pPr>
            <w:r>
              <w:rPr>
                <w:rFonts w:ascii="Arial" w:cs="Arial" w:eastAsia="Arial" w:hAnsi="Arial"/>
                <w:sz w:val="16"/>
                <w:szCs w:val="16"/>
                <w:color w:val="auto"/>
              </w:rPr>
              <w:t>*</w:t>
            </w:r>
          </w:p>
        </w:tc>
        <w:tc>
          <w:tcPr>
            <w:tcW w:w="8140" w:type="dxa"/>
            <w:vAlign w:val="bottom"/>
            <w:shd w:val="clear" w:color="auto" w:fill="CCEEFF"/>
          </w:tcPr>
          <w:p>
            <w:pPr>
              <w:ind w:left="40"/>
              <w:spacing w:after="0" w:line="163" w:lineRule="exact"/>
              <w:rPr>
                <w:sz w:val="20"/>
                <w:szCs w:val="20"/>
                <w:color w:val="auto"/>
              </w:rPr>
            </w:pPr>
            <w:r>
              <w:rPr>
                <w:rFonts w:ascii="Arial" w:cs="Arial" w:eastAsia="Arial" w:hAnsi="Arial"/>
                <w:sz w:val="16"/>
                <w:szCs w:val="16"/>
                <w:color w:val="auto"/>
                <w:w w:val="94"/>
              </w:rPr>
              <w:t>Certification of Principal Executive Officer, Principal Financial Officer and Principal Accounting Officer pursuant to Section</w:t>
            </w:r>
          </w:p>
        </w:tc>
        <w:tc>
          <w:tcPr>
            <w:tcW w:w="0" w:type="dxa"/>
            <w:vAlign w:val="bottom"/>
          </w:tcPr>
          <w:p>
            <w:pPr>
              <w:spacing w:after="0"/>
              <w:rPr>
                <w:sz w:val="1"/>
                <w:szCs w:val="1"/>
                <w:color w:val="auto"/>
              </w:rPr>
            </w:pPr>
          </w:p>
        </w:tc>
      </w:tr>
      <w:tr>
        <w:trPr>
          <w:trHeight w:val="116"/>
        </w:trPr>
        <w:tc>
          <w:tcPr>
            <w:tcW w:w="800" w:type="dxa"/>
            <w:vAlign w:val="bottom"/>
            <w:gridSpan w:val="5"/>
            <w:vMerge w:val="continue"/>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1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302 of the Sarbanes-Oxley Act of 2002</w:t>
            </w:r>
          </w:p>
        </w:tc>
        <w:tc>
          <w:tcPr>
            <w:tcW w:w="0" w:type="dxa"/>
            <w:vAlign w:val="bottom"/>
          </w:tcPr>
          <w:p>
            <w:pPr>
              <w:spacing w:after="0"/>
              <w:rPr>
                <w:sz w:val="1"/>
                <w:szCs w:val="1"/>
                <w:color w:val="auto"/>
              </w:rPr>
            </w:pPr>
          </w:p>
        </w:tc>
      </w:tr>
      <w:tr>
        <w:trPr>
          <w:trHeight w:val="106"/>
        </w:trPr>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0000FF"/>
              <w:bottom w:val="single" w:sz="8" w:color="CCEEFF"/>
            </w:tcBorders>
            <w:shd w:val="clear" w:color="auto" w:fill="CCEEFF"/>
          </w:tcPr>
          <w:p>
            <w:pPr>
              <w:spacing w:after="0"/>
              <w:rPr>
                <w:sz w:val="9"/>
                <w:szCs w:val="9"/>
                <w:color w:val="auto"/>
              </w:rPr>
            </w:pPr>
          </w:p>
        </w:tc>
        <w:tc>
          <w:tcPr>
            <w:tcW w:w="160" w:type="dxa"/>
            <w:vAlign w:val="bottom"/>
            <w:tcBorders>
              <w:top w:val="single" w:sz="8" w:color="0000FF"/>
              <w:bottom w:val="single" w:sz="8" w:color="CCEEFF"/>
            </w:tcBorders>
            <w:shd w:val="clear" w:color="auto" w:fill="CCEEFF"/>
          </w:tcPr>
          <w:p>
            <w:pPr>
              <w:spacing w:after="0"/>
              <w:rPr>
                <w:sz w:val="9"/>
                <w:szCs w:val="9"/>
                <w:color w:val="auto"/>
              </w:rPr>
            </w:pPr>
          </w:p>
        </w:tc>
        <w:tc>
          <w:tcPr>
            <w:tcW w:w="60" w:type="dxa"/>
            <w:vAlign w:val="bottom"/>
            <w:tcBorders>
              <w:top w:val="single" w:sz="8" w:color="0000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320" w:type="dxa"/>
            <w:vAlign w:val="bottom"/>
            <w:tcBorders>
              <w:top w:val="single" w:sz="8" w:color="CCEEFF"/>
              <w:bottom w:val="single" w:sz="8" w:color="CCEEFF"/>
            </w:tcBorders>
            <w:shd w:val="clear" w:color="auto" w:fill="CCEEFF"/>
          </w:tcPr>
          <w:p>
            <w:pPr>
              <w:spacing w:after="0"/>
              <w:rPr>
                <w:sz w:val="9"/>
                <w:szCs w:val="9"/>
                <w:color w:val="auto"/>
              </w:rPr>
            </w:pPr>
          </w:p>
        </w:tc>
        <w:tc>
          <w:tcPr>
            <w:tcW w:w="8140" w:type="dxa"/>
            <w:vAlign w:val="bottom"/>
            <w:tcBorders>
              <w:top w:val="single" w:sz="8" w:color="CCEEFF"/>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vMerge w:val="restart"/>
          </w:tcPr>
          <w:p>
            <w:pPr>
              <w:jc w:val="center"/>
              <w:spacing w:after="0"/>
              <w:rPr>
                <w:sz w:val="20"/>
                <w:szCs w:val="20"/>
                <w:color w:val="auto"/>
              </w:rPr>
            </w:pPr>
            <w:r>
              <w:rPr>
                <w:rFonts w:ascii="Arial" w:cs="Arial" w:eastAsia="Arial" w:hAnsi="Arial"/>
                <w:sz w:val="16"/>
                <w:szCs w:val="16"/>
                <w:color w:val="0000FF"/>
                <w:w w:val="89"/>
              </w:rPr>
              <w:t>32</w:t>
            </w: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jc w:val="right"/>
              <w:spacing w:after="0" w:line="163" w:lineRule="exact"/>
              <w:rPr>
                <w:sz w:val="20"/>
                <w:szCs w:val="20"/>
                <w:color w:val="auto"/>
              </w:rPr>
            </w:pPr>
            <w:r>
              <w:rPr>
                <w:rFonts w:ascii="Arial" w:cs="Arial" w:eastAsia="Arial" w:hAnsi="Arial"/>
                <w:sz w:val="16"/>
                <w:szCs w:val="16"/>
                <w:color w:val="auto"/>
              </w:rPr>
              <w:t>**</w:t>
            </w:r>
          </w:p>
        </w:tc>
        <w:tc>
          <w:tcPr>
            <w:tcW w:w="8140" w:type="dxa"/>
            <w:vAlign w:val="bottom"/>
          </w:tcPr>
          <w:p>
            <w:pPr>
              <w:ind w:left="40"/>
              <w:spacing w:after="0" w:line="163" w:lineRule="exact"/>
              <w:rPr>
                <w:sz w:val="20"/>
                <w:szCs w:val="20"/>
                <w:color w:val="auto"/>
              </w:rPr>
            </w:pPr>
            <w:r>
              <w:rPr>
                <w:rFonts w:ascii="Arial" w:cs="Arial" w:eastAsia="Arial" w:hAnsi="Arial"/>
                <w:sz w:val="16"/>
                <w:szCs w:val="16"/>
                <w:color w:val="auto"/>
                <w:w w:val="98"/>
              </w:rPr>
              <w:t>Certification of Principal Executive Officer, Principal Financial Officer and Principal Accounting Officer pursuant to 18</w:t>
            </w:r>
          </w:p>
        </w:tc>
        <w:tc>
          <w:tcPr>
            <w:tcW w:w="0" w:type="dxa"/>
            <w:vAlign w:val="bottom"/>
          </w:tcPr>
          <w:p>
            <w:pPr>
              <w:spacing w:after="0"/>
              <w:rPr>
                <w:sz w:val="1"/>
                <w:szCs w:val="1"/>
                <w:color w:val="auto"/>
              </w:rPr>
            </w:pPr>
          </w:p>
        </w:tc>
      </w:tr>
      <w:tr>
        <w:trPr>
          <w:trHeight w:val="148"/>
        </w:trPr>
        <w:tc>
          <w:tcPr>
            <w:tcW w:w="320" w:type="dxa"/>
            <w:vAlign w:val="bottom"/>
            <w:gridSpan w:val="2"/>
          </w:tcPr>
          <w:p>
            <w:pPr>
              <w:spacing w:after="0"/>
              <w:rPr>
                <w:sz w:val="12"/>
                <w:szCs w:val="12"/>
                <w:color w:val="auto"/>
              </w:rPr>
            </w:pPr>
          </w:p>
        </w:tc>
        <w:tc>
          <w:tcPr>
            <w:tcW w:w="160" w:type="dxa"/>
            <w:vAlign w:val="bottom"/>
            <w:tcBorders>
              <w:bottom w:val="single" w:sz="8" w:color="0000FF"/>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140" w:type="dxa"/>
            <w:vAlign w:val="bottom"/>
          </w:tcPr>
          <w:p>
            <w:pPr>
              <w:ind w:left="40"/>
              <w:spacing w:after="0" w:line="136" w:lineRule="exact"/>
              <w:rPr>
                <w:sz w:val="20"/>
                <w:szCs w:val="20"/>
                <w:color w:val="auto"/>
              </w:rPr>
            </w:pPr>
            <w:r>
              <w:rPr>
                <w:rFonts w:ascii="Arial" w:cs="Arial" w:eastAsia="Arial" w:hAnsi="Arial"/>
                <w:sz w:val="15"/>
                <w:szCs w:val="15"/>
                <w:color w:val="auto"/>
              </w:rPr>
              <w:t>U.S.C. Section 1350, as adopted pursuant to Section 906 of the Sarbanes-Oxley Act of 2002</w:t>
            </w:r>
          </w:p>
        </w:tc>
        <w:tc>
          <w:tcPr>
            <w:tcW w:w="0" w:type="dxa"/>
            <w:vAlign w:val="bottom"/>
          </w:tcPr>
          <w:p>
            <w:pPr>
              <w:spacing w:after="0"/>
              <w:rPr>
                <w:sz w:val="1"/>
                <w:szCs w:val="1"/>
                <w:color w:val="auto"/>
              </w:rPr>
            </w:pPr>
          </w:p>
        </w:tc>
      </w:tr>
      <w:tr>
        <w:trPr>
          <w:trHeight w:val="153"/>
        </w:trPr>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00" w:type="dxa"/>
            <w:vAlign w:val="bottom"/>
            <w:gridSpan w:val="5"/>
            <w:vMerge w:val="restart"/>
            <w:shd w:val="clear" w:color="auto" w:fill="CCEEFF"/>
          </w:tcPr>
          <w:p>
            <w:pPr>
              <w:jc w:val="center"/>
              <w:ind w:right="20"/>
              <w:spacing w:after="0"/>
              <w:rPr>
                <w:sz w:val="20"/>
                <w:szCs w:val="20"/>
                <w:color w:val="auto"/>
              </w:rPr>
            </w:pPr>
            <w:r>
              <w:rPr>
                <w:rFonts w:ascii="Arial" w:cs="Arial" w:eastAsia="Arial" w:hAnsi="Arial"/>
                <w:sz w:val="16"/>
                <w:szCs w:val="16"/>
                <w:color w:val="auto"/>
                <w:w w:val="93"/>
              </w:rPr>
              <w:t>101.INS</w:t>
            </w:r>
          </w:p>
        </w:tc>
        <w:tc>
          <w:tcPr>
            <w:tcW w:w="320" w:type="dxa"/>
            <w:vAlign w:val="bottom"/>
            <w:shd w:val="clear" w:color="auto" w:fill="CCEEFF"/>
          </w:tcPr>
          <w:p>
            <w:pPr>
              <w:spacing w:after="0"/>
              <w:rPr>
                <w:sz w:val="18"/>
                <w:szCs w:val="18"/>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1"/>
              </w:rPr>
              <w:t>Inline XBRL Instance Document - the instance document does not appear in the Interactive Data File because its XBRL tags</w:t>
            </w:r>
          </w:p>
        </w:tc>
        <w:tc>
          <w:tcPr>
            <w:tcW w:w="0" w:type="dxa"/>
            <w:vAlign w:val="bottom"/>
          </w:tcPr>
          <w:p>
            <w:pPr>
              <w:spacing w:after="0"/>
              <w:rPr>
                <w:sz w:val="1"/>
                <w:szCs w:val="1"/>
                <w:color w:val="auto"/>
              </w:rPr>
            </w:pPr>
          </w:p>
        </w:tc>
      </w:tr>
      <w:tr>
        <w:trPr>
          <w:trHeight w:val="98"/>
        </w:trPr>
        <w:tc>
          <w:tcPr>
            <w:tcW w:w="800" w:type="dxa"/>
            <w:vAlign w:val="bottom"/>
            <w:gridSpan w:val="5"/>
            <w:vMerge w:val="continue"/>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1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are embedded within the Inline XBRL document</w:t>
            </w:r>
          </w:p>
        </w:tc>
        <w:tc>
          <w:tcPr>
            <w:tcW w:w="0" w:type="dxa"/>
            <w:vAlign w:val="bottom"/>
          </w:tcPr>
          <w:p>
            <w:pPr>
              <w:spacing w:after="0"/>
              <w:rPr>
                <w:sz w:val="1"/>
                <w:szCs w:val="1"/>
                <w:color w:val="auto"/>
              </w:rPr>
            </w:pPr>
          </w:p>
        </w:tc>
      </w:tr>
      <w:tr>
        <w:trPr>
          <w:trHeight w:val="112"/>
        </w:trPr>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14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800" w:type="dxa"/>
            <w:vAlign w:val="bottom"/>
            <w:gridSpan w:val="5"/>
          </w:tcPr>
          <w:p>
            <w:pPr>
              <w:jc w:val="center"/>
              <w:spacing w:after="0"/>
              <w:rPr>
                <w:sz w:val="20"/>
                <w:szCs w:val="20"/>
                <w:color w:val="auto"/>
              </w:rPr>
            </w:pPr>
            <w:r>
              <w:rPr>
                <w:rFonts w:ascii="Arial" w:cs="Arial" w:eastAsia="Arial" w:hAnsi="Arial"/>
                <w:sz w:val="16"/>
                <w:szCs w:val="16"/>
                <w:color w:val="auto"/>
                <w:w w:val="92"/>
              </w:rPr>
              <w:t>101.SCH</w:t>
            </w:r>
          </w:p>
        </w:tc>
        <w:tc>
          <w:tcPr>
            <w:tcW w:w="32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rPr>
              <w:t>Inline XBRL Taxonomy Extension Schema</w:t>
            </w:r>
          </w:p>
        </w:tc>
        <w:tc>
          <w:tcPr>
            <w:tcW w:w="0" w:type="dxa"/>
            <w:vAlign w:val="bottom"/>
          </w:tcPr>
          <w:p>
            <w:pPr>
              <w:spacing w:after="0"/>
              <w:rPr>
                <w:sz w:val="1"/>
                <w:szCs w:val="1"/>
                <w:color w:val="auto"/>
              </w:rPr>
            </w:pPr>
          </w:p>
        </w:tc>
      </w:tr>
      <w:tr>
        <w:trPr>
          <w:trHeight w:val="256"/>
        </w:trPr>
        <w:tc>
          <w:tcPr>
            <w:tcW w:w="80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6"/>
              </w:rPr>
              <w:t>101.CAL</w:t>
            </w:r>
          </w:p>
        </w:tc>
        <w:tc>
          <w:tcPr>
            <w:tcW w:w="320" w:type="dxa"/>
            <w:vAlign w:val="bottom"/>
            <w:shd w:val="clear" w:color="auto" w:fill="CCEEFF"/>
          </w:tcPr>
          <w:p>
            <w:pPr>
              <w:spacing w:after="0"/>
              <w:rPr>
                <w:sz w:val="22"/>
                <w:szCs w:val="22"/>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Inline XBRL Taxonomy Extension Calculation Linkbase</w:t>
            </w:r>
          </w:p>
        </w:tc>
        <w:tc>
          <w:tcPr>
            <w:tcW w:w="0" w:type="dxa"/>
            <w:vAlign w:val="bottom"/>
          </w:tcPr>
          <w:p>
            <w:pPr>
              <w:spacing w:after="0"/>
              <w:rPr>
                <w:sz w:val="1"/>
                <w:szCs w:val="1"/>
                <w:color w:val="auto"/>
              </w:rPr>
            </w:pPr>
          </w:p>
        </w:tc>
      </w:tr>
      <w:tr>
        <w:trPr>
          <w:trHeight w:val="250"/>
        </w:trPr>
        <w:tc>
          <w:tcPr>
            <w:tcW w:w="800" w:type="dxa"/>
            <w:vAlign w:val="bottom"/>
            <w:gridSpan w:val="5"/>
          </w:tcPr>
          <w:p>
            <w:pPr>
              <w:jc w:val="center"/>
              <w:ind w:right="20"/>
              <w:spacing w:after="0"/>
              <w:rPr>
                <w:sz w:val="20"/>
                <w:szCs w:val="20"/>
                <w:color w:val="auto"/>
              </w:rPr>
            </w:pPr>
            <w:r>
              <w:rPr>
                <w:rFonts w:ascii="Arial" w:cs="Arial" w:eastAsia="Arial" w:hAnsi="Arial"/>
                <w:sz w:val="16"/>
                <w:szCs w:val="16"/>
                <w:color w:val="auto"/>
                <w:w w:val="91"/>
              </w:rPr>
              <w:t>101.DEF</w:t>
            </w:r>
          </w:p>
        </w:tc>
        <w:tc>
          <w:tcPr>
            <w:tcW w:w="32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rPr>
              <w:t>Inline XBRL Taxonomy Extension Definition Linkbase</w:t>
            </w:r>
          </w:p>
        </w:tc>
        <w:tc>
          <w:tcPr>
            <w:tcW w:w="0" w:type="dxa"/>
            <w:vAlign w:val="bottom"/>
          </w:tcPr>
          <w:p>
            <w:pPr>
              <w:spacing w:after="0"/>
              <w:rPr>
                <w:sz w:val="1"/>
                <w:szCs w:val="1"/>
                <w:color w:val="auto"/>
              </w:rPr>
            </w:pPr>
          </w:p>
        </w:tc>
      </w:tr>
      <w:tr>
        <w:trPr>
          <w:trHeight w:val="256"/>
        </w:trPr>
        <w:tc>
          <w:tcPr>
            <w:tcW w:w="800" w:type="dxa"/>
            <w:vAlign w:val="bottom"/>
            <w:gridSpan w:val="5"/>
            <w:shd w:val="clear" w:color="auto" w:fill="CCEEFF"/>
          </w:tcPr>
          <w:p>
            <w:pPr>
              <w:jc w:val="center"/>
              <w:spacing w:after="0"/>
              <w:rPr>
                <w:sz w:val="20"/>
                <w:szCs w:val="20"/>
                <w:color w:val="auto"/>
              </w:rPr>
            </w:pPr>
            <w:r>
              <w:rPr>
                <w:rFonts w:ascii="Arial" w:cs="Arial" w:eastAsia="Arial" w:hAnsi="Arial"/>
                <w:sz w:val="16"/>
                <w:szCs w:val="16"/>
                <w:color w:val="auto"/>
                <w:w w:val="97"/>
              </w:rPr>
              <w:t>101.LAB</w:t>
            </w:r>
          </w:p>
        </w:tc>
        <w:tc>
          <w:tcPr>
            <w:tcW w:w="320" w:type="dxa"/>
            <w:vAlign w:val="bottom"/>
            <w:shd w:val="clear" w:color="auto" w:fill="CCEEFF"/>
          </w:tcPr>
          <w:p>
            <w:pPr>
              <w:spacing w:after="0"/>
              <w:rPr>
                <w:sz w:val="22"/>
                <w:szCs w:val="22"/>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Inline XBRL Taxonomy Extension Label Linkbase</w:t>
            </w:r>
          </w:p>
        </w:tc>
        <w:tc>
          <w:tcPr>
            <w:tcW w:w="0" w:type="dxa"/>
            <w:vAlign w:val="bottom"/>
          </w:tcPr>
          <w:p>
            <w:pPr>
              <w:spacing w:after="0"/>
              <w:rPr>
                <w:sz w:val="1"/>
                <w:szCs w:val="1"/>
                <w:color w:val="auto"/>
              </w:rPr>
            </w:pPr>
          </w:p>
        </w:tc>
      </w:tr>
      <w:tr>
        <w:trPr>
          <w:trHeight w:val="250"/>
        </w:trPr>
        <w:tc>
          <w:tcPr>
            <w:tcW w:w="800" w:type="dxa"/>
            <w:vAlign w:val="bottom"/>
            <w:gridSpan w:val="5"/>
          </w:tcPr>
          <w:p>
            <w:pPr>
              <w:jc w:val="center"/>
              <w:spacing w:after="0"/>
              <w:rPr>
                <w:sz w:val="20"/>
                <w:szCs w:val="20"/>
                <w:color w:val="auto"/>
              </w:rPr>
            </w:pPr>
            <w:r>
              <w:rPr>
                <w:rFonts w:ascii="Arial" w:cs="Arial" w:eastAsia="Arial" w:hAnsi="Arial"/>
                <w:sz w:val="16"/>
                <w:szCs w:val="16"/>
                <w:color w:val="auto"/>
                <w:w w:val="87"/>
              </w:rPr>
              <w:t>101.PRE</w:t>
            </w:r>
          </w:p>
        </w:tc>
        <w:tc>
          <w:tcPr>
            <w:tcW w:w="320" w:type="dxa"/>
            <w:vAlign w:val="bottom"/>
          </w:tcPr>
          <w:p>
            <w:pPr>
              <w:spacing w:after="0"/>
              <w:rPr>
                <w:sz w:val="21"/>
                <w:szCs w:val="21"/>
                <w:color w:val="auto"/>
              </w:rPr>
            </w:pPr>
          </w:p>
        </w:tc>
        <w:tc>
          <w:tcPr>
            <w:tcW w:w="8140" w:type="dxa"/>
            <w:vAlign w:val="bottom"/>
          </w:tcPr>
          <w:p>
            <w:pPr>
              <w:ind w:left="40"/>
              <w:spacing w:after="0"/>
              <w:rPr>
                <w:sz w:val="20"/>
                <w:szCs w:val="20"/>
                <w:color w:val="auto"/>
              </w:rPr>
            </w:pPr>
            <w:r>
              <w:rPr>
                <w:rFonts w:ascii="Arial" w:cs="Arial" w:eastAsia="Arial" w:hAnsi="Arial"/>
                <w:sz w:val="16"/>
                <w:szCs w:val="16"/>
                <w:color w:val="auto"/>
              </w:rPr>
              <w:t>Inline XBRL Taxonomy Extension Presentation Linkbase</w:t>
            </w:r>
          </w:p>
        </w:tc>
        <w:tc>
          <w:tcPr>
            <w:tcW w:w="0" w:type="dxa"/>
            <w:vAlign w:val="bottom"/>
          </w:tcPr>
          <w:p>
            <w:pPr>
              <w:spacing w:after="0"/>
              <w:rPr>
                <w:sz w:val="1"/>
                <w:szCs w:val="1"/>
                <w:color w:val="auto"/>
              </w:rPr>
            </w:pPr>
          </w:p>
        </w:tc>
      </w:tr>
      <w:tr>
        <w:trPr>
          <w:trHeight w:val="256"/>
        </w:trPr>
        <w:tc>
          <w:tcPr>
            <w:tcW w:w="540" w:type="dxa"/>
            <w:vAlign w:val="bottom"/>
            <w:gridSpan w:val="4"/>
            <w:shd w:val="clear" w:color="auto" w:fill="CCEEFF"/>
          </w:tcPr>
          <w:p>
            <w:pPr>
              <w:jc w:val="center"/>
              <w:ind w:left="180"/>
              <w:spacing w:after="0"/>
              <w:rPr>
                <w:sz w:val="20"/>
                <w:szCs w:val="20"/>
                <w:color w:val="auto"/>
              </w:rPr>
            </w:pPr>
            <w:r>
              <w:rPr>
                <w:rFonts w:ascii="Arial" w:cs="Arial" w:eastAsia="Arial" w:hAnsi="Arial"/>
                <w:sz w:val="16"/>
                <w:szCs w:val="16"/>
                <w:color w:val="auto"/>
                <w:w w:val="89"/>
              </w:rPr>
              <w:t>104</w:t>
            </w:r>
          </w:p>
        </w:tc>
        <w:tc>
          <w:tcPr>
            <w:tcW w:w="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1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74" w:lineRule="exact"/>
        <w:rPr>
          <w:sz w:val="20"/>
          <w:szCs w:val="20"/>
          <w:color w:val="auto"/>
        </w:rPr>
      </w:pPr>
    </w:p>
    <w:p>
      <w:pPr>
        <w:ind w:left="1380" w:hanging="371"/>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46" w:lineRule="exact"/>
        <w:rPr>
          <w:sz w:val="20"/>
          <w:szCs w:val="20"/>
          <w:color w:val="auto"/>
        </w:rPr>
      </w:pPr>
    </w:p>
    <w:p>
      <w:pPr>
        <w:ind w:left="1380" w:hanging="371"/>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60"/>
          </w:cols>
          <w:pgMar w:left="320" w:top="122" w:right="13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J. Mazzo, PhD, certify that:</w:t>
      </w:r>
    </w:p>
    <w:p>
      <w:pPr>
        <w:spacing w:after="0" w:line="219" w:lineRule="exact"/>
        <w:rPr>
          <w:sz w:val="20"/>
          <w:szCs w:val="20"/>
          <w:color w:val="auto"/>
        </w:rPr>
      </w:pPr>
    </w:p>
    <w:p>
      <w:pPr>
        <w:ind w:left="220" w:hanging="214"/>
        <w:spacing w:after="0"/>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Lisata Therapeutics, Inc.;</w:t>
      </w:r>
    </w:p>
    <w:p>
      <w:pPr>
        <w:spacing w:after="0" w:line="218" w:lineRule="exact"/>
        <w:rPr>
          <w:rFonts w:ascii="Arial" w:cs="Arial" w:eastAsia="Arial" w:hAnsi="Arial"/>
          <w:sz w:val="18"/>
          <w:szCs w:val="18"/>
          <w:color w:val="auto"/>
        </w:rPr>
      </w:pPr>
    </w:p>
    <w:p>
      <w:pPr>
        <w:ind w:right="20" w:firstLine="6"/>
        <w:spacing w:after="0" w:line="330" w:lineRule="auto"/>
        <w:tabs>
          <w:tab w:leader="none" w:pos="27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6"/>
          <w:szCs w:val="16"/>
          <w:color w:val="auto"/>
        </w:rPr>
      </w:pPr>
    </w:p>
    <w:p>
      <w:pPr>
        <w:ind w:firstLine="6"/>
        <w:spacing w:after="0" w:line="266" w:lineRule="auto"/>
        <w:tabs>
          <w:tab w:leader="none" w:pos="279"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8"/>
          <w:szCs w:val="18"/>
          <w:color w:val="auto"/>
        </w:rPr>
      </w:pPr>
    </w:p>
    <w:p>
      <w:pPr>
        <w:ind w:firstLine="6"/>
        <w:spacing w:after="0" w:line="296"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6" w:lineRule="exact"/>
        <w:rPr>
          <w:rFonts w:ascii="Arial" w:cs="Arial" w:eastAsia="Arial" w:hAnsi="Arial"/>
          <w:sz w:val="17"/>
          <w:szCs w:val="17"/>
          <w:color w:val="auto"/>
        </w:rPr>
      </w:pPr>
    </w:p>
    <w:p>
      <w:pPr>
        <w:jc w:val="both"/>
        <w:ind w:left="640" w:firstLine="5"/>
        <w:spacing w:after="0" w:line="256" w:lineRule="auto"/>
        <w:tabs>
          <w:tab w:leader="none" w:pos="896"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640" w:firstLine="5"/>
        <w:spacing w:after="0" w:line="256" w:lineRule="auto"/>
        <w:tabs>
          <w:tab w:leader="none" w:pos="86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ind w:left="640" w:firstLine="5"/>
        <w:spacing w:after="0" w:line="296" w:lineRule="auto"/>
        <w:tabs>
          <w:tab w:leader="none" w:pos="868" w:val="left"/>
        </w:tabs>
        <w:numPr>
          <w:ilvl w:val="1"/>
          <w:numId w:val="1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56" w:lineRule="exact"/>
        <w:rPr>
          <w:rFonts w:ascii="Arial" w:cs="Arial" w:eastAsia="Arial" w:hAnsi="Arial"/>
          <w:sz w:val="17"/>
          <w:szCs w:val="17"/>
          <w:color w:val="auto"/>
        </w:rPr>
      </w:pPr>
    </w:p>
    <w:p>
      <w:pPr>
        <w:jc w:val="both"/>
        <w:ind w:left="640" w:firstLine="5"/>
        <w:spacing w:after="0" w:line="256" w:lineRule="auto"/>
        <w:tabs>
          <w:tab w:leader="none" w:pos="84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firstLine="6"/>
        <w:spacing w:after="0" w:line="266" w:lineRule="auto"/>
        <w:tabs>
          <w:tab w:leader="none" w:pos="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8"/>
          <w:szCs w:val="18"/>
          <w:color w:val="auto"/>
        </w:rPr>
      </w:pPr>
    </w:p>
    <w:p>
      <w:pPr>
        <w:ind w:left="640" w:firstLine="5"/>
        <w:spacing w:after="0" w:line="266" w:lineRule="auto"/>
        <w:tabs>
          <w:tab w:leader="none" w:pos="886"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8"/>
          <w:szCs w:val="18"/>
          <w:color w:val="auto"/>
        </w:rPr>
      </w:pPr>
    </w:p>
    <w:p>
      <w:pPr>
        <w:ind w:left="640" w:firstLine="5"/>
        <w:spacing w:after="0" w:line="266" w:lineRule="auto"/>
        <w:tabs>
          <w:tab w:leader="none" w:pos="84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2023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David J. Mazzo,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-13335</wp:posOffset>
            </wp:positionV>
            <wp:extent cx="1214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1412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 David J. Mazzo, PhD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&amp; Chief Executive Officer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 Principal Financial Officer and Principal Accounting Officer)</w:t>
      </w:r>
    </w:p>
    <w:p>
      <w:pPr>
        <w:sectPr>
          <w:pgSz w:w="11900" w:h="16838" w:orient="portrait"/>
          <w:cols w:equalWidth="0" w:num="1">
            <w:col w:w="11240"/>
          </w:cols>
          <w:pgMar w:left="320" w:top="880"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connection with the Quarterly Report on Form 10-Q of Lisata Therapeutics, Inc. (the “Company”) for the quarter ended September 30, 2023 filed with the Securities and Exchange Commission on the date hereof (the “Report”), I, David J. Mazzo, Chief Executive Officer of the Company, certify, pursuant to 18 U.S.C. Section 1350, as adopted pursuant to Section 906 of the Sarbanes-Oxley Act of 2002, to my knowledge that:</w:t>
      </w:r>
    </w:p>
    <w:p>
      <w:pPr>
        <w:spacing w:after="0" w:line="200" w:lineRule="exact"/>
        <w:rPr>
          <w:sz w:val="20"/>
          <w:szCs w:val="20"/>
          <w:color w:val="auto"/>
        </w:rPr>
      </w:pPr>
    </w:p>
    <w:p>
      <w:pPr>
        <w:spacing w:after="0" w:line="210" w:lineRule="exact"/>
        <w:rPr>
          <w:sz w:val="20"/>
          <w:szCs w:val="20"/>
          <w:color w:val="auto"/>
        </w:rPr>
      </w:pPr>
    </w:p>
    <w:p>
      <w:pPr>
        <w:ind w:left="640" w:hanging="314"/>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45" w:lineRule="exact"/>
        <w:rPr>
          <w:rFonts w:ascii="Arial" w:cs="Arial" w:eastAsia="Arial" w:hAnsi="Arial"/>
          <w:sz w:val="18"/>
          <w:szCs w:val="18"/>
          <w:color w:val="auto"/>
        </w:rPr>
      </w:pPr>
    </w:p>
    <w:p>
      <w:pPr>
        <w:ind w:left="640" w:right="20" w:hanging="314"/>
        <w:spacing w:after="0" w:line="266" w:lineRule="auto"/>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of the Company as of the dates presented and the results of operations of the Company for the periods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2, 2023</w:t>
      </w:r>
    </w:p>
    <w:p>
      <w:pPr>
        <w:spacing w:after="0" w:line="259" w:lineRule="exact"/>
        <w:rPr>
          <w:sz w:val="20"/>
          <w:szCs w:val="20"/>
          <w:color w:val="auto"/>
        </w:rPr>
      </w:pPr>
    </w:p>
    <w:p>
      <w:pPr>
        <w:ind w:left="6280"/>
        <w:spacing w:after="0"/>
        <w:rPr>
          <w:sz w:val="20"/>
          <w:szCs w:val="20"/>
          <w:color w:val="auto"/>
        </w:rPr>
      </w:pPr>
      <w:r>
        <w:rPr>
          <w:rFonts w:ascii="Arial" w:cs="Arial" w:eastAsia="Arial" w:hAnsi="Arial"/>
          <w:sz w:val="18"/>
          <w:szCs w:val="18"/>
          <w:u w:val="single" w:color="auto"/>
          <w:color w:val="auto"/>
        </w:rPr>
        <w:t>/s/ David J. Mazzo, PhD</w:t>
      </w:r>
    </w:p>
    <w:p>
      <w:pPr>
        <w:spacing w:after="0" w:line="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David J. Mazzo, PhD</w:t>
      </w:r>
    </w:p>
    <w:p>
      <w:pPr>
        <w:spacing w:after="0" w:line="1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President &amp; Chief Executive Officer (Principal Executive Officer,</w:t>
      </w:r>
    </w:p>
    <w:p>
      <w:pPr>
        <w:ind w:left="62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311" w:lineRule="exact"/>
        <w:rPr>
          <w:sz w:val="20"/>
          <w:szCs w:val="20"/>
          <w:color w:val="auto"/>
        </w:rPr>
      </w:pPr>
    </w:p>
    <w:p>
      <w:pPr>
        <w:spacing w:after="0" w:line="296" w:lineRule="auto"/>
        <w:rPr>
          <w:sz w:val="20"/>
          <w:szCs w:val="20"/>
          <w:color w:val="auto"/>
        </w:rPr>
      </w:pPr>
      <w:r>
        <w:rPr>
          <w:rFonts w:ascii="Arial" w:cs="Arial" w:eastAsia="Arial" w:hAnsi="Arial"/>
          <w:sz w:val="17"/>
          <w:szCs w:val="17"/>
          <w:color w:val="auto"/>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sectPr>
      <w:pgSz w:w="11900" w:h="16838" w:orient="portrait"/>
      <w:cols w:equalWidth="0" w:num="1">
        <w:col w:w="11240"/>
      </w:cols>
      <w:pgMar w:left="320" w:top="8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lowerRoman"/>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2023-11-02T15:30:08Z</dcterms:created>
  <dcterms:modified xsi:type="dcterms:W3CDTF">2023-11-02T15:30:08Z</dcterms:modified>
</cp:coreProperties>
</file>