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78177_sc14d9a.htm"/>
      <w:bookmarkStart w:id="1" w:name="ksef20078177_sc14d9a"/>
      <w:bookmarkStart w:id="2" w:name="ef20078177_sc14d9a.htm"/>
      <w:bookmarkStart w:id="3" w:name="ksef20078177_sc14d9a"/>
      <w:bookmarkEnd w:id="2"/>
      <w:bookmarkEnd w:id="3"/>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center"/>
        <w:rPr>
          <w:b/>
          <w:color w:val="000000"/>
        </w:rPr>
      </w:pPr>
      <w:r>
        <w:rPr>
          <w:b/>
          <w:color w:val="000000"/>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SCHEDULE 14D-9</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(Rule 14d-101)</w:t>
      </w:r>
    </w:p>
    <w:p>
      <w:pPr>
        <w:pStyle w:val="TextBody"/>
        <w:bidi w:val="0"/>
        <w:spacing w:before="0" w:after="0"/>
        <w:jc w:val="center"/>
        <w:rPr>
          <w:b/>
          <w:color w:val="000000"/>
        </w:rPr>
      </w:pPr>
      <w:r>
        <w:rPr>
          <w:b/>
          <w:color w:val="00000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Solicitation/Recommendation Statement</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Under Section 14(d)(4) of the Securities Exchange Act of 1934</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(Amendment No. 3)</w:t>
      </w:r>
    </w:p>
    <w:p>
      <w:pPr>
        <w:pStyle w:val="TextBody"/>
        <w:bidi w:val="0"/>
        <w:spacing w:before="0" w:after="0"/>
        <w:jc w:val="center"/>
        <w:rPr>
          <w:b/>
          <w:color w:val="000000"/>
        </w:rPr>
      </w:pPr>
      <w:r>
        <w:rPr>
          <w:b/>
          <w:color w:val="000000"/>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Lisata Therapeutics,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of Subject Company)</w:t>
      </w:r>
    </w:p>
    <w:p>
      <w:pPr>
        <w:pStyle w:val="TextBody"/>
        <w:bidi w:val="0"/>
        <w:spacing w:before="0" w:after="0"/>
        <w:jc w:val="center"/>
        <w:rPr>
          <w:b/>
          <w:color w:val="000000"/>
        </w:rPr>
      </w:pPr>
      <w:r>
        <w:rPr>
          <w:b/>
          <w:color w:val="000000"/>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Lisata Therapeutics,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of Person Filing Statement)</w:t>
      </w:r>
    </w:p>
    <w:p>
      <w:pPr>
        <w:pStyle w:val="TextBody"/>
        <w:bidi w:val="0"/>
        <w:spacing w:before="0" w:after="0"/>
        <w:jc w:val="center"/>
        <w:rPr>
          <w:b/>
          <w:color w:val="000000"/>
        </w:rPr>
      </w:pPr>
      <w:r>
        <w:rPr>
          <w:b/>
          <w:color w:val="00000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Common Stock, par value $0.001 per share</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(Title of Class of Securities)</w:t>
      </w:r>
    </w:p>
    <w:p>
      <w:pPr>
        <w:pStyle w:val="TextBody"/>
        <w:bidi w:val="0"/>
        <w:spacing w:before="0" w:after="0"/>
        <w:jc w:val="center"/>
        <w:rPr>
          <w:b/>
          <w:color w:val="000000"/>
        </w:rPr>
      </w:pPr>
      <w:r>
        <w:rPr>
          <w:b/>
          <w:color w:val="00000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128058302</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(CUSIP Number of Class of Securities)</w:t>
      </w:r>
    </w:p>
    <w:p>
      <w:pPr>
        <w:pStyle w:val="TextBody"/>
        <w:bidi w:val="0"/>
        <w:spacing w:before="0" w:after="0"/>
        <w:jc w:val="center"/>
        <w:rPr>
          <w:b/>
          <w:color w:val="000000"/>
        </w:rPr>
      </w:pPr>
      <w:r>
        <w:rPr>
          <w:b/>
          <w:color w:val="00000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David J. Mazzo, Ph.D.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Chief Executive Officer</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Lisata Therapeutics,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P.O. Box 173, Liberty Corner,</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New Jersey 07938</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(908) 841-0100</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Address and Telephone Number of Person Authorized to Receive Notices and Communications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on Behalf of the Person Filing Statement)</w:t>
      </w:r>
    </w:p>
    <w:p>
      <w:pPr>
        <w:pStyle w:val="TextBody"/>
        <w:bidi w:val="0"/>
        <w:spacing w:before="0" w:after="0"/>
        <w:jc w:val="center"/>
        <w:rPr>
          <w:b/>
          <w:i/>
          <w:color w:val="000000"/>
        </w:rPr>
      </w:pPr>
      <w:r>
        <w:rPr>
          <w:b/>
          <w:i/>
          <w:color w:val="000000"/>
        </w:rPr>
      </w:r>
    </w:p>
    <w:p>
      <w:pPr>
        <w:pStyle w:val="TextBody"/>
        <w:bidi w:val="0"/>
        <w:spacing w:before="0" w:after="0"/>
        <w:jc w:val="center"/>
        <w:rPr>
          <w:rFonts w:ascii="Times New Roman" w:hAnsi="Times New Roman"/>
          <w:b/>
          <w:i/>
          <w:color w:val="000000"/>
          <w:sz w:val="20"/>
        </w:rPr>
      </w:pPr>
      <w:r>
        <w:rPr>
          <w:rFonts w:ascii="Times New Roman" w:hAnsi="Times New Roman"/>
          <w:b/>
          <w:i/>
          <w:color w:val="000000"/>
          <w:sz w:val="20"/>
        </w:rPr>
        <w:t>With copies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Jeffrey P. Schultz, Esq.</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Mintz Levin Cohn Ferris Glovsky &amp; Popeo, P.C.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919 Third Avenue</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New York, NY 10022</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(212) 935-3000</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 w:name="z8bfb0c22940942d0ac1b092ce228121b"/>
      <w:bookmarkStart w:id="5" w:name="z8bfb0c22940942d0ac1b092ce228121b"/>
      <w:bookmarkEnd w:id="5"/>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jc w:val="left"/>
              <w:rPr>
                <w:color w:val="000000"/>
              </w:rPr>
            </w:pPr>
            <w:r>
              <w:rPr>
                <w:color w:val="000000"/>
              </w:rPr>
              <w:t>Check the box if the filing relates solely to preliminary communications made before the commencement of a tender offer.</w:t>
            </w:r>
          </w:p>
        </w:tc>
      </w:tr>
    </w:tbl>
    <w:p>
      <w:pPr>
        <w:pStyle w:val="TextBody"/>
        <w:bidi w:val="0"/>
        <w:spacing w:before="0" w:after="0"/>
        <w:jc w:val="left"/>
        <w:rPr>
          <w:color w:val="000000"/>
        </w:rPr>
      </w:pPr>
      <w:r>
        <w:rPr>
          <w:color w:val="000000"/>
        </w:rPr>
        <w:t xml:space="preserve">  </w:t>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bookmarkStart w:id="6" w:name="TOC"/>
      <w:bookmarkStart w:id="7" w:name="ny20069664x1_sc14d9_101-toc_pg1"/>
      <w:bookmarkEnd w:id="6"/>
      <w:bookmarkEnd w:id="7"/>
      <w:r>
        <w:rPr>
          <w:rFonts w:ascii="Times New Roman" w:hAnsi="Times New Roman"/>
          <w:color w:val="000000"/>
          <w:sz w:val="20"/>
        </w:rPr>
        <w:t>This Amendment No. 3 (this “</w:t>
      </w:r>
      <w:r>
        <w:rPr>
          <w:rFonts w:ascii="Times New Roman" w:hAnsi="Times New Roman"/>
          <w:b/>
          <w:color w:val="000000"/>
          <w:sz w:val="20"/>
        </w:rPr>
        <w:t>Amendment</w:t>
      </w:r>
      <w:r>
        <w:rPr>
          <w:rFonts w:ascii="Times New Roman" w:hAnsi="Times New Roman"/>
          <w:color w:val="000000"/>
          <w:sz w:val="20"/>
        </w:rPr>
        <w:t>”) to Schedule 14D-9 amends and supplements the Solicitation/Recommendation Statement on Schedule 14D-9 previously filed by Lisata Therapeutics, Inc., a Delaware corporation (the “</w:t>
      </w:r>
      <w:r>
        <w:rPr>
          <w:rFonts w:ascii="Times New Roman" w:hAnsi="Times New Roman"/>
          <w:b/>
          <w:color w:val="000000"/>
          <w:sz w:val="20"/>
        </w:rPr>
        <w:t>Company</w:t>
      </w:r>
      <w:r>
        <w:rPr>
          <w:rFonts w:ascii="Times New Roman" w:hAnsi="Times New Roman"/>
          <w:color w:val="000000"/>
          <w:sz w:val="20"/>
        </w:rPr>
        <w:t>”), with the U.S. Securities and Exchange Commission (the “</w:t>
      </w:r>
      <w:r>
        <w:rPr>
          <w:rFonts w:ascii="Times New Roman" w:hAnsi="Times New Roman"/>
          <w:b/>
          <w:color w:val="000000"/>
          <w:sz w:val="20"/>
        </w:rPr>
        <w:t>SEC</w:t>
      </w:r>
      <w:r>
        <w:rPr>
          <w:rFonts w:ascii="Times New Roman" w:hAnsi="Times New Roman"/>
          <w:color w:val="000000"/>
          <w:sz w:val="20"/>
        </w:rPr>
        <w:t>”) on June 10, 2026, (as amended or supplemented from time to time, the “</w:t>
      </w:r>
      <w:r>
        <w:rPr>
          <w:rFonts w:ascii="Times New Roman" w:hAnsi="Times New Roman"/>
          <w:b/>
          <w:color w:val="000000"/>
          <w:sz w:val="20"/>
        </w:rPr>
        <w:t>Schedule 14D-9</w:t>
      </w:r>
      <w:r>
        <w:rPr>
          <w:rFonts w:ascii="Times New Roman" w:hAnsi="Times New Roman"/>
          <w:color w:val="000000"/>
          <w:sz w:val="20"/>
        </w:rPr>
        <w:t>”), relating to the Tender Offer Statement on Schedule TO filed with the SEC on June 10, 2026 (together with any amendments and supplements thereto, the “</w:t>
      </w:r>
      <w:r>
        <w:rPr>
          <w:rFonts w:ascii="Times New Roman" w:hAnsi="Times New Roman"/>
          <w:b/>
          <w:color w:val="000000"/>
          <w:sz w:val="20"/>
        </w:rPr>
        <w:t>Schedule TO</w:t>
      </w:r>
      <w:r>
        <w:rPr>
          <w:rFonts w:ascii="Times New Roman" w:hAnsi="Times New Roman"/>
          <w:color w:val="000000"/>
          <w:sz w:val="20"/>
        </w:rPr>
        <w:t>”) by Kuva Acquisition Corp., a Delaware corporation (“</w:t>
      </w:r>
      <w:r>
        <w:rPr>
          <w:rFonts w:ascii="Times New Roman" w:hAnsi="Times New Roman"/>
          <w:b/>
          <w:color w:val="000000"/>
          <w:sz w:val="20"/>
        </w:rPr>
        <w:t>Purchaser”</w:t>
      </w:r>
      <w:r>
        <w:rPr>
          <w:rFonts w:ascii="Times New Roman" w:hAnsi="Times New Roman"/>
          <w:color w:val="000000"/>
          <w:sz w:val="20"/>
        </w:rPr>
        <w:t>) and a direct wholly owned subsidiary of  Kuva Labs Inc., a Delaware corporation (“</w:t>
      </w:r>
      <w:r>
        <w:rPr>
          <w:rFonts w:ascii="Times New Roman" w:hAnsi="Times New Roman"/>
          <w:b/>
          <w:color w:val="000000"/>
          <w:sz w:val="20"/>
        </w:rPr>
        <w:t>Parent</w:t>
      </w:r>
      <w:r>
        <w:rPr>
          <w:rFonts w:ascii="Times New Roman" w:hAnsi="Times New Roman"/>
          <w:color w:val="000000"/>
          <w:sz w:val="20"/>
        </w:rPr>
        <w:t>”).  The Schedule TO relates to the tender offer by Purchaser to purchase all of the outstanding shares of common stock, par value, $0.001 per share (the “</w:t>
      </w:r>
      <w:r>
        <w:rPr>
          <w:rFonts w:ascii="Times New Roman" w:hAnsi="Times New Roman"/>
          <w:b/>
          <w:color w:val="000000"/>
          <w:sz w:val="20"/>
        </w:rPr>
        <w:t>Common Shares</w:t>
      </w:r>
      <w:r>
        <w:rPr>
          <w:rFonts w:ascii="Times New Roman" w:hAnsi="Times New Roman"/>
          <w:color w:val="000000"/>
          <w:sz w:val="20"/>
        </w:rPr>
        <w:t>”), of the Company, at a purchase price of (i) $4.00 per Common Share, net to the seller in cash, without interest (the “</w:t>
      </w:r>
      <w:r>
        <w:rPr>
          <w:rFonts w:ascii="Times New Roman" w:hAnsi="Times New Roman"/>
          <w:b/>
          <w:color w:val="000000"/>
          <w:sz w:val="20"/>
        </w:rPr>
        <w:t>Closing Amount</w:t>
      </w:r>
      <w:r>
        <w:rPr>
          <w:rFonts w:ascii="Times New Roman" w:hAnsi="Times New Roman"/>
          <w:color w:val="000000"/>
          <w:sz w:val="20"/>
        </w:rPr>
        <w:t>”), plus (ii) one contingent value right (each, a “</w:t>
      </w:r>
      <w:r>
        <w:rPr>
          <w:rFonts w:ascii="Times New Roman" w:hAnsi="Times New Roman"/>
          <w:b/>
          <w:color w:val="000000"/>
          <w:sz w:val="20"/>
        </w:rPr>
        <w:t>CVR</w:t>
      </w:r>
      <w:r>
        <w:rPr>
          <w:rFonts w:ascii="Times New Roman" w:hAnsi="Times New Roman"/>
          <w:color w:val="000000"/>
          <w:sz w:val="20"/>
        </w:rPr>
        <w:t>”), which represents the contractual right to receive two contingent cash payments up to an aggregate of $3.00 per CVR subject to the achievement of the Milestones (as defined in the CVR Agreement), in accordance with the terms and subject to the conditions of a contingent value rights agreement (the “</w:t>
      </w:r>
      <w:r>
        <w:rPr>
          <w:rFonts w:ascii="Times New Roman" w:hAnsi="Times New Roman"/>
          <w:b/>
          <w:color w:val="000000"/>
          <w:sz w:val="20"/>
        </w:rPr>
        <w:t>CVR Agreement</w:t>
      </w:r>
      <w:r>
        <w:rPr>
          <w:rFonts w:ascii="Times New Roman" w:hAnsi="Times New Roman"/>
          <w:color w:val="000000"/>
          <w:sz w:val="20"/>
        </w:rPr>
        <w:t>”) to be entered into with a rights agent selected by Parent and reasonably acceptable to the Company (the “</w:t>
      </w:r>
      <w:r>
        <w:rPr>
          <w:rFonts w:ascii="Times New Roman" w:hAnsi="Times New Roman"/>
          <w:b/>
          <w:color w:val="000000"/>
          <w:sz w:val="20"/>
        </w:rPr>
        <w:t>Rights Agent</w:t>
      </w:r>
      <w:r>
        <w:rPr>
          <w:rFonts w:ascii="Times New Roman" w:hAnsi="Times New Roman"/>
          <w:color w:val="000000"/>
          <w:sz w:val="20"/>
        </w:rPr>
        <w:t>”) at the time provided for in the CVR Agreement, net to the seller in cash, without interest (the Closing Amount plus one CVR, collectively, or any higher amount per Common Share paid pursuant to the Offer, the “</w:t>
      </w:r>
      <w:r>
        <w:rPr>
          <w:rFonts w:ascii="Times New Roman" w:hAnsi="Times New Roman"/>
          <w:b/>
          <w:color w:val="000000"/>
          <w:sz w:val="20"/>
        </w:rPr>
        <w:t>Offer Price</w:t>
      </w:r>
      <w:r>
        <w:rPr>
          <w:rFonts w:ascii="Times New Roman" w:hAnsi="Times New Roman"/>
          <w:color w:val="000000"/>
          <w:sz w:val="20"/>
        </w:rPr>
        <w:t>”) and less any applicable tax withholding, upon the terms and subject to the conditions set forth in the Offer to Purchase dated June 10, 2026 (together with any amendments or supplements thereto, the “</w:t>
      </w:r>
      <w:r>
        <w:rPr>
          <w:rFonts w:ascii="Times New Roman" w:hAnsi="Times New Roman"/>
          <w:b/>
          <w:color w:val="000000"/>
          <w:sz w:val="20"/>
        </w:rPr>
        <w:t>Offer to Purchase</w:t>
      </w:r>
      <w:r>
        <w:rPr>
          <w:rFonts w:ascii="Times New Roman" w:hAnsi="Times New Roman"/>
          <w:color w:val="000000"/>
          <w:sz w:val="20"/>
        </w:rPr>
        <w:t>”), and in the accompanying Letter of Transmittal, copies of which were incorporated by reference into the Schedule 14D-9 as Exhibits (a)(1)(A) and (a)(1)(B), respectively (which, together with the Offer to Purchase, as each may be amended or supplemented from time to time, collectively constitute the “</w:t>
      </w:r>
      <w:r>
        <w:rPr>
          <w:rFonts w:ascii="Times New Roman" w:hAnsi="Times New Roman"/>
          <w:b/>
          <w:color w:val="000000"/>
          <w:sz w:val="20"/>
        </w:rPr>
        <w:t>Offer</w:t>
      </w:r>
      <w:r>
        <w:rPr>
          <w:rFonts w:ascii="Times New Roman" w:hAnsi="Times New Roman"/>
          <w:color w:val="000000"/>
          <w:sz w:val="20"/>
        </w:rPr>
        <w:t>”). The Offer is described in the Schedule TO.  Capitalized terms used and not defined herein shall have the meanings given to such terms in the Schedule 14D-9. This Amendment is being filed to reflect certain updates as reflected below.</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Except as otherwise set forth below, the information set forth in the Schedule 14D-9 remains unchanged and is incorporated by reference as relevant to the items in this Amendment. Capitalized terms used and not defined herein shall have the meanings given to such terms in the Schedule 14D-9. This Amendment is being filed to reflect certain updates as reflected below.</w:t>
      </w:r>
      <w:bookmarkStart w:id="8" w:name="ny20069664x1_sc14d9_102-items_pg20"/>
      <w:bookmarkStart w:id="9" w:name="ny20069664x1_sc14d9_102-items_pg19"/>
      <w:bookmarkStart w:id="10" w:name="ny20069664x1_sc14d9_102-items_pg18"/>
      <w:bookmarkStart w:id="11" w:name="ny20069664x1_sc14d9_102-items_pg17"/>
      <w:bookmarkStart w:id="12" w:name="ny20069664x1_sc14d9_102-items_pg16"/>
      <w:bookmarkStart w:id="13" w:name="ny20069664x1_sc14d9_102-items_pg15"/>
      <w:bookmarkStart w:id="14" w:name="ny20069664x1_sc14d9_102-items_pg14"/>
      <w:bookmarkStart w:id="15" w:name="ny20069664x1_sc14d9_102-items_pg13"/>
      <w:bookmarkStart w:id="16" w:name="ny20069664x1_sc14d9_102-items_pg12"/>
      <w:bookmarkStart w:id="17" w:name="ny20069664x1_sc14d9_102-items_pg11"/>
      <w:bookmarkStart w:id="18" w:name="ny20069664x1_sc14d9_102-items_pg10"/>
      <w:bookmarkStart w:id="19" w:name="ny20069664x1_sc14d9_102-items_pg9"/>
      <w:bookmarkStart w:id="20" w:name="ny20069664x1_sc14d9_102-items_pg8"/>
      <w:bookmarkStart w:id="21" w:name="ny20069664x1_sc14d9_102-items_pg7"/>
      <w:bookmarkStart w:id="22" w:name="ny20069664x1_sc14d9_102-items_pg6"/>
      <w:bookmarkStart w:id="23" w:name="ny20069664x1_sc14d9_102-items_pg5"/>
      <w:bookmarkStart w:id="24" w:name="tIT3"/>
      <w:bookmarkStart w:id="25" w:name="ny20069664x1_sc14d9_102-items_pg4"/>
      <w:bookmarkStart w:id="26" w:name="ny20069664x1_sc14d9_102-items_pg3"/>
      <w:bookmarkStart w:id="27" w:name="ny20069664x1_sc14d9_102-items_pg2"/>
      <w:bookmarkStart w:id="28" w:name="tIT2"/>
      <w:bookmarkStart w:id="29" w:name="tIT1"/>
      <w:bookmarkStart w:id="30" w:name="ny20069664x1_sc14d9_102-items_pg1"/>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1" w:name="z22778e14ac4b4676925ad5a385dc4f3c"/>
      <w:bookmarkStart w:id="32" w:name="z22778e14ac4b4676925ad5a385dc4f3c"/>
      <w:bookmarkEnd w:id="32"/>
    </w:p>
    <w:tbl>
      <w:tblPr>
        <w:tblW w:w="3100" w:type="dxa"/>
        <w:jc w:val="left"/>
        <w:tblInd w:w="0" w:type="dxa"/>
        <w:tblLayout w:type="fixed"/>
        <w:tblCellMar>
          <w:top w:w="0" w:type="dxa"/>
          <w:left w:w="0" w:type="dxa"/>
          <w:bottom w:w="0" w:type="dxa"/>
          <w:right w:w="0" w:type="dxa"/>
        </w:tblCellMar>
      </w:tblPr>
      <w:tblGrid>
        <w:gridCol w:w="740"/>
        <w:gridCol w:w="2360"/>
      </w:tblGrid>
      <w:tr>
        <w:trPr/>
        <w:tc>
          <w:tcPr>
            <w:tcW w:w="740" w:type="dxa"/>
            <w:tcBorders/>
            <w:vAlign w:val="center"/>
          </w:tcPr>
          <w:p>
            <w:pPr>
              <w:pStyle w:val="TableContents"/>
              <w:bidi w:val="0"/>
              <w:spacing w:before="0" w:after="283"/>
              <w:jc w:val="left"/>
              <w:rPr>
                <w:b/>
                <w:color w:val="000000"/>
              </w:rPr>
            </w:pPr>
            <w:bookmarkStart w:id="33" w:name="tIT8"/>
            <w:bookmarkStart w:id="34" w:name="tIT4"/>
            <w:bookmarkEnd w:id="33"/>
            <w:bookmarkEnd w:id="34"/>
            <w:r>
              <w:rPr>
                <w:b/>
                <w:color w:val="000000"/>
              </w:rPr>
              <w:t>Item 8.</w:t>
            </w:r>
          </w:p>
        </w:tc>
        <w:tc>
          <w:tcPr>
            <w:tcW w:w="2360" w:type="dxa"/>
            <w:tcBorders/>
            <w:vAlign w:val="center"/>
          </w:tcPr>
          <w:p>
            <w:pPr>
              <w:pStyle w:val="TableContents"/>
              <w:bidi w:val="0"/>
              <w:spacing w:before="0" w:after="0"/>
              <w:jc w:val="left"/>
              <w:rPr>
                <w:b/>
                <w:i/>
                <w:color w:val="000000"/>
              </w:rPr>
            </w:pPr>
            <w:r>
              <w:rPr>
                <w:b/>
                <w:i/>
                <w:color w:val="000000"/>
              </w:rPr>
              <w:t>Additional Information.</w:t>
            </w:r>
          </w:p>
        </w:tc>
      </w:tr>
    </w:tbl>
    <w:p>
      <w:pPr>
        <w:pStyle w:val="TextBody"/>
        <w:bidi w:val="0"/>
        <w:spacing w:before="0" w:after="0"/>
        <w:jc w:val="left"/>
        <w:rPr>
          <w:i/>
          <w:color w:val="000000"/>
        </w:rPr>
      </w:pPr>
      <w:r>
        <w:rPr>
          <w:i/>
          <w:color w:val="000000"/>
        </w:rPr>
      </w:r>
      <w:bookmarkStart w:id="35" w:name="ny20069664x1_sc14d9_102-items_pg49"/>
      <w:bookmarkStart w:id="36" w:name="ny20069664x1_sc14d9_102-items_pg48"/>
      <w:bookmarkStart w:id="37" w:name="ny20069664x1_sc14d9_102-items_pg49"/>
      <w:bookmarkStart w:id="38" w:name="ny20069664x1_sc14d9_102-items_pg48"/>
      <w:bookmarkEnd w:id="37"/>
      <w:bookmarkEnd w:id="38"/>
    </w:p>
    <w:p>
      <w:pPr>
        <w:pStyle w:val="TextBody"/>
        <w:bidi w:val="0"/>
        <w:spacing w:before="0" w:after="0"/>
        <w:jc w:val="left"/>
        <w:rPr>
          <w:color w:val="000000"/>
        </w:rPr>
      </w:pPr>
      <w:r>
        <w:rPr>
          <w:color w:val="000000"/>
        </w:rPr>
        <w:t>“</w:t>
      </w:r>
      <w:r>
        <w:rPr>
          <w:rFonts w:ascii="Times New Roman" w:hAnsi="Times New Roman"/>
          <w:i/>
          <w:color w:val="000000"/>
          <w:sz w:val="20"/>
        </w:rPr>
        <w:t>Item 8. Additional Information” of the Schedule 14D-9 is hereby amended and supplemented by adding the following at the end of Item 8 of the Schedule 14D-9:</w:t>
      </w:r>
    </w:p>
    <w:p>
      <w:pPr>
        <w:pStyle w:val="TextBody"/>
        <w:bidi w:val="0"/>
        <w:spacing w:before="0" w:after="0"/>
        <w:jc w:val="left"/>
        <w:rPr>
          <w:color w:val="000000"/>
        </w:rPr>
      </w:pPr>
      <w:r>
        <w:rPr>
          <w:color w:val="000000"/>
        </w:rPr>
      </w:r>
    </w:p>
    <w:p>
      <w:pPr>
        <w:pStyle w:val="TextBody"/>
        <w:bidi w:val="0"/>
        <w:spacing w:before="0" w:after="0"/>
        <w:jc w:val="both"/>
        <w:rPr>
          <w:color w:val="000000"/>
        </w:rPr>
      </w:pPr>
      <w:r>
        <w:rPr>
          <w:color w:val="000000"/>
        </w:rPr>
        <w:t>“</w:t>
      </w:r>
      <w:r>
        <w:rPr>
          <w:rFonts w:ascii="Times New Roman" w:hAnsi="Times New Roman"/>
          <w:color w:val="000000"/>
          <w:sz w:val="20"/>
        </w:rPr>
        <w:t>On July 16, 2026, Purchaser extended the Expiration Time until 11:59 p.m., New York City time, on July 20, 2026, unless the Offer is further extended or earlier terminated as permitted by the Merger Agreement. The Offer was previously scheduled to expire at 11:59 p.m., New York City time, on July 16, 2026.</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Equiniti Trust Company, LLC, the depositary for the Offer, has advised Purchaser that, as of 5:30 p.m., New York City time, on July 15, 2026, approximately 5,897,848 Common Shares have been validly tendered and not validly withdrawn pursuant to the Offer, representing approximately 64.67% of the 9,119,742 Common Shares outstanding as of July 15, 2026 (the most recent practicable date).</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Parent and Purchaser expect the Offer will be consummated promptly following the expiration of the Offer (as hereby extended), subject to the satisfaction of the remaining conditions to the consummation of the Offer set forth in the Merger Agreement.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On July 16, 2026, Purchaser, Parent, and the Company entered into an amendment to the Merger Agreement to extend the Outside Date from July 17, 2026 to July 21, 2026.”</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9" w:name="z80a05aa28e8041c2b2226b124b972c65"/>
      <w:bookmarkStart w:id="40" w:name="z80a05aa28e8041c2b2226b124b972c65"/>
      <w:bookmarkEnd w:id="40"/>
    </w:p>
    <w:tbl>
      <w:tblPr>
        <w:tblW w:w="1645" w:type="dxa"/>
        <w:jc w:val="left"/>
        <w:tblInd w:w="0" w:type="dxa"/>
        <w:tblLayout w:type="fixed"/>
        <w:tblCellMar>
          <w:top w:w="0" w:type="dxa"/>
          <w:left w:w="0" w:type="dxa"/>
          <w:bottom w:w="0" w:type="dxa"/>
          <w:right w:w="0" w:type="dxa"/>
        </w:tblCellMar>
      </w:tblPr>
      <w:tblGrid>
        <w:gridCol w:w="740"/>
        <w:gridCol w:w="905"/>
      </w:tblGrid>
      <w:tr>
        <w:trPr/>
        <w:tc>
          <w:tcPr>
            <w:tcW w:w="740" w:type="dxa"/>
            <w:tcBorders/>
            <w:vAlign w:val="center"/>
          </w:tcPr>
          <w:p>
            <w:pPr>
              <w:pStyle w:val="TableContents"/>
              <w:bidi w:val="0"/>
              <w:spacing w:before="0" w:after="0"/>
              <w:jc w:val="both"/>
              <w:rPr>
                <w:b/>
              </w:rPr>
            </w:pPr>
            <w:r>
              <w:rPr>
                <w:b/>
              </w:rPr>
              <w:t>Item 9.</w:t>
            </w:r>
          </w:p>
        </w:tc>
        <w:tc>
          <w:tcPr>
            <w:tcW w:w="905" w:type="dxa"/>
            <w:tcBorders/>
            <w:vAlign w:val="center"/>
          </w:tcPr>
          <w:p>
            <w:pPr>
              <w:pStyle w:val="TableContents"/>
              <w:bidi w:val="0"/>
              <w:spacing w:before="0" w:after="0"/>
              <w:jc w:val="both"/>
              <w:rPr>
                <w:b/>
              </w:rPr>
            </w:pPr>
            <w:r>
              <w:rPr>
                <w:b/>
                <w:i/>
              </w:rPr>
              <w:t>Exhibits</w:t>
            </w:r>
            <w:r>
              <w:rPr>
                <w:b/>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1" w:name="z7afe04d9107246eaa9f01a38f8b00546"/>
      <w:bookmarkStart w:id="42" w:name="z7afe04d9107246eaa9f01a38f8b00546"/>
      <w:bookmarkEnd w:id="42"/>
    </w:p>
    <w:tbl>
      <w:tblPr>
        <w:tblW w:w="10205" w:type="dxa"/>
        <w:jc w:val="left"/>
        <w:tblInd w:w="0" w:type="dxa"/>
        <w:tblLayout w:type="fixed"/>
        <w:tblCellMar>
          <w:top w:w="0" w:type="dxa"/>
          <w:left w:w="0" w:type="dxa"/>
          <w:bottom w:w="28" w:type="dxa"/>
          <w:right w:w="0" w:type="dxa"/>
        </w:tblCellMar>
      </w:tblPr>
      <w:tblGrid>
        <w:gridCol w:w="950"/>
        <w:gridCol w:w="23"/>
        <w:gridCol w:w="9232"/>
      </w:tblGrid>
      <w:tr>
        <w:trPr/>
        <w:tc>
          <w:tcPr>
            <w:tcW w:w="950" w:type="dxa"/>
            <w:tcBorders>
              <w:bottom w:val="single" w:sz="12" w:space="0" w:color="000000"/>
            </w:tcBorders>
            <w:vAlign w:val="center"/>
          </w:tcPr>
          <w:p>
            <w:pPr>
              <w:pStyle w:val="TableContents"/>
              <w:bidi w:val="0"/>
              <w:spacing w:before="0" w:after="0"/>
              <w:jc w:val="both"/>
              <w:rPr>
                <w:b/>
              </w:rPr>
            </w:pPr>
            <w:r>
              <w:rPr>
                <w:b/>
              </w:rPr>
              <w:t>Exhibit</w:t>
              <w:br/>
              <w:t>No.</w:t>
            </w:r>
          </w:p>
          <w:p>
            <w:pPr>
              <w:pStyle w:val="TableContents"/>
              <w:bidi w:val="0"/>
              <w:spacing w:before="0" w:after="0"/>
              <w:jc w:val="both"/>
              <w:rPr>
                <w:b/>
              </w:rPr>
            </w:pPr>
            <w:r>
              <w:rPr>
                <w:b/>
              </w:rPr>
            </w:r>
          </w:p>
        </w:tc>
        <w:tc>
          <w:tcPr>
            <w:tcW w:w="23" w:type="dxa"/>
            <w:tcBorders/>
            <w:tcMar>
              <w:bottom w:w="0" w:type="dxa"/>
            </w:tcMar>
            <w:vAlign w:val="center"/>
          </w:tcPr>
          <w:p>
            <w:pPr>
              <w:pStyle w:val="TableContents"/>
              <w:bidi w:val="0"/>
              <w:spacing w:before="0" w:after="283"/>
              <w:jc w:val="left"/>
              <w:rPr/>
            </w:pPr>
            <w:r>
              <w:rPr/>
            </w:r>
          </w:p>
        </w:tc>
        <w:tc>
          <w:tcPr>
            <w:tcW w:w="9232" w:type="dxa"/>
            <w:tcBorders>
              <w:bottom w:val="single" w:sz="12" w:space="0" w:color="000000"/>
            </w:tcBorders>
            <w:vAlign w:val="center"/>
          </w:tcPr>
          <w:p>
            <w:pPr>
              <w:pStyle w:val="TableContents"/>
              <w:bidi w:val="0"/>
              <w:spacing w:before="0" w:after="0"/>
              <w:jc w:val="both"/>
              <w:rPr>
                <w:b/>
              </w:rPr>
            </w:pPr>
            <w:r>
              <w:rPr>
                <w:b/>
              </w:rPr>
              <w:t>Description</w:t>
            </w:r>
          </w:p>
          <w:p>
            <w:pPr>
              <w:pStyle w:val="TableContents"/>
              <w:bidi w:val="0"/>
              <w:spacing w:before="0" w:after="0"/>
              <w:jc w:val="both"/>
              <w:rPr>
                <w:b/>
              </w:rPr>
            </w:pPr>
            <w:r>
              <w:rPr>
                <w:b/>
              </w:rPr>
            </w:r>
          </w:p>
        </w:tc>
      </w:tr>
      <w:tr>
        <w:trPr/>
        <w:tc>
          <w:tcPr>
            <w:tcW w:w="950" w:type="dxa"/>
            <w:tcBorders/>
            <w:tcMar>
              <w:bottom w:w="0" w:type="dxa"/>
            </w:tcMar>
            <w:vAlign w:val="center"/>
          </w:tcPr>
          <w:p>
            <w:pPr>
              <w:pStyle w:val="TableContents"/>
              <w:bidi w:val="0"/>
              <w:spacing w:before="0" w:after="283"/>
              <w:jc w:val="left"/>
              <w:rPr/>
            </w:pPr>
            <w:r>
              <w:rPr/>
            </w:r>
          </w:p>
        </w:tc>
        <w:tc>
          <w:tcPr>
            <w:tcW w:w="9255" w:type="dxa"/>
            <w:gridSpan w:val="2"/>
            <w:tcBorders/>
            <w:tcMar>
              <w:bottom w:w="0" w:type="dxa"/>
            </w:tcMar>
            <w:vAlign w:val="center"/>
          </w:tcPr>
          <w:p>
            <w:pPr>
              <w:pStyle w:val="TableContents"/>
              <w:bidi w:val="0"/>
              <w:spacing w:before="0" w:after="283"/>
              <w:jc w:val="left"/>
              <w:rPr/>
            </w:pPr>
            <w:r>
              <w:rPr/>
            </w:r>
          </w:p>
        </w:tc>
      </w:tr>
      <w:tr>
        <w:trPr/>
        <w:tc>
          <w:tcPr>
            <w:tcW w:w="950" w:type="dxa"/>
            <w:tcBorders/>
            <w:tcMar>
              <w:bottom w:w="0" w:type="dxa"/>
            </w:tcMar>
            <w:vAlign w:val="center"/>
          </w:tcPr>
          <w:p>
            <w:pPr>
              <w:pStyle w:val="TableContents"/>
              <w:bidi w:val="0"/>
              <w:spacing w:before="0" w:after="0"/>
              <w:jc w:val="both"/>
              <w:rPr/>
            </w:pPr>
            <w:hyperlink w:anchor="ef20078177_ex99-e1f.htm">
              <w:r>
                <w:rPr>
                  <w:rStyle w:val="InternetLink"/>
                </w:rPr>
                <w:t>(e)(1)(F)</w:t>
              </w:r>
            </w:hyperlink>
            <w:r>
              <w:rPr/>
              <w:t>*</w:t>
            </w:r>
          </w:p>
        </w:tc>
        <w:tc>
          <w:tcPr>
            <w:tcW w:w="23" w:type="dxa"/>
            <w:tcBorders/>
            <w:tcMar>
              <w:bottom w:w="0" w:type="dxa"/>
            </w:tcMar>
            <w:vAlign w:val="center"/>
          </w:tcPr>
          <w:p>
            <w:pPr>
              <w:pStyle w:val="TableContents"/>
              <w:bidi w:val="0"/>
              <w:spacing w:before="0" w:after="0"/>
              <w:jc w:val="both"/>
              <w:rPr/>
            </w:pPr>
            <w:r>
              <w:rPr/>
            </w:r>
          </w:p>
        </w:tc>
        <w:tc>
          <w:tcPr>
            <w:tcW w:w="9232" w:type="dxa"/>
            <w:tcBorders/>
            <w:tcMar>
              <w:bottom w:w="0" w:type="dxa"/>
            </w:tcMar>
            <w:vAlign w:val="center"/>
          </w:tcPr>
          <w:p>
            <w:pPr>
              <w:pStyle w:val="TableContents"/>
              <w:bidi w:val="0"/>
              <w:spacing w:before="0" w:after="0"/>
              <w:jc w:val="both"/>
              <w:rPr/>
            </w:pPr>
            <w:r>
              <w:rPr/>
              <w:t>Amendment to Agreement and Plan of Merger, dated July 16, 2026, by and among Parent Purchaser and the Company</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*Filed herewith.</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bookmarkStart w:id="43" w:name="ny20069664x1_sc14d9_103-item9_pg1"/>
      <w:bookmarkStart w:id="44" w:name="ny20069664x1_sc14d9_102-items_pg54"/>
      <w:bookmarkStart w:id="45" w:name="ny20069664x1_sc14d9_102-items_pg53"/>
      <w:bookmarkStart w:id="46" w:name="ny20069664x1_sc14d9_102-items_pg52"/>
      <w:bookmarkStart w:id="47" w:name="ny20069664x1_sc14d9_102-items_pg51"/>
      <w:bookmarkStart w:id="48" w:name="ny20069664x1_sc14d9_102-items_pg50"/>
      <w:bookmarkStart w:id="49" w:name="ny20069664x1_sc14d9_103-item9_pg1"/>
      <w:bookmarkStart w:id="50" w:name="ny20069664x1_sc14d9_102-items_pg54"/>
      <w:bookmarkStart w:id="51" w:name="ny20069664x1_sc14d9_102-items_pg53"/>
      <w:bookmarkStart w:id="52" w:name="ny20069664x1_sc14d9_102-items_pg52"/>
      <w:bookmarkStart w:id="53" w:name="ny20069664x1_sc14d9_102-items_pg51"/>
      <w:bookmarkStart w:id="54" w:name="ny20069664x1_sc14d9_102-items_pg50"/>
      <w:bookmarkEnd w:id="49"/>
      <w:bookmarkEnd w:id="50"/>
      <w:bookmarkEnd w:id="51"/>
      <w:bookmarkEnd w:id="52"/>
      <w:bookmarkEnd w:id="53"/>
      <w:bookmarkEnd w:id="54"/>
    </w:p>
    <w:p>
      <w:pPr>
        <w:pStyle w:val="TextBody"/>
        <w:bidi w:val="0"/>
        <w:spacing w:before="0" w:after="0"/>
        <w:jc w:val="center"/>
        <w:rPr>
          <w:rFonts w:ascii="Times New Roman" w:hAnsi="Times New Roman"/>
          <w:b/>
          <w:color w:val="000000"/>
          <w:sz w:val="20"/>
        </w:rPr>
      </w:pPr>
      <w:bookmarkStart w:id="55" w:name="ny20069664x1_sc14d9_103-item9_pg2"/>
      <w:bookmarkEnd w:id="55"/>
      <w:r>
        <w:rPr>
          <w:rFonts w:ascii="Times New Roman" w:hAnsi="Times New Roman"/>
          <w:b/>
          <w:color w:val="000000"/>
          <w:sz w:val="20"/>
        </w:rPr>
        <w:t>SIGNATURE</w:t>
      </w:r>
    </w:p>
    <w:p>
      <w:pPr>
        <w:pStyle w:val="TextBody"/>
        <w:bidi w:val="0"/>
        <w:spacing w:before="0" w:after="0"/>
        <w:jc w:val="center"/>
        <w:rPr>
          <w:b/>
          <w:color w:val="000000"/>
        </w:rPr>
      </w:pPr>
      <w:r>
        <w:rPr>
          <w:b/>
          <w:color w:val="00000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After due inquiry and to the best of my knowledge and belief, I certify that the information set forth in this statement is true, complete and correct.</w:t>
      </w:r>
    </w:p>
    <w:p>
      <w:pPr>
        <w:pStyle w:val="TextBody"/>
        <w:bidi w:val="0"/>
        <w:spacing w:before="0" w:after="0"/>
        <w:jc w:val="left"/>
        <w:rPr>
          <w:color w:val="000000"/>
        </w:rPr>
      </w:pPr>
      <w:r>
        <w:rPr>
          <w:color w:val="000000"/>
        </w:rPr>
      </w:r>
    </w:p>
    <w:p>
      <w:pPr>
        <w:pStyle w:val="Normal"/>
        <w:bidi w:val="0"/>
        <w:spacing w:before="0" w:after="0"/>
        <w:jc w:val="left"/>
        <w:rPr>
          <w:sz w:val="4"/>
          <w:szCs w:val="4"/>
        </w:rPr>
      </w:pPr>
      <w:r>
        <w:rPr>
          <w:sz w:val="4"/>
          <w:szCs w:val="4"/>
        </w:rPr>
      </w:r>
      <w:bookmarkStart w:id="56" w:name="ze6eb40bbeb814df1bc1915011ec426a4"/>
      <w:bookmarkStart w:id="57" w:name="ze6eb40bbeb814df1bc1915011ec426a4"/>
      <w:bookmarkEnd w:id="57"/>
    </w:p>
    <w:tbl>
      <w:tblPr>
        <w:tblW w:w="4563" w:type="dxa"/>
        <w:jc w:val="left"/>
        <w:tblInd w:w="0" w:type="dxa"/>
        <w:tblLayout w:type="fixed"/>
        <w:tblCellMar>
          <w:top w:w="0" w:type="dxa"/>
          <w:left w:w="0" w:type="dxa"/>
          <w:bottom w:w="0" w:type="dxa"/>
          <w:right w:w="0" w:type="dxa"/>
        </w:tblCellMar>
      </w:tblPr>
      <w:tblGrid>
        <w:gridCol w:w="365"/>
        <w:gridCol w:w="4175"/>
        <w:gridCol w:w="23"/>
      </w:tblGrid>
      <w:tr>
        <w:trPr/>
        <w:tc>
          <w:tcPr>
            <w:tcW w:w="4540" w:type="dxa"/>
            <w:gridSpan w:val="2"/>
            <w:tcBorders/>
            <w:vAlign w:val="center"/>
          </w:tcPr>
          <w:p>
            <w:pPr>
              <w:pStyle w:val="TableContents"/>
              <w:bidi w:val="0"/>
              <w:spacing w:before="0" w:after="0"/>
              <w:jc w:val="left"/>
              <w:rPr>
                <w:b/>
                <w:color w:val="000000"/>
              </w:rPr>
            </w:pPr>
            <w:r>
              <w:rPr>
                <w:b/>
                <w:color w:val="000000"/>
              </w:rPr>
              <w:t>Lisata Therapeutics, Inc.</w:t>
            </w:r>
          </w:p>
        </w:tc>
        <w:tc>
          <w:tcPr>
            <w:tcW w:w="23" w:type="dxa"/>
            <w:tcBorders/>
            <w:vAlign w:val="center"/>
          </w:tcPr>
          <w:p>
            <w:pPr>
              <w:pStyle w:val="TableContents"/>
              <w:bidi w:val="0"/>
              <w:spacing w:before="0" w:after="283"/>
              <w:jc w:val="left"/>
              <w:rPr/>
            </w:pPr>
            <w:r>
              <w:rPr/>
            </w:r>
          </w:p>
        </w:tc>
      </w:tr>
      <w:tr>
        <w:trPr/>
        <w:tc>
          <w:tcPr>
            <w:tcW w:w="365" w:type="dxa"/>
            <w:tcBorders/>
            <w:vAlign w:val="center"/>
          </w:tcPr>
          <w:p>
            <w:pPr>
              <w:pStyle w:val="TableContents"/>
              <w:bidi w:val="0"/>
              <w:spacing w:before="0" w:after="283"/>
              <w:jc w:val="left"/>
              <w:rPr/>
            </w:pPr>
            <w:r>
              <w:rPr/>
            </w:r>
          </w:p>
        </w:tc>
        <w:tc>
          <w:tcPr>
            <w:tcW w:w="417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r>
        <w:trPr/>
        <w:tc>
          <w:tcPr>
            <w:tcW w:w="365" w:type="dxa"/>
            <w:tcBorders/>
            <w:vAlign w:val="center"/>
          </w:tcPr>
          <w:p>
            <w:pPr>
              <w:pStyle w:val="TableContents"/>
              <w:bidi w:val="0"/>
              <w:spacing w:before="0" w:after="0"/>
              <w:jc w:val="left"/>
              <w:rPr>
                <w:color w:val="000000"/>
              </w:rPr>
            </w:pPr>
            <w:r>
              <w:rPr>
                <w:color w:val="000000"/>
              </w:rPr>
              <w:t>By:</w:t>
            </w:r>
          </w:p>
        </w:tc>
        <w:tc>
          <w:tcPr>
            <w:tcW w:w="4175"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David J. Mazzo</w:t>
            </w:r>
          </w:p>
        </w:tc>
        <w:tc>
          <w:tcPr>
            <w:tcW w:w="23" w:type="dxa"/>
            <w:tcBorders/>
            <w:vAlign w:val="center"/>
          </w:tcPr>
          <w:p>
            <w:pPr>
              <w:pStyle w:val="TableContents"/>
              <w:bidi w:val="0"/>
              <w:spacing w:before="0" w:after="283"/>
              <w:jc w:val="left"/>
              <w:rPr/>
            </w:pPr>
            <w:r>
              <w:rPr/>
            </w:r>
          </w:p>
        </w:tc>
      </w:tr>
      <w:tr>
        <w:trPr/>
        <w:tc>
          <w:tcPr>
            <w:tcW w:w="365" w:type="dxa"/>
            <w:tcBorders/>
            <w:vAlign w:val="center"/>
          </w:tcPr>
          <w:p>
            <w:pPr>
              <w:pStyle w:val="TableContents"/>
              <w:bidi w:val="0"/>
              <w:spacing w:before="0" w:after="283"/>
              <w:jc w:val="left"/>
              <w:rPr/>
            </w:pPr>
            <w:r>
              <w:rPr/>
            </w:r>
          </w:p>
        </w:tc>
        <w:tc>
          <w:tcPr>
            <w:tcW w:w="4175" w:type="dxa"/>
            <w:tcBorders/>
            <w:vAlign w:val="center"/>
          </w:tcPr>
          <w:p>
            <w:pPr>
              <w:pStyle w:val="TableContents"/>
              <w:bidi w:val="0"/>
              <w:spacing w:before="0" w:after="0"/>
              <w:jc w:val="left"/>
              <w:rPr>
                <w:color w:val="000000"/>
              </w:rPr>
            </w:pPr>
            <w:r>
              <w:rPr>
                <w:color w:val="000000"/>
              </w:rPr>
              <w:t>Name: David J. Mazzo, PhD</w:t>
            </w:r>
          </w:p>
        </w:tc>
        <w:tc>
          <w:tcPr>
            <w:tcW w:w="23" w:type="dxa"/>
            <w:tcBorders/>
            <w:vAlign w:val="center"/>
          </w:tcPr>
          <w:p>
            <w:pPr>
              <w:pStyle w:val="TableContents"/>
              <w:bidi w:val="0"/>
              <w:spacing w:before="0" w:after="283"/>
              <w:jc w:val="left"/>
              <w:rPr/>
            </w:pPr>
            <w:r>
              <w:rPr/>
            </w:r>
          </w:p>
        </w:tc>
      </w:tr>
      <w:tr>
        <w:trPr/>
        <w:tc>
          <w:tcPr>
            <w:tcW w:w="365" w:type="dxa"/>
            <w:tcBorders/>
            <w:vAlign w:val="center"/>
          </w:tcPr>
          <w:p>
            <w:pPr>
              <w:pStyle w:val="TableContents"/>
              <w:bidi w:val="0"/>
              <w:spacing w:before="0" w:after="283"/>
              <w:jc w:val="left"/>
              <w:rPr/>
            </w:pPr>
            <w:r>
              <w:rPr/>
            </w:r>
          </w:p>
        </w:tc>
        <w:tc>
          <w:tcPr>
            <w:tcW w:w="4175" w:type="dxa"/>
            <w:tcBorders/>
            <w:vAlign w:val="center"/>
          </w:tcPr>
          <w:p>
            <w:pPr>
              <w:pStyle w:val="TableContents"/>
              <w:bidi w:val="0"/>
              <w:spacing w:before="0" w:after="0"/>
              <w:jc w:val="left"/>
              <w:rPr>
                <w:color w:val="000000"/>
              </w:rPr>
            </w:pPr>
            <w:r>
              <w:rPr>
                <w:color w:val="000000"/>
              </w:rPr>
              <w:t>Title: President and Chief Executive Officer</w:t>
            </w:r>
          </w:p>
        </w:tc>
        <w:tc>
          <w:tcPr>
            <w:tcW w:w="23" w:type="dxa"/>
            <w:tcBorders/>
            <w:vAlign w:val="center"/>
          </w:tcPr>
          <w:p>
            <w:pPr>
              <w:pStyle w:val="TableContents"/>
              <w:bidi w:val="0"/>
              <w:spacing w:before="0" w:after="283"/>
              <w:jc w:val="left"/>
              <w:rPr/>
            </w:pPr>
            <w:r>
              <w:rPr/>
            </w:r>
          </w:p>
        </w:tc>
      </w:tr>
      <w:tr>
        <w:trPr/>
        <w:tc>
          <w:tcPr>
            <w:tcW w:w="365" w:type="dxa"/>
            <w:tcBorders/>
            <w:vAlign w:val="center"/>
          </w:tcPr>
          <w:p>
            <w:pPr>
              <w:pStyle w:val="TableContents"/>
              <w:bidi w:val="0"/>
              <w:spacing w:before="0" w:after="0"/>
              <w:jc w:val="left"/>
              <w:rPr/>
            </w:pPr>
            <w:r>
              <w:rPr/>
            </w:r>
          </w:p>
        </w:tc>
        <w:tc>
          <w:tcPr>
            <w:tcW w:w="4175" w:type="dxa"/>
            <w:tcBorders/>
            <w:vAlign w:val="center"/>
          </w:tcPr>
          <w:p>
            <w:pPr>
              <w:pStyle w:val="TableContents"/>
              <w:bidi w:val="0"/>
              <w:spacing w:before="0" w:after="0"/>
              <w:jc w:val="left"/>
              <w:rPr/>
            </w:pPr>
            <w:r>
              <w:rPr/>
            </w:r>
          </w:p>
        </w:tc>
        <w:tc>
          <w:tcPr>
            <w:tcW w:w="23" w:type="dxa"/>
            <w:tcBorders/>
            <w:vAlign w:val="center"/>
          </w:tcPr>
          <w:p>
            <w:pPr>
              <w:pStyle w:val="TableContents"/>
              <w:bidi w:val="0"/>
              <w:spacing w:before="0" w:after="283"/>
              <w:jc w:val="left"/>
              <w:rPr/>
            </w:pPr>
            <w:r>
              <w:rPr/>
            </w:r>
          </w:p>
        </w:tc>
      </w:tr>
      <w:tr>
        <w:trPr/>
        <w:tc>
          <w:tcPr>
            <w:tcW w:w="4540" w:type="dxa"/>
            <w:gridSpan w:val="2"/>
            <w:tcBorders/>
            <w:vAlign w:val="center"/>
          </w:tcPr>
          <w:p>
            <w:pPr>
              <w:pStyle w:val="TableContents"/>
              <w:bidi w:val="0"/>
              <w:spacing w:before="0" w:after="0"/>
              <w:jc w:val="left"/>
              <w:rPr>
                <w:color w:val="000000"/>
              </w:rPr>
            </w:pPr>
            <w:r>
              <w:rPr>
                <w:color w:val="000000"/>
              </w:rPr>
              <w:t>Dated: July 17, 2026</w:t>
            </w:r>
          </w:p>
        </w:tc>
        <w:tc>
          <w:tcPr>
            <w:tcW w:w="23" w:type="dxa"/>
            <w:tcBorders/>
            <w:vAlign w:val="center"/>
          </w:tcPr>
          <w:p>
            <w:pPr>
              <w:pStyle w:val="TableContents"/>
              <w:bidi w:val="0"/>
              <w:spacing w:before="0" w:after="283"/>
              <w:jc w:val="left"/>
              <w:rPr/>
            </w:pPr>
            <w:r>
              <w:rPr/>
            </w:r>
          </w:p>
        </w:tc>
      </w:tr>
    </w:tbl>
    <w:p>
      <w:pPr>
        <w:pStyle w:val="TextBody"/>
        <w:bidi w:val="0"/>
        <w:spacing w:before="0" w:after="0"/>
        <w:jc w:val="left"/>
        <w:rPr>
          <w:color w:val="000000"/>
        </w:rPr>
      </w:pPr>
      <w:r>
        <w:rPr>
          <w:color w:val="000000"/>
        </w:rPr>
      </w:r>
    </w:p>
    <w:p>
      <w:pPr>
        <w:pStyle w:val="TextBody"/>
        <w:bidi w:val="0"/>
        <w:spacing w:before="0" w:after="0"/>
        <w:jc w:val="left"/>
        <w:rPr>
          <w:color w:val="000000"/>
        </w:rPr>
      </w:pPr>
      <w:r>
        <w:rPr>
          <w:color w:val="000000"/>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58" w:name="ef20078177_ex99-e1f.htm"/>
      <w:bookmarkStart w:id="59" w:name="ksef20078177_ex99e1f"/>
      <w:bookmarkStart w:id="60" w:name="ef20078177_ex99-e1f.htm"/>
      <w:bookmarkStart w:id="61" w:name="ksef20078177_ex99e1f"/>
      <w:bookmarkEnd w:id="60"/>
      <w:bookmarkEnd w:id="61"/>
      <w:r>
        <w:br w:type="page"/>
      </w:r>
    </w:p>
    <w:p>
      <w:pPr>
        <w:pStyle w:val="TextBody"/>
        <w:bidi w:val="0"/>
        <w:spacing w:before="0" w:after="0"/>
        <w:ind w:left="0" w:right="0" w:hanging="0"/>
        <w:jc w:val="left"/>
        <w:rPr>
          <w:rFonts w:ascii="Times New Roman" w:hAnsi="Times New Roman"/>
          <w:b/>
          <w:color w:val="000000"/>
          <w:sz w:val="20"/>
        </w:rPr>
      </w:pPr>
      <w:r>
        <w:rPr>
          <w:rFonts w:ascii="Times New Roman" w:hAnsi="Times New Roman"/>
          <w:b/>
          <w:i w:val="false"/>
          <w:caps w:val="false"/>
          <w:smallCaps w:val="false"/>
          <w:color w:val="333333"/>
          <w:spacing w:val="0"/>
          <w:sz w:val="20"/>
          <w:shd w:fill="FFFFFF" w:val="clear"/>
        </w:rPr>
        <w:t>Exhibit (e)(1)(F)</w:t>
      </w:r>
      <w:r>
        <w:rPr>
          <w:rFonts w:ascii="Times New Roman" w:hAnsi="Times New Roman"/>
          <w:b/>
          <w:color w:val="000000"/>
          <w:sz w:val="20"/>
        </w:rPr>
        <w:t xml:space="preserve"> </w:t>
      </w:r>
    </w:p>
    <w:p>
      <w:pPr>
        <w:pStyle w:val="TextBody"/>
        <w:bidi w:val="0"/>
        <w:spacing w:before="0" w:after="0"/>
        <w:jc w:val="center"/>
        <w:rPr>
          <w:b/>
        </w:rPr>
      </w:pPr>
      <w:r>
        <w:rPr>
          <w:b/>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AMENDMENT TO AGREEMENT AND PLAN OF MERGER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AMENDMENT TO AGREEMENT AND PLAN OF MERGER (this “</w:t>
      </w:r>
      <w:r>
        <w:rPr>
          <w:rFonts w:ascii="Times New Roman" w:hAnsi="Times New Roman"/>
          <w:b/>
          <w:color w:val="000000"/>
          <w:sz w:val="20"/>
        </w:rPr>
        <w:t>Amendment</w:t>
      </w:r>
      <w:r>
        <w:rPr>
          <w:rFonts w:ascii="Times New Roman" w:hAnsi="Times New Roman"/>
          <w:color w:val="000000"/>
          <w:sz w:val="20"/>
        </w:rPr>
        <w:t>”), dated July 16, 2026, is made by and among, Kuva Labs Inc., a Delaware corporation (“</w:t>
      </w:r>
      <w:r>
        <w:rPr>
          <w:rFonts w:ascii="Times New Roman" w:hAnsi="Times New Roman"/>
          <w:b/>
          <w:color w:val="000000"/>
          <w:sz w:val="20"/>
        </w:rPr>
        <w:t>Parent</w:t>
      </w:r>
      <w:r>
        <w:rPr>
          <w:rFonts w:ascii="Times New Roman" w:hAnsi="Times New Roman"/>
          <w:color w:val="000000"/>
          <w:sz w:val="20"/>
        </w:rPr>
        <w:t>”), Kuva Acquisition Corp., a Delaware corporation and a wholly owned subsidiary of Parent (“</w:t>
      </w:r>
      <w:r>
        <w:rPr>
          <w:rFonts w:ascii="Times New Roman" w:hAnsi="Times New Roman"/>
          <w:b/>
          <w:color w:val="000000"/>
          <w:sz w:val="20"/>
        </w:rPr>
        <w:t>Purchaser</w:t>
      </w:r>
      <w:r>
        <w:rPr>
          <w:rFonts w:ascii="Times New Roman" w:hAnsi="Times New Roman"/>
          <w:color w:val="000000"/>
          <w:sz w:val="20"/>
        </w:rPr>
        <w:t>”), and Lisata Therapeutics, Inc., a Delaware corporation (the “</w:t>
      </w:r>
      <w:r>
        <w:rPr>
          <w:rFonts w:ascii="Times New Roman" w:hAnsi="Times New Roman"/>
          <w:b/>
          <w:color w:val="000000"/>
          <w:sz w:val="20"/>
        </w:rPr>
        <w:t>Company</w:t>
      </w:r>
      <w:r>
        <w:rPr>
          <w:rFonts w:ascii="Times New Roman" w:hAnsi="Times New Roman"/>
          <w:color w:val="000000"/>
          <w:sz w:val="20"/>
        </w:rPr>
        <w:t>”), amends certain provisions (as set forth herein) of that certain Agreement and Plan of Merger, dated March 6, 2026 (as the same may be amended, modified or restated in accordance with the terms thereof, the “</w:t>
      </w:r>
      <w:r>
        <w:rPr>
          <w:rFonts w:ascii="Times New Roman" w:hAnsi="Times New Roman"/>
          <w:b/>
          <w:color w:val="000000"/>
          <w:sz w:val="20"/>
        </w:rPr>
        <w:t>Merger Agreement</w:t>
      </w:r>
      <w:r>
        <w:rPr>
          <w:rFonts w:ascii="Times New Roman" w:hAnsi="Times New Roman"/>
          <w:color w:val="000000"/>
          <w:sz w:val="20"/>
        </w:rPr>
        <w:t>”), by and among Parent, Purchaser and the Company. Capitalized terms used herein but not otherwise defined shall have the meanings ascribed to them in the Merger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the Company has agreed to extend the Outside Date as set forth herein.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NOW, THEREFORE, the parties hereto agree as follows: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2" w:name="zb78e279f6ca1412586c09766aff6f04f"/>
      <w:bookmarkStart w:id="63" w:name="zb78e279f6ca1412586c09766aff6f04f"/>
      <w:bookmarkEnd w:id="63"/>
    </w:p>
    <w:tbl>
      <w:tblPr>
        <w:tblW w:w="10205" w:type="dxa"/>
        <w:jc w:val="left"/>
        <w:tblInd w:w="0" w:type="dxa"/>
        <w:tblLayout w:type="fixed"/>
        <w:tblCellMar>
          <w:top w:w="0" w:type="dxa"/>
          <w:left w:w="0" w:type="dxa"/>
          <w:bottom w:w="0" w:type="dxa"/>
          <w:right w:w="0" w:type="dxa"/>
        </w:tblCellMar>
      </w:tblPr>
      <w:tblGrid>
        <w:gridCol w:w="38"/>
        <w:gridCol w:w="178"/>
        <w:gridCol w:w="9989"/>
      </w:tblGrid>
      <w:tr>
        <w:trPr/>
        <w:tc>
          <w:tcPr>
            <w:tcW w:w="38" w:type="dxa"/>
            <w:tcBorders/>
            <w:vAlign w:val="center"/>
          </w:tcPr>
          <w:p>
            <w:pPr>
              <w:pStyle w:val="TableContents"/>
              <w:bidi w:val="0"/>
              <w:spacing w:before="0" w:after="283"/>
              <w:jc w:val="left"/>
              <w:rPr/>
            </w:pPr>
            <w:r>
              <w:rPr/>
            </w:r>
          </w:p>
        </w:tc>
        <w:tc>
          <w:tcPr>
            <w:tcW w:w="178" w:type="dxa"/>
            <w:tcBorders/>
            <w:vAlign w:val="center"/>
          </w:tcPr>
          <w:p>
            <w:pPr>
              <w:pStyle w:val="TableContents"/>
              <w:bidi w:val="0"/>
              <w:spacing w:before="0" w:after="283"/>
              <w:jc w:val="left"/>
              <w:rPr/>
            </w:pPr>
            <w:r>
              <w:rPr/>
              <w:t>1.</w:t>
            </w:r>
          </w:p>
        </w:tc>
        <w:tc>
          <w:tcPr>
            <w:tcW w:w="9989" w:type="dxa"/>
            <w:tcBorders/>
            <w:vAlign w:val="center"/>
          </w:tcPr>
          <w:p>
            <w:pPr>
              <w:pStyle w:val="TableContents"/>
              <w:bidi w:val="0"/>
              <w:spacing w:before="0" w:after="0"/>
              <w:jc w:val="both"/>
              <w:rPr>
                <w:color w:val="000000"/>
              </w:rPr>
            </w:pPr>
            <w:r>
              <w:rPr>
                <w:color w:val="000000"/>
                <w:u w:val="single"/>
              </w:rPr>
              <w:t>Extension of Outside Date</w:t>
            </w:r>
            <w:r>
              <w:rPr>
                <w:color w:val="000000"/>
              </w:rPr>
              <w:t>. Section 8.2(b) of the Merger Agreement is hereby amended to replace the words “July 17, 2026” with the words “July 21, 2026”.</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4" w:name="zb8db3bea2c0a405e9a4b06549258f67e"/>
      <w:bookmarkStart w:id="65" w:name="zb8db3bea2c0a405e9a4b06549258f67e"/>
      <w:bookmarkEnd w:id="65"/>
    </w:p>
    <w:tbl>
      <w:tblPr>
        <w:tblW w:w="10205" w:type="dxa"/>
        <w:jc w:val="left"/>
        <w:tblInd w:w="0" w:type="dxa"/>
        <w:tblLayout w:type="fixed"/>
        <w:tblCellMar>
          <w:top w:w="0" w:type="dxa"/>
          <w:left w:w="0" w:type="dxa"/>
          <w:bottom w:w="0" w:type="dxa"/>
          <w:right w:w="0" w:type="dxa"/>
        </w:tblCellMar>
      </w:tblPr>
      <w:tblGrid>
        <w:gridCol w:w="38"/>
        <w:gridCol w:w="150"/>
        <w:gridCol w:w="10017"/>
      </w:tblGrid>
      <w:tr>
        <w:trPr/>
        <w:tc>
          <w:tcPr>
            <w:tcW w:w="38" w:type="dxa"/>
            <w:tcBorders/>
            <w:vAlign w:val="center"/>
          </w:tcPr>
          <w:p>
            <w:pPr>
              <w:pStyle w:val="TableContents"/>
              <w:bidi w:val="0"/>
              <w:spacing w:before="0" w:after="283"/>
              <w:jc w:val="left"/>
              <w:rPr/>
            </w:pPr>
            <w:r>
              <w:rPr/>
            </w:r>
          </w:p>
        </w:tc>
        <w:tc>
          <w:tcPr>
            <w:tcW w:w="150" w:type="dxa"/>
            <w:tcBorders/>
            <w:vAlign w:val="center"/>
          </w:tcPr>
          <w:p>
            <w:pPr>
              <w:pStyle w:val="TableContents"/>
              <w:bidi w:val="0"/>
              <w:spacing w:before="0" w:after="283"/>
              <w:jc w:val="left"/>
              <w:rPr/>
            </w:pPr>
            <w:r>
              <w:rPr/>
              <w:t>2.</w:t>
            </w:r>
          </w:p>
        </w:tc>
        <w:tc>
          <w:tcPr>
            <w:tcW w:w="10017" w:type="dxa"/>
            <w:tcBorders/>
            <w:vAlign w:val="center"/>
          </w:tcPr>
          <w:p>
            <w:pPr>
              <w:pStyle w:val="TableContents"/>
              <w:bidi w:val="0"/>
              <w:spacing w:before="0" w:after="0"/>
              <w:jc w:val="both"/>
              <w:rPr>
                <w:color w:val="000000"/>
              </w:rPr>
            </w:pPr>
            <w:r>
              <w:rPr>
                <w:color w:val="000000"/>
                <w:u w:val="single"/>
              </w:rPr>
              <w:t>Counterparts; Effectiveness</w:t>
            </w:r>
            <w:r>
              <w:rPr>
                <w:color w:val="000000"/>
              </w:rPr>
              <w:t>. Except as otherwise expressly provided herein, the terms, provisions and conditions of the Merger Agreement shall remain unchanged and the Merger Agreement shall be construed in a manner consistent with this Amendment. This Amendment may be executed in any number of counterparts and by different parties hereto in separate counterparts, each of which when so executed and delivered shall be deemed an original, but all such counterparts together shall constitute but one and the same instrument.</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WITNESS WHEREOF, the parties have caused this Amendment to be executed and delivered by their respective duly authorized officers as of the date first written above.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6" w:name="z4fc97d97550f4a389d2d1c0dff955b40"/>
      <w:bookmarkStart w:id="67" w:name="z4fc97d97550f4a389d2d1c0dff955b40"/>
      <w:bookmarkEnd w:id="67"/>
    </w:p>
    <w:tbl>
      <w:tblPr>
        <w:tblW w:w="4196" w:type="dxa"/>
        <w:jc w:val="left"/>
        <w:tblInd w:w="0" w:type="dxa"/>
        <w:tblLayout w:type="fixed"/>
        <w:tblCellMar>
          <w:top w:w="0" w:type="dxa"/>
          <w:left w:w="0" w:type="dxa"/>
          <w:bottom w:w="0" w:type="dxa"/>
          <w:right w:w="0" w:type="dxa"/>
        </w:tblCellMar>
      </w:tblPr>
      <w:tblGrid>
        <w:gridCol w:w="23"/>
        <w:gridCol w:w="660"/>
        <w:gridCol w:w="3422"/>
        <w:gridCol w:w="91"/>
      </w:tblGrid>
      <w:tr>
        <w:trPr/>
        <w:tc>
          <w:tcPr>
            <w:tcW w:w="23" w:type="dxa"/>
            <w:tcBorders/>
            <w:vAlign w:val="center"/>
          </w:tcPr>
          <w:p>
            <w:pPr>
              <w:pStyle w:val="TableContents"/>
              <w:bidi w:val="0"/>
              <w:spacing w:before="0" w:after="283"/>
              <w:jc w:val="left"/>
              <w:rPr/>
            </w:pPr>
            <w:r>
              <w:rPr/>
            </w:r>
          </w:p>
        </w:tc>
        <w:tc>
          <w:tcPr>
            <w:tcW w:w="4173" w:type="dxa"/>
            <w:gridSpan w:val="3"/>
            <w:tcBorders/>
            <w:vAlign w:val="center"/>
          </w:tcPr>
          <w:p>
            <w:pPr>
              <w:pStyle w:val="TableContents"/>
              <w:bidi w:val="0"/>
              <w:spacing w:before="0" w:after="0"/>
              <w:jc w:val="both"/>
              <w:rPr>
                <w:b/>
              </w:rPr>
            </w:pPr>
            <w:r>
              <w:rPr>
                <w:b/>
              </w:rPr>
              <w:t>KUVA LABS INC.</w:t>
            </w:r>
          </w:p>
        </w:tc>
      </w:tr>
      <w:tr>
        <w:trPr/>
        <w:tc>
          <w:tcPr>
            <w:tcW w:w="23" w:type="dxa"/>
            <w:tcBorders/>
            <w:vAlign w:val="center"/>
          </w:tcPr>
          <w:p>
            <w:pPr>
              <w:pStyle w:val="TableContents"/>
              <w:bidi w:val="0"/>
              <w:spacing w:before="0" w:after="283"/>
              <w:jc w:val="left"/>
              <w:rPr/>
            </w:pPr>
            <w:r>
              <w:rPr/>
            </w:r>
          </w:p>
        </w:tc>
        <w:tc>
          <w:tcPr>
            <w:tcW w:w="660" w:type="dxa"/>
            <w:tcBorders/>
            <w:vAlign w:val="center"/>
          </w:tcPr>
          <w:p>
            <w:pPr>
              <w:pStyle w:val="TableContents"/>
              <w:bidi w:val="0"/>
              <w:spacing w:before="0" w:after="283"/>
              <w:jc w:val="left"/>
              <w:rPr/>
            </w:pPr>
            <w:r>
              <w:rPr/>
            </w:r>
          </w:p>
        </w:tc>
        <w:tc>
          <w:tcPr>
            <w:tcW w:w="3513" w:type="dxa"/>
            <w:gridSpan w:val="2"/>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660" w:type="dxa"/>
            <w:tcBorders/>
            <w:vAlign w:val="center"/>
          </w:tcPr>
          <w:p>
            <w:pPr>
              <w:pStyle w:val="TableContents"/>
              <w:bidi w:val="0"/>
              <w:spacing w:before="0" w:after="283"/>
              <w:jc w:val="left"/>
              <w:rPr/>
            </w:pPr>
            <w:r>
              <w:rPr/>
              <w:t xml:space="preserve">By: </w:t>
            </w:r>
          </w:p>
        </w:tc>
        <w:tc>
          <w:tcPr>
            <w:tcW w:w="3422" w:type="dxa"/>
            <w:tcBorders>
              <w:bottom w:val="single" w:sz="12" w:space="0" w:color="000000"/>
            </w:tcBorders>
            <w:tcMar>
              <w:bottom w:w="28" w:type="dxa"/>
            </w:tcMar>
            <w:vAlign w:val="center"/>
          </w:tcPr>
          <w:p>
            <w:pPr>
              <w:pStyle w:val="TableContents"/>
              <w:bidi w:val="0"/>
              <w:spacing w:before="0" w:after="0"/>
              <w:jc w:val="both"/>
              <w:rPr/>
            </w:pPr>
            <w:r>
              <w:rPr/>
              <w:t>/s/ Mark Land</w:t>
            </w:r>
          </w:p>
        </w:tc>
        <w:tc>
          <w:tcPr>
            <w:tcW w:w="91" w:type="dxa"/>
            <w:tcBorders/>
            <w:vAlign w:val="center"/>
          </w:tcPr>
          <w:p>
            <w:pPr>
              <w:pStyle w:val="TableContents"/>
              <w:bidi w:val="0"/>
              <w:spacing w:before="0" w:after="283"/>
              <w:jc w:val="left"/>
              <w:rPr/>
            </w:pPr>
            <w:r>
              <w:rPr/>
              <w:t> </w:t>
            </w:r>
          </w:p>
        </w:tc>
      </w:tr>
      <w:tr>
        <w:trPr/>
        <w:tc>
          <w:tcPr>
            <w:tcW w:w="23" w:type="dxa"/>
            <w:tcBorders/>
            <w:vAlign w:val="center"/>
          </w:tcPr>
          <w:p>
            <w:pPr>
              <w:pStyle w:val="TableContents"/>
              <w:bidi w:val="0"/>
              <w:spacing w:before="0" w:after="283"/>
              <w:jc w:val="left"/>
              <w:rPr/>
            </w:pPr>
            <w:r>
              <w:rPr/>
            </w:r>
          </w:p>
        </w:tc>
        <w:tc>
          <w:tcPr>
            <w:tcW w:w="4173" w:type="dxa"/>
            <w:gridSpan w:val="3"/>
            <w:tcBorders/>
            <w:vAlign w:val="center"/>
          </w:tcPr>
          <w:p>
            <w:pPr>
              <w:pStyle w:val="TableContents"/>
              <w:bidi w:val="0"/>
              <w:spacing w:before="0" w:after="0"/>
              <w:jc w:val="both"/>
              <w:rPr/>
            </w:pPr>
            <w:r>
              <w:rPr/>
              <w:t>Name: Mark Land</w:t>
            </w:r>
          </w:p>
        </w:tc>
      </w:tr>
      <w:tr>
        <w:trPr/>
        <w:tc>
          <w:tcPr>
            <w:tcW w:w="23" w:type="dxa"/>
            <w:tcBorders/>
            <w:vAlign w:val="center"/>
          </w:tcPr>
          <w:p>
            <w:pPr>
              <w:pStyle w:val="TableContents"/>
              <w:bidi w:val="0"/>
              <w:spacing w:before="0" w:after="283"/>
              <w:jc w:val="left"/>
              <w:rPr/>
            </w:pPr>
            <w:r>
              <w:rPr/>
            </w:r>
          </w:p>
        </w:tc>
        <w:tc>
          <w:tcPr>
            <w:tcW w:w="4173" w:type="dxa"/>
            <w:gridSpan w:val="3"/>
            <w:tcBorders/>
            <w:vAlign w:val="center"/>
          </w:tcPr>
          <w:p>
            <w:pPr>
              <w:pStyle w:val="TableContents"/>
              <w:bidi w:val="0"/>
              <w:spacing w:before="0" w:after="0"/>
              <w:jc w:val="both"/>
              <w:rPr/>
            </w:pPr>
            <w:r>
              <w:rPr/>
              <w:t>Title: Chief Executive Officer</w:t>
            </w:r>
          </w:p>
        </w:tc>
      </w:tr>
      <w:tr>
        <w:trPr/>
        <w:tc>
          <w:tcPr>
            <w:tcW w:w="23" w:type="dxa"/>
            <w:tcBorders/>
            <w:vAlign w:val="center"/>
          </w:tcPr>
          <w:p>
            <w:pPr>
              <w:pStyle w:val="TableContents"/>
              <w:bidi w:val="0"/>
              <w:spacing w:before="0" w:after="283"/>
              <w:jc w:val="left"/>
              <w:rPr/>
            </w:pPr>
            <w:r>
              <w:rPr/>
            </w:r>
          </w:p>
        </w:tc>
        <w:tc>
          <w:tcPr>
            <w:tcW w:w="660" w:type="dxa"/>
            <w:tcBorders/>
            <w:vAlign w:val="center"/>
          </w:tcPr>
          <w:p>
            <w:pPr>
              <w:pStyle w:val="TableContents"/>
              <w:bidi w:val="0"/>
              <w:spacing w:before="0" w:after="283"/>
              <w:jc w:val="left"/>
              <w:rPr/>
            </w:pPr>
            <w:r>
              <w:rPr/>
            </w:r>
          </w:p>
        </w:tc>
        <w:tc>
          <w:tcPr>
            <w:tcW w:w="3513" w:type="dxa"/>
            <w:gridSpan w:val="2"/>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4173" w:type="dxa"/>
            <w:gridSpan w:val="3"/>
            <w:tcBorders/>
            <w:vAlign w:val="center"/>
          </w:tcPr>
          <w:p>
            <w:pPr>
              <w:pStyle w:val="TableContents"/>
              <w:bidi w:val="0"/>
              <w:spacing w:before="0" w:after="0"/>
              <w:jc w:val="both"/>
              <w:rPr>
                <w:b/>
              </w:rPr>
            </w:pPr>
            <w:r>
              <w:rPr>
                <w:b/>
              </w:rPr>
              <w:t>KUVA ACQUISITION CORP.</w:t>
            </w:r>
          </w:p>
        </w:tc>
      </w:tr>
      <w:tr>
        <w:trPr/>
        <w:tc>
          <w:tcPr>
            <w:tcW w:w="23" w:type="dxa"/>
            <w:tcBorders/>
            <w:vAlign w:val="center"/>
          </w:tcPr>
          <w:p>
            <w:pPr>
              <w:pStyle w:val="TableContents"/>
              <w:bidi w:val="0"/>
              <w:spacing w:before="0" w:after="283"/>
              <w:jc w:val="left"/>
              <w:rPr/>
            </w:pPr>
            <w:r>
              <w:rPr/>
            </w:r>
          </w:p>
        </w:tc>
        <w:tc>
          <w:tcPr>
            <w:tcW w:w="660" w:type="dxa"/>
            <w:tcBorders/>
            <w:vAlign w:val="center"/>
          </w:tcPr>
          <w:p>
            <w:pPr>
              <w:pStyle w:val="TableContents"/>
              <w:bidi w:val="0"/>
              <w:spacing w:before="0" w:after="283"/>
              <w:jc w:val="left"/>
              <w:rPr/>
            </w:pPr>
            <w:r>
              <w:rPr/>
              <w:t> </w:t>
            </w:r>
          </w:p>
        </w:tc>
        <w:tc>
          <w:tcPr>
            <w:tcW w:w="3513" w:type="dxa"/>
            <w:gridSpan w:val="2"/>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660" w:type="dxa"/>
            <w:tcBorders/>
            <w:vAlign w:val="center"/>
          </w:tcPr>
          <w:p>
            <w:pPr>
              <w:pStyle w:val="TableContents"/>
              <w:bidi w:val="0"/>
              <w:spacing w:before="0" w:after="283"/>
              <w:jc w:val="left"/>
              <w:rPr/>
            </w:pPr>
            <w:r>
              <w:rPr/>
              <w:t xml:space="preserve">By: </w:t>
            </w:r>
          </w:p>
        </w:tc>
        <w:tc>
          <w:tcPr>
            <w:tcW w:w="3422" w:type="dxa"/>
            <w:tcBorders>
              <w:bottom w:val="single" w:sz="12" w:space="0" w:color="000000"/>
            </w:tcBorders>
            <w:tcMar>
              <w:bottom w:w="28" w:type="dxa"/>
            </w:tcMar>
            <w:vAlign w:val="center"/>
          </w:tcPr>
          <w:p>
            <w:pPr>
              <w:pStyle w:val="TableContents"/>
              <w:bidi w:val="0"/>
              <w:spacing w:before="0" w:after="0"/>
              <w:jc w:val="both"/>
              <w:rPr/>
            </w:pPr>
            <w:r>
              <w:rPr/>
              <w:t>/s/ Mark Land</w:t>
            </w:r>
          </w:p>
        </w:tc>
        <w:tc>
          <w:tcPr>
            <w:tcW w:w="91" w:type="dxa"/>
            <w:tcBorders/>
            <w:vAlign w:val="center"/>
          </w:tcPr>
          <w:p>
            <w:pPr>
              <w:pStyle w:val="TableContents"/>
              <w:bidi w:val="0"/>
              <w:spacing w:before="0" w:after="283"/>
              <w:jc w:val="left"/>
              <w:rPr/>
            </w:pPr>
            <w:r>
              <w:rPr/>
              <w:t> </w:t>
            </w:r>
          </w:p>
        </w:tc>
      </w:tr>
      <w:tr>
        <w:trPr/>
        <w:tc>
          <w:tcPr>
            <w:tcW w:w="23" w:type="dxa"/>
            <w:tcBorders/>
            <w:vAlign w:val="center"/>
          </w:tcPr>
          <w:p>
            <w:pPr>
              <w:pStyle w:val="TableContents"/>
              <w:bidi w:val="0"/>
              <w:spacing w:before="0" w:after="283"/>
              <w:jc w:val="left"/>
              <w:rPr/>
            </w:pPr>
            <w:r>
              <w:rPr/>
            </w:r>
          </w:p>
        </w:tc>
        <w:tc>
          <w:tcPr>
            <w:tcW w:w="4173" w:type="dxa"/>
            <w:gridSpan w:val="3"/>
            <w:tcBorders/>
            <w:vAlign w:val="center"/>
          </w:tcPr>
          <w:p>
            <w:pPr>
              <w:pStyle w:val="TableContents"/>
              <w:bidi w:val="0"/>
              <w:spacing w:before="0" w:after="0"/>
              <w:jc w:val="both"/>
              <w:rPr/>
            </w:pPr>
            <w:r>
              <w:rPr/>
              <w:t>Name: Mark Land</w:t>
            </w:r>
          </w:p>
        </w:tc>
      </w:tr>
      <w:tr>
        <w:trPr/>
        <w:tc>
          <w:tcPr>
            <w:tcW w:w="23" w:type="dxa"/>
            <w:tcBorders/>
            <w:vAlign w:val="center"/>
          </w:tcPr>
          <w:p>
            <w:pPr>
              <w:pStyle w:val="TableContents"/>
              <w:bidi w:val="0"/>
              <w:spacing w:before="0" w:after="283"/>
              <w:jc w:val="left"/>
              <w:rPr/>
            </w:pPr>
            <w:r>
              <w:rPr/>
            </w:r>
          </w:p>
        </w:tc>
        <w:tc>
          <w:tcPr>
            <w:tcW w:w="4173" w:type="dxa"/>
            <w:gridSpan w:val="3"/>
            <w:tcBorders/>
            <w:vAlign w:val="center"/>
          </w:tcPr>
          <w:p>
            <w:pPr>
              <w:pStyle w:val="TableContents"/>
              <w:bidi w:val="0"/>
              <w:spacing w:before="0" w:after="0"/>
              <w:jc w:val="both"/>
              <w:rPr/>
            </w:pPr>
            <w:r>
              <w:rPr/>
              <w:t>Title: Chief Executive Officer</w:t>
            </w:r>
          </w:p>
        </w:tc>
      </w:tr>
      <w:tr>
        <w:trPr/>
        <w:tc>
          <w:tcPr>
            <w:tcW w:w="23" w:type="dxa"/>
            <w:tcBorders/>
            <w:vAlign w:val="center"/>
          </w:tcPr>
          <w:p>
            <w:pPr>
              <w:pStyle w:val="TableContents"/>
              <w:bidi w:val="0"/>
              <w:spacing w:before="0" w:after="283"/>
              <w:jc w:val="left"/>
              <w:rPr/>
            </w:pPr>
            <w:r>
              <w:rPr/>
            </w:r>
          </w:p>
        </w:tc>
        <w:tc>
          <w:tcPr>
            <w:tcW w:w="660" w:type="dxa"/>
            <w:tcBorders/>
            <w:vAlign w:val="center"/>
          </w:tcPr>
          <w:p>
            <w:pPr>
              <w:pStyle w:val="TableContents"/>
              <w:bidi w:val="0"/>
              <w:spacing w:before="0" w:after="283"/>
              <w:jc w:val="left"/>
              <w:rPr/>
            </w:pPr>
            <w:r>
              <w:rPr/>
              <w:t> </w:t>
            </w:r>
          </w:p>
        </w:tc>
        <w:tc>
          <w:tcPr>
            <w:tcW w:w="3513" w:type="dxa"/>
            <w:gridSpan w:val="2"/>
            <w:tcBorders/>
            <w:vAlign w:val="center"/>
          </w:tcPr>
          <w:p>
            <w:pPr>
              <w:pStyle w:val="TableContents"/>
              <w:bidi w:val="0"/>
              <w:spacing w:before="0" w:after="283"/>
              <w:jc w:val="left"/>
              <w:rPr/>
            </w:pPr>
            <w:r>
              <w:rPr/>
              <w:t> </w:t>
            </w:r>
          </w:p>
        </w:tc>
      </w:tr>
      <w:tr>
        <w:trPr/>
        <w:tc>
          <w:tcPr>
            <w:tcW w:w="23" w:type="dxa"/>
            <w:tcBorders/>
            <w:vAlign w:val="center"/>
          </w:tcPr>
          <w:p>
            <w:pPr>
              <w:pStyle w:val="TableContents"/>
              <w:bidi w:val="0"/>
              <w:spacing w:before="0" w:after="283"/>
              <w:jc w:val="left"/>
              <w:rPr/>
            </w:pPr>
            <w:r>
              <w:rPr/>
            </w:r>
          </w:p>
        </w:tc>
        <w:tc>
          <w:tcPr>
            <w:tcW w:w="4173" w:type="dxa"/>
            <w:gridSpan w:val="3"/>
            <w:tcBorders/>
            <w:vAlign w:val="center"/>
          </w:tcPr>
          <w:p>
            <w:pPr>
              <w:pStyle w:val="TableContents"/>
              <w:bidi w:val="0"/>
              <w:spacing w:before="0" w:after="0"/>
              <w:jc w:val="both"/>
              <w:rPr>
                <w:b/>
              </w:rPr>
            </w:pPr>
            <w:r>
              <w:rPr>
                <w:b/>
              </w:rPr>
              <w:t>LISATA THERAPEUTICS, INC.</w:t>
            </w:r>
          </w:p>
        </w:tc>
      </w:tr>
      <w:tr>
        <w:trPr/>
        <w:tc>
          <w:tcPr>
            <w:tcW w:w="23" w:type="dxa"/>
            <w:tcBorders/>
            <w:vAlign w:val="center"/>
          </w:tcPr>
          <w:p>
            <w:pPr>
              <w:pStyle w:val="TableContents"/>
              <w:bidi w:val="0"/>
              <w:spacing w:before="0" w:after="283"/>
              <w:jc w:val="left"/>
              <w:rPr/>
            </w:pPr>
            <w:r>
              <w:rPr/>
            </w:r>
          </w:p>
        </w:tc>
        <w:tc>
          <w:tcPr>
            <w:tcW w:w="660" w:type="dxa"/>
            <w:tcBorders/>
            <w:vAlign w:val="center"/>
          </w:tcPr>
          <w:p>
            <w:pPr>
              <w:pStyle w:val="TableContents"/>
              <w:bidi w:val="0"/>
              <w:spacing w:before="0" w:after="283"/>
              <w:jc w:val="left"/>
              <w:rPr/>
            </w:pPr>
            <w:r>
              <w:rPr/>
            </w:r>
          </w:p>
        </w:tc>
        <w:tc>
          <w:tcPr>
            <w:tcW w:w="3513" w:type="dxa"/>
            <w:gridSpan w:val="2"/>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660" w:type="dxa"/>
            <w:tcBorders/>
            <w:vAlign w:val="center"/>
          </w:tcPr>
          <w:p>
            <w:pPr>
              <w:pStyle w:val="TableContents"/>
              <w:bidi w:val="0"/>
              <w:spacing w:before="0" w:after="283"/>
              <w:jc w:val="left"/>
              <w:rPr/>
            </w:pPr>
            <w:r>
              <w:rPr/>
              <w:t>By:</w:t>
            </w:r>
          </w:p>
        </w:tc>
        <w:tc>
          <w:tcPr>
            <w:tcW w:w="3422" w:type="dxa"/>
            <w:tcBorders>
              <w:bottom w:val="single" w:sz="12" w:space="0" w:color="000000"/>
            </w:tcBorders>
            <w:tcMar>
              <w:bottom w:w="28" w:type="dxa"/>
            </w:tcMar>
            <w:vAlign w:val="center"/>
          </w:tcPr>
          <w:p>
            <w:pPr>
              <w:pStyle w:val="TableContents"/>
              <w:bidi w:val="0"/>
              <w:spacing w:before="0" w:after="0"/>
              <w:jc w:val="both"/>
              <w:rPr/>
            </w:pPr>
            <w:r>
              <w:rPr/>
              <w:t>David J. Mazzo, Ph.D.</w:t>
            </w:r>
          </w:p>
        </w:tc>
        <w:tc>
          <w:tcPr>
            <w:tcW w:w="91" w:type="dxa"/>
            <w:tcBorders/>
            <w:vAlign w:val="center"/>
          </w:tcPr>
          <w:p>
            <w:pPr>
              <w:pStyle w:val="TableContents"/>
              <w:bidi w:val="0"/>
              <w:spacing w:before="0" w:after="283"/>
              <w:jc w:val="left"/>
              <w:rPr/>
            </w:pPr>
            <w:r>
              <w:rPr/>
              <w:t> </w:t>
            </w:r>
          </w:p>
        </w:tc>
      </w:tr>
      <w:tr>
        <w:trPr/>
        <w:tc>
          <w:tcPr>
            <w:tcW w:w="23" w:type="dxa"/>
            <w:tcBorders/>
            <w:vAlign w:val="center"/>
          </w:tcPr>
          <w:p>
            <w:pPr>
              <w:pStyle w:val="TableContents"/>
              <w:bidi w:val="0"/>
              <w:spacing w:before="0" w:after="283"/>
              <w:jc w:val="left"/>
              <w:rPr/>
            </w:pPr>
            <w:r>
              <w:rPr/>
            </w:r>
          </w:p>
        </w:tc>
        <w:tc>
          <w:tcPr>
            <w:tcW w:w="4173" w:type="dxa"/>
            <w:gridSpan w:val="3"/>
            <w:tcBorders/>
            <w:vAlign w:val="center"/>
          </w:tcPr>
          <w:p>
            <w:pPr>
              <w:pStyle w:val="TableContents"/>
              <w:bidi w:val="0"/>
              <w:spacing w:before="0" w:after="0"/>
              <w:jc w:val="both"/>
              <w:rPr/>
            </w:pPr>
            <w:r>
              <w:rPr/>
              <w:t>Name: David J. Mazzo, Ph.D.</w:t>
            </w:r>
          </w:p>
        </w:tc>
      </w:tr>
      <w:tr>
        <w:trPr/>
        <w:tc>
          <w:tcPr>
            <w:tcW w:w="23" w:type="dxa"/>
            <w:tcBorders/>
            <w:vAlign w:val="center"/>
          </w:tcPr>
          <w:p>
            <w:pPr>
              <w:pStyle w:val="TableContents"/>
              <w:bidi w:val="0"/>
              <w:spacing w:before="0" w:after="283"/>
              <w:jc w:val="left"/>
              <w:rPr/>
            </w:pPr>
            <w:r>
              <w:rPr/>
            </w:r>
          </w:p>
        </w:tc>
        <w:tc>
          <w:tcPr>
            <w:tcW w:w="4173" w:type="dxa"/>
            <w:gridSpan w:val="3"/>
            <w:tcBorders/>
            <w:vAlign w:val="center"/>
          </w:tcPr>
          <w:p>
            <w:pPr>
              <w:pStyle w:val="TableContents"/>
              <w:bidi w:val="0"/>
              <w:spacing w:before="0" w:after="0"/>
              <w:jc w:val="both"/>
              <w:rPr/>
            </w:pPr>
            <w:r>
              <w:rPr/>
              <w:t>Title: President and Chief Executive Officer</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1216</Words>
  <Characters>6473</Characters>
  <CharactersWithSpaces>7637</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