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144.jpeg" ContentType="image/jpeg"/>
  <Override PartName="/word/media/image170.jpeg" ContentType="image/jpeg"/>
  <Override PartName="/word/media/image47.jpeg" ContentType="image/jpeg"/>
  <Override PartName="/word/media/image165.jpeg" ContentType="image/jpeg"/>
  <Override PartName="/word/media/image54.jpeg" ContentType="image/jpeg"/>
  <Override PartName="/word/media/image133.jpeg" ContentType="image/jpeg"/>
  <Override PartName="/word/media/image145.jpeg" ContentType="image/jpeg"/>
  <Override PartName="/word/media/image171.jpeg" ContentType="image/jpeg"/>
  <Override PartName="/word/media/image48.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68.jpeg" ContentType="image/jpeg"/>
  <Override PartName="/word/media/image151.jpeg" ContentType="image/jpeg"/>
  <Override PartName="/word/media/image169.jpeg" ContentType="image/jpeg"/>
  <Override PartName="/word/media/image152.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61.jpeg" ContentType="image/jpeg"/>
  <Override PartName="/word/media/image160.jpeg" ContentType="image/jpeg"/>
  <Override PartName="/word/media/image158.jpeg" ContentType="image/jpeg"/>
  <Override PartName="/word/media/image157.jpeg" ContentType="image/jpeg"/>
  <Override PartName="/word/media/image156.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18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2.jpeg" ContentType="image/jpeg"/>
  <Override PartName="/word/media/image174.jpeg" ContentType="image/jpeg"/>
  <Override PartName="/word/media/image108.jpeg" ContentType="image/jpeg"/>
  <Override PartName="/word/media/image181.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media/image19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1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AND EXCHANGE COMMISSION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10-K</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239" w:type="dxa"/>
        <w:jc w:val="left"/>
        <w:tblInd w:w="0" w:type="dxa"/>
        <w:tblLayout w:type="fixed"/>
        <w:tblCellMar>
          <w:top w:w="28" w:type="dxa"/>
          <w:left w:w="28" w:type="dxa"/>
          <w:bottom w:w="28" w:type="dxa"/>
          <w:right w:w="28" w:type="dxa"/>
        </w:tblCellMar>
      </w:tblPr>
      <w:tblGrid>
        <w:gridCol w:w="1658"/>
        <w:gridCol w:w="1459"/>
        <w:gridCol w:w="1473"/>
        <w:gridCol w:w="481"/>
        <w:gridCol w:w="481"/>
        <w:gridCol w:w="687"/>
      </w:tblGrid>
      <w:tr>
        <w:trPr/>
        <w:tc>
          <w:tcPr>
            <w:tcW w:w="165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bidi w:val="0"/>
        <w:spacing w:lineRule="auto" w:line="288" w:before="0" w:after="0"/>
        <w:jc w:val="left"/>
        <w:rPr>
          <w:color w:val="000000"/>
        </w:rPr>
      </w:pPr>
      <w:r>
        <w:rPr>
          <w:color w:val="000000"/>
        </w:rPr>
        <w:t> </w:t>
      </w:r>
    </w:p>
    <w:p>
      <w:pPr>
        <w:pStyle w:val="TextBody"/>
        <w:bidi w:val="0"/>
        <w:spacing w:lineRule="auto" w:line="288" w:before="0" w:after="66"/>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09" w:type="dxa"/>
        <w:jc w:val="center"/>
        <w:tblInd w:w="0" w:type="dxa"/>
        <w:tblLayout w:type="fixed"/>
        <w:tblCellMar>
          <w:top w:w="28" w:type="dxa"/>
          <w:left w:w="28" w:type="dxa"/>
          <w:bottom w:w="28" w:type="dxa"/>
          <w:right w:w="28" w:type="dxa"/>
        </w:tblCellMar>
      </w:tblPr>
      <w:tblGrid>
        <w:gridCol w:w="1299"/>
        <w:gridCol w:w="1147"/>
        <w:gridCol w:w="1154"/>
        <w:gridCol w:w="499"/>
        <w:gridCol w:w="499"/>
        <w:gridCol w:w="501"/>
        <w:gridCol w:w="1027"/>
        <w:gridCol w:w="1027"/>
        <w:gridCol w:w="1456"/>
      </w:tblGrid>
      <w:tr>
        <w:trPr/>
        <w:tc>
          <w:tcPr>
            <w:tcW w:w="129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 (s)</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6"/>
        <w:jc w:val="center"/>
        <w:rPr/>
      </w:pPr>
      <w:r>
        <w:rPr>
          <w:rFonts w:ascii="Times New Roman;sans-serif" w:hAnsi="Times New Roman;sans-serif"/>
          <w:b w:val="false"/>
          <w:color w:val="000000"/>
          <w:sz w:val="20"/>
        </w:rPr>
        <w:t>Securities registered pursuant to Section 12(g) of the Act:</w:t>
      </w:r>
      <w:r>
        <w:rPr>
          <w:color w:val="000000"/>
        </w:rPr>
        <w:t xml:space="preserve"> </w:t>
      </w:r>
      <w:r>
        <w:rPr>
          <w:rFonts w:ascii="Times New Roman;sans-serif" w:hAnsi="Times New Roman;sans-serif"/>
          <w:b/>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0" w:after="66"/>
        <w:jc w:val="both"/>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 xml:space="preserve">Indicate by check mark if the Registrant is not required to file reports pursuant to Section 13 or 15(d) of the Securities Exchange Act of 1934.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w:t>
      </w:r>
    </w:p>
    <w:p>
      <w:pPr>
        <w:pStyle w:val="TextBody"/>
        <w:bidi w:val="0"/>
        <w:spacing w:lineRule="auto" w:line="288" w:before="0" w:after="66"/>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or an emerging growth company. See the definition of “large accelerated filer,” “accelerated filer”, and “smaller reporting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40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ind w:left="0" w:right="0" w:firstLine="403"/>
        <w:jc w:val="left"/>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Registrant's voting and non-voting common stock held by non-affiliates of the Registrant (without admitting that any person whose shares are not included in such calculation is an affiliate) computed by reference to June 28, 2024 (the last business day of the Registrant's most recently completed second fiscal quarter) was approximately $27.7 million, computed by reference to the last sale price of $3.47 for the common stock on the Nasdaq Capital Market reported for such date. Shares held by executive officers, directors and persons owning directly or indirectly more than 10% of the outstanding common stock have been excluded from the preceding number because such persons may be deemed to be affiliates of the Registrant. This determination of affiliate status is not necessarily a conclusive determination for other purposes.</w:t>
      </w:r>
    </w:p>
    <w:p>
      <w:pPr>
        <w:pStyle w:val="TextBody"/>
        <w:bidi w:val="0"/>
        <w:spacing w:before="0" w:after="66"/>
        <w:ind w:left="0" w:right="0" w:firstLine="360"/>
        <w:jc w:val="both"/>
        <w:rPr/>
      </w:pPr>
      <w:r>
        <w:rPr/>
      </w:r>
    </w:p>
    <w:p>
      <w:pPr>
        <w:pStyle w:val="TextBody"/>
        <w:bidi w:val="0"/>
        <w:spacing w:lineRule="auto" w:line="288" w:before="0" w:after="6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shares outstanding of each of the issuer's classes of common stock, as of the latest practicable date. </w:t>
      </w:r>
    </w:p>
    <w:tbl>
      <w:tblPr>
        <w:tblW w:w="6805" w:type="dxa"/>
        <w:jc w:val="center"/>
        <w:tblInd w:w="0" w:type="dxa"/>
        <w:tblLayout w:type="fixed"/>
        <w:tblCellMar>
          <w:top w:w="28" w:type="dxa"/>
          <w:left w:w="28" w:type="dxa"/>
          <w:bottom w:w="28" w:type="dxa"/>
          <w:right w:w="28" w:type="dxa"/>
        </w:tblCellMar>
      </w:tblPr>
      <w:tblGrid>
        <w:gridCol w:w="1291"/>
        <w:gridCol w:w="1131"/>
        <w:gridCol w:w="1147"/>
        <w:gridCol w:w="502"/>
        <w:gridCol w:w="502"/>
        <w:gridCol w:w="502"/>
        <w:gridCol w:w="502"/>
        <w:gridCol w:w="502"/>
        <w:gridCol w:w="726"/>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32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February 27,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8,620,162 </w:t>
            </w:r>
          </w:p>
        </w:tc>
        <w:tc>
          <w:tcPr>
            <w:tcW w:w="5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bidi w:val="0"/>
        <w:spacing w:before="0" w:after="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0" w:after="160"/>
        <w:jc w:val="both"/>
        <w:rPr>
          <w:color w:val="000000"/>
        </w:rPr>
      </w:pPr>
      <w:r>
        <w:rPr>
          <w:color w:val="000000"/>
        </w:rPr>
        <w:t>    </w:t>
      </w:r>
      <w:r>
        <w:rPr>
          <w:rFonts w:ascii="Times New Roman;sans-serif" w:hAnsi="Times New Roman;sans-serif"/>
          <w:b w:val="false"/>
          <w:color w:val="000000"/>
          <w:sz w:val="20"/>
        </w:rPr>
        <w:t>The following documents (or parts thereof) are incorporated by reference into the following parts of this Form 10-K: Certain information required in Part III of this Annual Report on Form 10-K is incorporated by reference from the Registrant's Proxy Statement for the 2025 Annual Meeting of Stockholders. Such Proxy Statement will be filed with the Securities and Exchange Commission within 120 days of the Registrant's fiscal year ended 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in this Annual Report on Form 10-K to “we,” “us,” the “Company” and “Lisata” mean Lisata Therapeutics, Inc., including subsidiaries and predecessors, except where it is clear that the term refers only to Lisata Therapeutics, Inc. This Annual Report on Form 10-K contains forward-looking statements, which involve risks and uncertainties. The Company's actual results could differ materially from those anticipated in these forward-looking statements as a result of certain factors, including those set forth under “Cautionary Note Regarding Forward-Looking Statements” and under “Risk Factors” and elsewhere in this Annual Report on Form 10-K. </w:t>
      </w:r>
    </w:p>
    <w:p>
      <w:pPr>
        <w:pStyle w:val="TextBody"/>
        <w:bidi w:val="0"/>
        <w:spacing w:before="0" w:after="66"/>
        <w:ind w:left="0" w:right="0" w:firstLine="315"/>
        <w:jc w:val="both"/>
        <w:rPr/>
      </w:pPr>
      <w:r>
        <w:rPr/>
      </w:r>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2"/>
        <w:gridCol w:w="689"/>
        <w:gridCol w:w="689"/>
        <w:gridCol w:w="2771"/>
        <w:gridCol w:w="2394"/>
        <w:gridCol w:w="2410"/>
        <w:gridCol w:w="136"/>
        <w:gridCol w:w="136"/>
        <w:gridCol w:w="198"/>
      </w:tblGrid>
      <w:tr>
        <w:trPr/>
        <w:tc>
          <w:tcPr>
            <w:tcW w:w="7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37">
              <w:r>
                <w:rPr>
                  <w:rStyle w:val="InternetLink"/>
                  <w:rFonts w:ascii="Times New Roman;sans-serif" w:hAnsi="Times New Roman;sans-serif"/>
                  <w:b/>
                  <w:strike w:val="false"/>
                  <w:dstrike w:val="false"/>
                  <w:color w:val="000000"/>
                  <w:sz w:val="20"/>
                  <w:u w:val="none"/>
                  <w:effect w:val="none"/>
                </w:rPr>
                <w:t>PART I</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BUSINESS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6">
              <w:r>
                <w:rPr>
                  <w:rStyle w:val="InternetLink"/>
                  <w:rFonts w:ascii="Times New Roman;sans-serif" w:hAnsi="Times New Roman;sans-serif"/>
                  <w:b w:val="false"/>
                  <w:color w:val="0000FF"/>
                  <w:sz w:val="20"/>
                  <w:u w:val="single"/>
                </w:rPr>
                <w:t>4</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 RISK FACTORS</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9">
              <w:r>
                <w:rPr>
                  <w:rStyle w:val="InternetLink"/>
                  <w:rFonts w:ascii="Times New Roman;sans-serif" w:hAnsi="Times New Roman;sans-serif"/>
                  <w:b w:val="false"/>
                  <w:color w:val="0000FF"/>
                  <w:sz w:val="20"/>
                  <w:u w:val="single"/>
                </w:rPr>
                <w:t>25</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 UNRESOLVED STAFF COMMENTS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22">
              <w:r>
                <w:rPr>
                  <w:rStyle w:val="InternetLink"/>
                  <w:rFonts w:ascii="Times New Roman;sans-serif" w:hAnsi="Times New Roman;sans-serif"/>
                  <w:b w:val="false"/>
                  <w:color w:val="0000FF"/>
                  <w:sz w:val="20"/>
                  <w:u w:val="single"/>
                </w:rPr>
                <w:t>63</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 CYBERSECURITY</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25">
              <w:r>
                <w:rPr>
                  <w:rStyle w:val="InternetLink"/>
                  <w:rFonts w:ascii="Times New Roman;sans-serif" w:hAnsi="Times New Roman;sans-serif"/>
                  <w:b w:val="false"/>
                  <w:color w:val="0000FF"/>
                  <w:sz w:val="20"/>
                  <w:u w:val="single"/>
                </w:rPr>
                <w:t>63</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PROPERTIES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28">
              <w:r>
                <w:rPr>
                  <w:rStyle w:val="InternetLink"/>
                  <w:rFonts w:ascii="Times New Roman;sans-serif" w:hAnsi="Times New Roman;sans-serif"/>
                  <w:b w:val="false"/>
                  <w:color w:val="0000FF"/>
                  <w:sz w:val="20"/>
                  <w:u w:val="single"/>
                </w:rPr>
                <w:t>65</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LEGAL PROCEEDINGS</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31">
              <w:r>
                <w:rPr>
                  <w:rStyle w:val="InternetLink"/>
                  <w:rFonts w:ascii="Times New Roman;sans-serif" w:hAnsi="Times New Roman;sans-serif"/>
                  <w:b w:val="false"/>
                  <w:color w:val="0000FF"/>
                  <w:sz w:val="20"/>
                  <w:u w:val="single"/>
                </w:rPr>
                <w:t>65</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MINE SAFETY DISCLOSURES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34">
              <w:r>
                <w:rPr>
                  <w:rStyle w:val="InternetLink"/>
                  <w:rFonts w:ascii="Times New Roman;sans-serif" w:hAnsi="Times New Roman;sans-serif"/>
                  <w:b w:val="false"/>
                  <w:color w:val="0000FF"/>
                  <w:sz w:val="20"/>
                  <w:u w:val="single"/>
                </w:rPr>
                <w:t>66</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MARKET FOR REGISTRANT'S COMMON EQUITY, RELATED STOCKHOLDER MATTERS AND ISSUER PURCHASES OF EQUITY SECURITIES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40">
              <w:r>
                <w:rPr>
                  <w:rStyle w:val="InternetLink"/>
                  <w:rFonts w:ascii="Times New Roman;sans-serif" w:hAnsi="Times New Roman;sans-serif"/>
                  <w:b w:val="false"/>
                  <w:color w:val="0000FF"/>
                  <w:sz w:val="20"/>
                  <w:u w:val="single"/>
                </w:rPr>
                <w:t>67</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[RESERVED]</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43">
              <w:r>
                <w:rPr>
                  <w:rStyle w:val="InternetLink"/>
                  <w:rFonts w:ascii="Times New Roman;sans-serif" w:hAnsi="Times New Roman;sans-serif"/>
                  <w:b w:val="false"/>
                  <w:color w:val="0000FF"/>
                  <w:sz w:val="20"/>
                  <w:u w:val="single"/>
                </w:rPr>
                <w:t>67</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 7. MANAGEMENT'S DISCUSSION AND ANALYSIS OF FINANCIAL CONDITION AND RESULTS OF OPERATIONS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46">
              <w:r>
                <w:rPr>
                  <w:rStyle w:val="InternetLink"/>
                  <w:rFonts w:ascii="Times New Roman;sans-serif" w:hAnsi="Times New Roman;sans-serif"/>
                  <w:b w:val="false"/>
                  <w:color w:val="0000FF"/>
                  <w:sz w:val="20"/>
                  <w:u w:val="single"/>
                </w:rPr>
                <w:t>68</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 QUANTITATIVE AND QUALITATIVE DISCLOSURES ABOUT MARKET RISK</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58">
              <w:r>
                <w:rPr>
                  <w:rStyle w:val="InternetLink"/>
                  <w:rFonts w:ascii="Times New Roman;sans-serif" w:hAnsi="Times New Roman;sans-serif"/>
                  <w:b w:val="false"/>
                  <w:color w:val="0000FF"/>
                  <w:sz w:val="20"/>
                  <w:u w:val="single"/>
                </w:rPr>
                <w:t>71</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 FINANCIAL STATEMENTS AND SUPPLEMENTARY DATA</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61">
              <w:r>
                <w:rPr>
                  <w:rStyle w:val="InternetLink"/>
                  <w:rFonts w:ascii="Times New Roman;sans-serif" w:hAnsi="Times New Roman;sans-serif"/>
                  <w:b w:val="false"/>
                  <w:color w:val="0000FF"/>
                  <w:sz w:val="20"/>
                  <w:u w:val="single"/>
                </w:rPr>
                <w:t>71</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 CHANGES IN AND DISAGREEMENTS WITH ACCOUNTANTS ON ACCOUNTING AND FINANCIAL DISCLOSURE</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48">
              <w:r>
                <w:rPr>
                  <w:rStyle w:val="InternetLink"/>
                  <w:rFonts w:ascii="Times New Roman;sans-serif" w:hAnsi="Times New Roman;sans-serif"/>
                  <w:b w:val="false"/>
                  <w:color w:val="0000FF"/>
                  <w:sz w:val="20"/>
                  <w:u w:val="single"/>
                </w:rPr>
                <w:t>97</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 CONTROLS AND PROCEDURES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51">
              <w:r>
                <w:rPr>
                  <w:rStyle w:val="InternetLink"/>
                  <w:rFonts w:ascii="Times New Roman;sans-serif" w:hAnsi="Times New Roman;sans-serif"/>
                  <w:b w:val="false"/>
                  <w:color w:val="0000FF"/>
                  <w:sz w:val="20"/>
                  <w:u w:val="single"/>
                </w:rPr>
                <w:t>97</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 OTHER INFORMATION</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54">
              <w:r>
                <w:rPr>
                  <w:rStyle w:val="InternetLink"/>
                  <w:rFonts w:ascii="Times New Roman;sans-serif" w:hAnsi="Times New Roman;sans-serif"/>
                  <w:b w:val="false"/>
                  <w:color w:val="0000FF"/>
                  <w:sz w:val="20"/>
                  <w:u w:val="single"/>
                </w:rPr>
                <w:t>98</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 DISCLOSURE REGARDING FOREIGN JURISDICTIONS THAT PREVENT INSPECTIONS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57">
              <w:r>
                <w:rPr>
                  <w:rStyle w:val="InternetLink"/>
                  <w:rFonts w:ascii="Times New Roman;sans-serif" w:hAnsi="Times New Roman;sans-serif"/>
                  <w:b w:val="false"/>
                  <w:color w:val="0000FF"/>
                  <w:sz w:val="20"/>
                  <w:u w:val="single"/>
                </w:rPr>
                <w:t>98</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 DIRECTORS, EXECUTIVE OFFICERS AND CORPORATE GOVERNANCE</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63">
              <w:r>
                <w:rPr>
                  <w:rStyle w:val="InternetLink"/>
                  <w:rFonts w:ascii="Times New Roman;sans-serif" w:hAnsi="Times New Roman;sans-serif"/>
                  <w:b w:val="false"/>
                  <w:color w:val="0000FF"/>
                  <w:sz w:val="20"/>
                  <w:u w:val="single"/>
                </w:rPr>
                <w:t>99</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66"/>
              <w:jc w:val="both"/>
              <w:rPr>
                <w:rFonts w:ascii="Times New Roman;sans-serif" w:hAnsi="Times New Roman;sans-serif"/>
                <w:b w:val="false"/>
                <w:color w:val="000000"/>
                <w:sz w:val="20"/>
              </w:rPr>
            </w:pPr>
            <w:r>
              <w:rPr>
                <w:rFonts w:ascii="Times New Roman;sans-serif" w:hAnsi="Times New Roman;sans-serif"/>
                <w:b w:val="false"/>
                <w:color w:val="000000"/>
                <w:sz w:val="20"/>
              </w:rPr>
              <w:t>ITEM 11. EXECUTIVE COMPENSATION</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66">
              <w:r>
                <w:rPr>
                  <w:rStyle w:val="InternetLink"/>
                  <w:rFonts w:ascii="Times New Roman;sans-serif" w:hAnsi="Times New Roman;sans-serif"/>
                  <w:b w:val="false"/>
                  <w:color w:val="0000FF"/>
                  <w:sz w:val="20"/>
                  <w:u w:val="single"/>
                </w:rPr>
                <w:t>101</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 SECURITY OWNERSHIP OF CERTAIN BENEFICIAL OWNERS AND MANAGEMENT AND RELATED STOCKHOLDER MATTERS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69">
              <w:r>
                <w:rPr>
                  <w:rStyle w:val="InternetLink"/>
                  <w:rFonts w:ascii="Times New Roman;sans-serif" w:hAnsi="Times New Roman;sans-serif"/>
                  <w:b w:val="false"/>
                  <w:color w:val="0000FF"/>
                  <w:sz w:val="20"/>
                  <w:u w:val="single"/>
                </w:rPr>
                <w:t>102</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 CERTAIN RELATIONSHIPS AND RELATED TRANSACTIONS, AND DIRECTOR INDEPENDENCE</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72">
              <w:r>
                <w:rPr>
                  <w:rStyle w:val="InternetLink"/>
                  <w:rFonts w:ascii="Times New Roman;sans-serif" w:hAnsi="Times New Roman;sans-serif"/>
                  <w:b w:val="false"/>
                  <w:color w:val="0000FF"/>
                  <w:sz w:val="20"/>
                  <w:u w:val="single"/>
                </w:rPr>
                <w:t>102</w:t>
              </w:r>
            </w:hyperlink>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 PRINCIPAL ACCOUNTING FEES AND SERVICES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75">
              <w:r>
                <w:rPr>
                  <w:rStyle w:val="InternetLink"/>
                  <w:rFonts w:ascii="Times New Roman;sans-serif" w:hAnsi="Times New Roman;sans-serif"/>
                  <w:b w:val="false"/>
                  <w:color w:val="0000FF"/>
                  <w:sz w:val="20"/>
                  <w:u w:val="single"/>
                </w:rPr>
                <w:t>102</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66"/>
              <w:jc w:val="both"/>
              <w:rPr>
                <w:rFonts w:ascii="Times New Roman;sans-serif" w:hAnsi="Times New Roman;sans-serif"/>
                <w:b w:val="false"/>
                <w:color w:val="000000"/>
                <w:sz w:val="20"/>
              </w:rPr>
            </w:pPr>
            <w:r>
              <w:rPr>
                <w:rFonts w:ascii="Times New Roman;sans-serif" w:hAnsi="Times New Roman;sans-serif"/>
                <w:b w:val="false"/>
                <w:color w:val="000000"/>
                <w:sz w:val="20"/>
              </w:rPr>
              <w:t>ITEM 15. EXHIBITS, FINANCIAL STATEMENT SCHEDULES</w:t>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81">
              <w:r>
                <w:rPr>
                  <w:rStyle w:val="InternetLink"/>
                  <w:rFonts w:ascii="Times New Roman;sans-serif" w:hAnsi="Times New Roman;sans-serif"/>
                  <w:b w:val="false"/>
                  <w:color w:val="0000FF"/>
                  <w:sz w:val="20"/>
                  <w:u w:val="single"/>
                </w:rPr>
                <w:t>103</w:t>
              </w:r>
            </w:hyperlink>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 FORM 10-K SUMMARY</w:t>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187">
              <w:r>
                <w:rPr>
                  <w:rStyle w:val="InternetLink"/>
                  <w:rFonts w:ascii="Times New Roman;sans-serif" w:hAnsi="Times New Roman;sans-serif"/>
                  <w:b w:val="false"/>
                  <w:color w:val="0000FF"/>
                  <w:sz w:val="20"/>
                  <w:u w:val="single"/>
                </w:rPr>
                <w:t>106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(this “Annual Report”) contains “forward-looking” statements within the meaning of the Private Securities Litigation Reform Act of 1995, as well as historical information. When used in this Annual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 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to which any future public health crisis and their long-term effects may impact, directly or indirectly, our business, including our clinical trials and financial condition.</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The factors discussed herein, including those risks described in “Item 1A. Risk Factors” and in our other periodic filings with the SEC, which are available for review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Lisata Therapeutics, Inc. (together with its subsidiaries, the “Company”) is a clinical-stage pharmaceutical company dedicated to the discovery, development, and commercialization of innovative therapies for the treatment of solid tumors and other major diseases. Our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 Additionally, the Company is currently exploring applications of certepetide in melanoma (skin cancer) in collaboration with Valo Therapeutics of Finland as well as in endometriosis (a non-cancer disease that behaves much like a solid tumor) in collaboration with the University of Cincinnati (USA).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Corporate Information</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We incorporated in 1980</w:t>
      </w:r>
      <w:r>
        <w:rPr>
          <w:color w:val="FF0000"/>
        </w:rPr>
        <w:t xml:space="preserve"> </w:t>
      </w:r>
      <w:r>
        <w:rPr>
          <w:rFonts w:ascii="Times New Roman;sans-serif" w:hAnsi="Times New Roman;sans-serif"/>
          <w:b w:val="false"/>
          <w:color w:val="000000"/>
          <w:sz w:val="20"/>
        </w:rPr>
        <w:t xml:space="preserve">as a Delaware corporation, and our principal executive offices are located at 110 Allen Road, Second Floor, Basking Ridge, NJ 07920. Our telephone number is (908) 842-0100 and the corporate website address is </w:t>
      </w:r>
      <w:r>
        <w:rPr>
          <w:rFonts w:ascii="Times New Roman;sans-serif" w:hAnsi="Times New Roman;sans-serif"/>
          <w:b w:val="false"/>
          <w:i/>
          <w:color w:val="000000"/>
          <w:sz w:val="20"/>
        </w:rPr>
        <w:t>www.lisata.com</w:t>
      </w:r>
      <w:r>
        <w:rPr>
          <w:rFonts w:ascii="Times New Roman;sans-serif" w:hAnsi="Times New Roman;sans-serif"/>
          <w:b w:val="false"/>
          <w:color w:val="000000"/>
          <w:sz w:val="20"/>
        </w:rPr>
        <w:t>. Our website address in this Annual Report is included only as an inactive textual reference and is not intended to be an active link to our website. The information on the website is not incorporated by reference into this Annual Report.</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Our Annual Reports on Form 10-K, Quarterly Reports on Form 10-Q, Current Reports on Form 8-K and all amendments to those reports, as well as other documents filed with the U.S. Securities and Exchange Commission (“SEC”), are available free of charge through the Investors section of the website as soon as reasonably practicable after such material is electronically filed with or furnished to the SEC. The public can obtain documents that are filed with the SEC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This Annual Report includes the following trademark owned by us, CendR Platform</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This trademark is the property of Lisata. This Annual Report also includes other trademarks, service marks and trade names owned by us or other companies. All trademarks, service marks and traded names included herein are the property of their respective owners. </w:t>
      </w:r>
    </w:p>
    <w:p>
      <w:pPr>
        <w:pStyle w:val="TextBody"/>
        <w:bidi w:val="0"/>
        <w:spacing w:lineRule="auto" w:line="288" w:before="0" w:after="16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Development Programs</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for example, pancreatic ductal adenocarcinoma (“PDAC”) and cholangiocarcinoma, are surrounded by dense fibrotic tissue, known as the tumor stroma. This stroma often limits the efficacy of current chemotherapies in the treatment of these cancers by impeding the penetration of anti-cancer therapies into the tumor. Emerging immunotherapies, including but not limited to checkpoint inhibitors and adoptive cell therapies (e.g., chimeric antigen receptor T cells (CAR-Ts)), also face challenges in effectively treating solid tumors. Many tumors exhibit an immunosuppressive TME, which suppresses a patient's immune system and can thus limit the effectiveness of immunotherapies and/or contribute to metastases. These factors, i.e., the combination of a dense stroma and an immunosuppressive TME, negatively impact the ability of many therapeutic agents to optimally treat these cancers.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To address the tumor stroma’s role as a key impediment to effective treatment, our approach is to activate the C-end rule (“CendR”), or CendR active transport mechanism, a naturally occurring transport system. Our investigational drug, certepetide (a specific, proprietary </w:t>
      </w:r>
      <w:r>
        <w:rPr>
          <w:rFonts w:ascii="Times New Roman;sans-serif" w:hAnsi="Times New Roman;sans-serif"/>
          <w:b w:val="false"/>
          <w:i/>
          <w:color w:val="000000"/>
          <w:sz w:val="20"/>
        </w:rPr>
        <w:t>internalizing</w:t>
      </w:r>
      <w:r>
        <w:rPr>
          <w:color w:val="000000"/>
        </w:rPr>
        <w:t xml:space="preserve"> </w:t>
      </w:r>
      <w:r>
        <w:rPr>
          <w:rFonts w:ascii="Times New Roman;sans-serif" w:hAnsi="Times New Roman;sans-serif"/>
          <w:b w:val="false"/>
          <w:color w:val="000000"/>
          <w:sz w:val="20"/>
        </w:rPr>
        <w:t xml:space="preserve">R-G-D or iRGD peptide), activates this transport system in a tumor-specific manner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(Sugahara, Science, 2010). Certepetide enables more selective and efficient uptake of systemically administered anti-cancer drugs resulting in more intratumoral drug accumulation. The overall expected result is enhanced anticancer activity without an increase in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combination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Certepetide has demonstrated favorable safety, tolerability, and activity to date in clinical trials enhancing the delivery of standard-of-care chemotherapies for mPDAC. Certepetide’s cancer targeting characteristics may also enable emerging solid tumor treatment modalities to prove more effective. For example, preliminary results of the combination of certepetide with immunotherapy and chemotherapy are promising.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metastatic cascade. It targets tumor vasculature, endothelial cells, tumor cells and some intratumoral immunosuppressive cells by its selective affinity for alpha-v beta-3 and alpha-v beta-5 integrins that are upregulated on these cells. Certepetide is a nine amino acid cyclic proprietary internalizing RGD (“iRGD”) peptide that, once bound to these integrins, undergoes proteolytic cleavage to release a linear peptide fragment, called a CendR peptide fragment. After dissociation from the integrin receptor, the CendR peptide fragment then binds with high selectivity and affinity to an adjacent receptor, called neuropilin-1, also upregulated in solid tumors, to activate the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more than 370 scientific papers related to the benefits of internalizing RGD peptides and the CendR pathway.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Clinically, certepetide was the subject of a completed Phase 1b/2a trial inclusive of 31 first-line mPDAC patients, of which 29 were evaluable. Results from the trial showed that the safety profile of the certepetide combination regimen was similar to standard of care (“SoC”) chemotherapy alone with certepetide being well-tolerated with no dose limiting toxicities. An Objective Response Rate (“ORR”) of 59% was observed, compared to the 23% ORR observed in the “MPACT” clinical trial that served as the basis for approval of the chemotherapy combination nab-paclitaxel and gemcitabine for the treatment of first line mPDAC (Von Hoff, et al. 2013). A Disease Control Rate (“DCR”) (partial and complete responses plus stable disease) of over 79% was also observed in comparison to a DCR of 48%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versus less than six months and less than nine months, respectively, in the MPACT trial. These results have been published in The Lancet Gastroenterology and Hepatology (Dean, et al. 2022).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was also examined in another Phase 1b/2a study in first line mPDAC patients. Study CEND1-201 was conducted in China by our development partner, Qilu Pharmaceutical. Two dose levels of certepetide (1.6 and 3.2 mg/kg) were combined with SoC chemotherapy (gemcitabine and nab-paclitaxel). There were 55 patients in the study, 53 of whom were evaluable for efficacy. Twenty-five (25) patients were treated with 1.6 mg/kg certepetide, and 28 patients with 3.2 mg/kg certepetide. In the 1.6 mg/kg certepetide group, partial response occurred in 11/25 (44.0%) patients, and stable disease occurred in 12/25 (48%) patients. In the 3.2 mg/kg certepetide group, partial response occurred in 11/28 (39.3%) patients, and stable disease occurred in 12/28 (42.9%) patients. The ORR was 41.5% for all doses. The ORR was 44.0% and 39.3% in 1.6 mg/kg group and in 3.2 mg/kg group, respectively. The DCR was 86.8% for all doses. The DCR in 1.6 and 3.2 mg/kg groups was 92.0% and 82.1%, respectively. The median PFS was 5.82 months for all doses combined. The median PFS was 7.36 months and 5.75 months in 1.6 mg/kg group and in 3.2 mg/kg group, respectively. The median OS was 11.10 months for all doses combined. The median OS was 10.35 months and 11.10 months in 1.6 mg/kg group and in 3.2 mg/kg group, respectively. The adverse event profile at both dose levels was similar to that for SoC alone. Qilu has completed Phase 2 enrollment (n=96) in first line mPDAC in combination with SoC gemcitabine and nab-paclitaxel.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certepetide is also the subject of a Phase 2 trial in first-line mPDAC patients, the ASCEND trial. ASCEND is being conducted in collaboration with the Australasian Gastrointestinal Clinical Trials Group (AGITG) and the University of Sydney at 25 sites in Australia and New Zealand. The Phase 2 double-blind, randomized (2:1), placebo-controlled ASCEND trial is evaluating certepetide in combination with SoC chemotherapy (gemcitabine and nab-paclitaxel) for the treatment of mPDAC. The original ASCEND protocol included one dosing scheme for certepetide. Following the acquisition of Cend Therapeutics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by extension, certepetide in September 2022, Lisata collaborated with AGITG to amend the protocol to ensure it respected international regulatory standards. Thus, endpoints more traditionally recognized by regulators as primary in registration studies, and that would effectively guide the next stages of clinical development (e.g., overall survival), were added. The amended protocol was designed to assess the efficacy of two different dosing regimens of certepetide in two separate cohorts: Cohort A, with 95 patients receiving a single intravenous (IV) dose of certepetide 3.2 mg/kg or placebo in combination with SoC, and Cohort B, with 63 patients receiving two IV doses of certepetide 3.2 mg/kg or placebo administered 4 hours apart in combination with SoC. The preliminary data from Cohort A were reported at the ASCO GI meeting on January 24, 2025, demonstrating a median overall survival (mOS) of 12.68 months for the certepetide treated group, compared to 9.72 months for the placebo treated group. Despite a numerical trend in 6-month PFS favoring the certepetide treatment group, no significant improvement in median PFS was observed (mPFS of 5.5 months in both groups). However, the observed mOS and objective response rate (ORR) benefit are positive with 4/65 (6.2%) complete responses in the certepetide treated group, compared to 0/28 (0%) the placebo treated group. Adverse events from an analysis of Cohort A groups with and without certepetide suggest no increase in adverse events when certepetide is added to SOC. Event rates were similar in the two Cohorts, confirming previous observations of certepetide’s benign safety profile. Data from Cohort B is expected in the coming months with a final analysis of both cohorts available thereafter.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 </w:t>
      </w:r>
    </w:p>
    <w:p>
      <w:pPr>
        <w:pStyle w:val="TextBody"/>
        <w:bidi w:val="0"/>
        <w:spacing w:before="0" w:after="160"/>
        <w:ind w:left="0" w:right="0" w:firstLine="360"/>
        <w:jc w:val="both"/>
        <w:rPr/>
      </w:pPr>
      <w:r>
        <w:rPr/>
        <w:drawing>
          <wp:inline distT="0" distB="0" distL="0" distR="0">
            <wp:extent cx="6286500" cy="35337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720"/>
        <w:jc w:val="left"/>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TECHNOLOGY COLLABORATION AND OUT-LICENSING OPPORTUNITIES</w:t>
      </w:r>
    </w:p>
    <w:p>
      <w:pPr>
        <w:pStyle w:val="TextBody"/>
        <w:bidi w:val="0"/>
        <w:spacing w:lineRule="auto" w:line="288" w:before="0" w:after="160"/>
        <w:jc w:val="both"/>
        <w:rPr/>
      </w:pPr>
      <w:r>
        <w:rPr>
          <w:rFonts w:ascii="Times New Roman;sans-serif" w:hAnsi="Times New Roman;sans-serif"/>
          <w:b/>
          <w:i/>
          <w:color w:val="000000"/>
          <w:sz w:val="20"/>
        </w:rPr>
        <w:t>Pancreatic Cancer &amp; Advanced Solid Tumors (certepetide: CendR Platform</w:t>
      </w:r>
      <w:r>
        <w:rPr>
          <w:rFonts w:ascii="Times New Roman;sans-serif" w:hAnsi="Times New Roman;sans-serif"/>
          <w:b w:val="false"/>
          <w:i/>
          <w:color w:val="000000"/>
          <w:sz w:val="13"/>
        </w:rPr>
        <w:t>®</w:t>
      </w:r>
      <w:r>
        <w:rPr>
          <w:rFonts w:ascii="Times New Roman;sans-serif" w:hAnsi="Times New Roman;sans-serif"/>
          <w:b/>
          <w:i/>
          <w:color w:val="000000"/>
          <w:sz w:val="20"/>
        </w:rPr>
        <w:t>)</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Our investigational drug candidate from the CendR Platform</w:t>
      </w:r>
      <w:r>
        <w:rPr>
          <w:rFonts w:ascii="Times New Roman;sans-serif" w:hAnsi="Times New Roman;sans-serif"/>
          <w:b w:val="false"/>
          <w:color w:val="000000"/>
          <w:sz w:val="13"/>
        </w:rPr>
        <w:t>®</w:t>
      </w:r>
      <w:r>
        <w:rPr>
          <w:rFonts w:ascii="Times New Roman;sans-serif" w:hAnsi="Times New Roman;sans-serif"/>
          <w:b w:val="false"/>
          <w:color w:val="000000"/>
          <w:sz w:val="20"/>
        </w:rPr>
        <w:t>, certepetide, holds broader potential to be combined as a co-administration treatment with an array of anti-cancer and diagnostic agents to benefit solid tumor cancer patients and we seek to collaborate with chemotherapy, targeted and immuno-therapy developers. The Company plans to enter partnerships to exploit the CendR Platform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for applications to enhance or enable effective diagnosis and treatment of solid tumor cancers across a range of treatment modalities. These include but are not limited to nucleic acid-based treatments such as antisense, siRNA, mRNA and gene editing approaches, immunotherapies such as adoptive cell immunotherapy as well as immune checkpoint inhibitors, and additional targeted therapy treatments for solid tumor cancer applications.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Platform </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Our developed and owned certepetide and CendR Platform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patent portfolio comprises the following:</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a.Four pending patent applications in the United States;</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b.Fourteen pending patent applications outside the United States; and</w:t>
      </w:r>
    </w:p>
    <w:p>
      <w:pPr>
        <w:pStyle w:val="TextBody"/>
        <w:bidi w:val="0"/>
        <w:spacing w:lineRule="auto" w:line="288" w:before="0" w:after="1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c.Pending claims covering, inter alia, methods for reducing the volume of a tumor using certepetide in combination with at least one anti-cancer agent or therapy; methods of treating pancreatic cancer using certepetide in combination with gemcitabine and/or nab-paclitaxel, treating tumors with iRGD and a cytokine, and methods of treating cancer in combination with chemotherapeutic and immunotherapeutic agents.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Product Opportunity for Pancreatic ductal adenocarcinoma (PDAC)</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are approximately 64,000 new cases of pancreatic cancer diagnosed annually. Outside of the United States, there are an additional 434,000 annual pancreatic cancer diagnoses. PDAC accounts for more than 80% of all pancreatic cancer cases, so worldwide, nearly 397,000 annual incidences of PDAC are diagnosed. Further, PDAC is one of the most aggressive and lethal malignancies, with a 5-year survival rate of 11%, resulting in approximately 50,000 deaths annually in the United States alone. Moreover, on a global scale, pancreatic cancer results in over 466,000 deaths per year.</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our operations are seasonal in nature.</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GOVERNMENT REGULATION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care industry is one of the most highly regulated industries in the United States and abroad. Various governmental regulatory authorities, as well as private accreditation organizations, oversee and monitor the activities of individuals and businesses engaged in the development, manufacture and delivery of health care products and services. The following is a general description of certain current laws and regulations that are relevant to our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U.S. Government Regulation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Premarket Review and Approval of Pharmaceutical Products in the United States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Pharmaceutical products are subject to extensive pre-market and post-market regulation by the U.S. Food and Drug Administration (the “FDA”) and other global agencies. For example, the Federal Food, Drug, and Cosmetic Act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intended for therapeutic uses. Before being marketed in the United States, pharmaceuticals must be reviewed and approved by the FDA via a New Drug Application (“NDA”).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requirements may subject a company to a variety of administrative or judicial sanctions, by the FDA and other global agencies, such as the issuance of a clinical hold, refusal to approve pending NDAs or NDA supplements, withdrawal of an approval,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global governmental entities. Under certain circumstances, individual members of company management may also be subject to civil or criminal penalties related to company violations of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applicant seeking approval to market and distribute a new pharmaceutical product in the United States typically must undertake the following: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completion of preclinical laboratory tests, animal studies and formulation studies in compliance with the good laboratory practice or GLP regulations;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submission to a health authority of an investigational new drug application (“IND”), which includes the detailed clinical protocol and must take effect before human clinical trials can commence;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approval of the clinical trial protocol and the sponsor's safeguards for human subjects by one or more institutional review boards, or “IRBs,” depending on the numbers of clinical sites and other features of the study design, before each clinical trial may be initiated;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performance of adequate and well-controlled human clinical trials in accordance with good clinical practices, or “GCPs,” to establish the safety and efficacy of the proposed drug product for each proposed indication for which regulatory approval is sought;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satisfactory completion of regulatory audits of the Sponsor, clinical research organizations, or clinical trial sites to assure compliance with GCPs and the integrity of the clinical data;</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preparation and submission to a health authority of an NDA;</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review of the product by a regulatory advisory committee, where appropriate or if applicable, as determined by the FDA at its discretion;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satisfactory completion of one or more regulatory inspections of the manufacturing facility or facilities at which the product, or components thereof, are produced to assess compliance with the regulations establishing current Good Manufacturing Practices, or “cGMPs,” and to assure that the facilities, methods and controls used for the manufacture, processing and packing of the drug product are adequate to preserve the product’s identity, strength, quality and purity;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payment of applicable user fees and securing regulatory approval of the NDA.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Satisfaction of regulatory pre-market approval requirements typically takes many years and the actual time required may vary substantially based upon the type, complexity and novelty of the product or disease. Moreover, submission of an IND may not result in authorization to initiate a clinical trial if the FDA raises concerns or questions about the design of the clinical trial or the non-clinical or manufacturing information supporting it, including concerns that human research subjects will be exposed to unreasonable health risks. A separate submission to an existing IND must also be made for each successive clinical trial conducted during product development. After a trial is initiated, the FDA or the IRB overseeing the trial may order the temporary or permanent discontinuation of a clinical trial at any time, or impose other sanctions, if it believes that the clinical trial is not being conducted in accordance with applicable requirements or presents an unacceptable risk to the clinical trial patients.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involve the administration of the investigational new drug to healthy volunteers or patients under the supervision of one or more qualified investigators. Clinical trials must be conducted in compliance with federal regulations and GCPs, which are meant to protect the rights and health of patients and to define the roles of clinical trial sponsors, administrators, and monitors. In addition, sponsors of most clinical trials involving regulated products, including drugs and biologics, are required to register and disclose certain clinical trial information on a public registry and results database managed by the National Institutes of Health called ClinicalTrials.gov. Registration information that must be submitted includes information related to the product, patient population, phase of investigation, study sites and investigators, and other aspects of the clinical trial. Sponsors are also obligated to disclose the results of their clinical trials after completion. Competitors may use this publicly available information to gain knowledge regarding the progress of development programs. Failure to comply with applicable clinical trial registration or results reporting obligations can result in civil monetary penalties or the withholding of grant funds from a federally funded grantee.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for marketing approval are typically conducted in three sequential phases, but the phases may overlap or may be combined. Under certain circumstances, a fourth post-approval phase may be required.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Phase 1</w:t>
      </w:r>
      <w:r>
        <w:rPr>
          <w:rFonts w:ascii="Times New Roman;sans-serif" w:hAnsi="Times New Roman;sans-serif"/>
          <w:b w:val="false"/>
          <w:color w:val="000000"/>
          <w:sz w:val="20"/>
        </w:rPr>
        <w:t>: Trials in this phase are initially conducted in a limited population of healthy volunteers to test the product candidate for safety, dose tolerance, absorption, metabolism, distribution and excretion in healthy humans or, on occasion, in patients, such as cancer patients, when the investigational drug is too toxic to be ethically given to healthy individuals.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Phase 2</w:t>
      </w:r>
      <w:r>
        <w:rPr>
          <w:rFonts w:ascii="Times New Roman;sans-serif" w:hAnsi="Times New Roman;sans-serif"/>
          <w:b w:val="false"/>
          <w:color w:val="000000"/>
          <w:sz w:val="20"/>
        </w:rPr>
        <w:t>: These clinical trials are generally conducted in a limited patient population to determine the presence and approximate magnitude of therapeutic effect of the product candidate for specific targeted indications and to identify appropriate therapeutic dose and dose frequency as well as any corresponding additional possible adverse effects and safety risks. Multiple Phase 2 clinical trials may be conducted by the sponsor to obtain information prior to beginning larger and more expensive Phase 3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Phase 3</w:t>
      </w:r>
      <w:r>
        <w:rPr>
          <w:rFonts w:ascii="Times New Roman;sans-serif" w:hAnsi="Times New Roman;sans-serif"/>
          <w:b w:val="false"/>
          <w:color w:val="000000"/>
          <w:sz w:val="20"/>
        </w:rPr>
        <w:t>: These are commonly referred to as pivotal or registration studies. When Phase 2 evaluations demonstrate that a dose range of the product candidate is effective and has an acceptable safety profile, Phase 3 clinical trials are typically undertaken in a larger patient population to further evaluate dosage, to provide substantial evidence of clinical efficacy and to further test for safety in an expanded and diverse patient population at multiple and geographically-dispersed clinical trial sites. In most cases, the FDA requires two adequate and well-controlled Phase 3 clinical trials to demonstrate the efficacy of the drug as a requirement for marketing authorization.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i/>
          <w:color w:val="000000"/>
          <w:sz w:val="20"/>
        </w:rPr>
        <w:t>Phase 4</w:t>
      </w:r>
      <w:r>
        <w:rPr>
          <w:rFonts w:ascii="Times New Roman;sans-serif" w:hAnsi="Times New Roman;sans-serif"/>
          <w:b w:val="false"/>
          <w:color w:val="000000"/>
          <w:sz w:val="20"/>
        </w:rPr>
        <w:t>: In some cases, the FDA may condition approval of an NDA for a product candidate on the sponsor's agreement to conduct additional clinical trials after NDA approval. In other cases, a sponsor may voluntarily carry out additional trials post approval to gain more information about the drug product.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Congress also recently amended the FD&amp;C Act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but if the FDA objects to a sponsor’s diversity action plan or otherwise requires significant changes to be made, it could delay initiation of the relevant clinical trial.</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Submission and FDA Review of an NDA</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Assuming successful completion of all required testing in accordance with applicable regulatory requirements, the results of the preclinical studies and clinical trials, together with detailed information relating to the product’s chemistry, manufacture, controls and proposed labeling, among other things, are submitted as part of an NDA seeking approval to market the drug product for one or more indications. To support marketing approval, the data submitted must be sufficient in quality and quantity to establish the safety, efficacy, and reliable manufacturing of the product candidate for its intended use(s) to the satisfaction of the FDA. Approval of the NDA is required before marketing of the product may begin. The cost of preparing and submitting an NDA is substantial. NDA submissions are additionally subject to a substantial application user fee, unless a fee waiver or reduction applies. Reduced or waived fees are available in certain circumstances, such as where a waiver is necessary to protect the public health, where the fee would present a significant barrier to innovation, or where the applicant is a small business submitting its first human therapeutic application for review. The FD&amp;C Act also imposes an annual program fee for marketed prescription drug products. These fees are typically adjusted annually.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FDA has 60 days after submission of an NDA to conduct a preliminary review in order to determine whether the application will be accepted for filing based on the Agency's threshold determination that the application is sufficiently complete to permit substantive review. Once the submission is accepted for filing, the FDA begins an in-depth review. If the application is not sufficiently complete, the regulator may issue a Refusal to File, or RTF, letter. In this event, the application must be resubmitted with the additional information and the resubmitted application is also subject to review before FDA accepts it for filing. FDA has ten months from the filing date in which to complete its review of a new molecular-entity (“NME”) NDA and respond to the applicant, and six months from the filing date of an NME NDA designated for priority review. For non-NME NDAs, the review goals are ten months from the date of receipt for a standard application and six months from the date of receipt for a priority submission. The FDA does not always meet its goal dates for standard and priority NDAs, and the review process is often extended by FDA requests for additional information or clarification. In addition, if a sponsor submits a major amendment to a filed NDA at any time during the review cycle, the FDA may extend the goal dates for review.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will typically inspect one or more clinical trial sites to ensure compliance with GCPs. Additionally, the FDA will also inspect the facility or the facilities at which the drug is manufactured. These pre-approval inspections cover all facilities associated with an NDA submission, including drug component manufacturing (such as active pharmaceutical ingredients), finished drug product manufacturing, and control testing laboratories. The FDA will not approve the product unless it determines that the manufacturing processes and facilities are in compliance with applicable cGMP requirements and are adequate to assure consistent production of the drug product within required specifications and the NDA. To ensure cGMP and GCP compliance by its employees and third-party contractors, an applicant must incur significant expenditure of time, money and effort in the areas of training, record keeping, production and quality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its review of an NDA, FDA may also refer applications for novel drug products, or drug products that present difficult questions of safety or efficacy, to an advisory committee of independent clinicians and other scientific experts for review, evaluation, and a recommendation as to whether the application should be approved and under what conditions. The FDA is not bound by the recommendation of an advisory committee but will carefully consider them. Data from clinical trials are not always conclusive, and FDA or its advisory committee may interpret data differently than the NDA applicant interprets the same data. FDA may also re-analyze the clinical trial data, which could result in extensive discussions between FDA and the applicant during the review process.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the FDA fully evaluates the NDA and the relevant manufacturing facilities, the FDA will issue either an approval letter or a complete response letter (“CRL”).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If a CRL is issued, the applicant may either resubmit the NDA, addressing all of the deficiencies identified in the letter, or withdraw the application. If and when those deficiencies have been addressed to the FDA's satisfaction in a resubmitted NDA, the FDA will issue an approval letter to the applicant. FDA has committed to reviewing such resubmissions in response to an issued CRL in either two or six months depending on the type of information being provided to address the deficiencies in the CRL. Even with the submission of this additional information, however, the FDA ultimately may decide that the application does not satisfy the regulatory criteria for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FDA approves a drug product for marketing,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such as a risk evaluation and mitigation strategy or “REMS.” The FDA may also limit further marketing of a product or withdraw the marketing approval, based on results of post-market studies or surveillance programs. After approval, many types of changes to the approved product, such as adding new indications or patient populations, making certain types of manufacturing changes or seeking to make additional labeling claims, are subject to further testing requirements and FDA review and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One potential condition of approval is that the FDA may require an applicant to develop a REMS if it determines that a REMS is necessary to ensure that the benefits of the drug outweigh its risks and to assure the safe use of the product.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requirements are tailored to the specific risk/benefit profile of a drug and can include requirements such as medication guides for patients, detailed communication plans for health care professionals, and elements to assure safe use, or “ETASU.” ETASU may include, but is not limited to, special training or certification for prescribing or dispensing, dispensing only under certain circumstances, special monitoring, restricted distribution, and the use of patient registries. The FDA may require a REMS as a condition of approval or may add such a requirement at any point post-approval if it becomes aware of a serious risk associated with use of the product. The requirement for a REMS and the specific components that are involved can materially affect the potential market and profitability of an approved drug product. If the FDA concludes a REMS plan is needed, the sponsor of the NDA must submit a proposed REMS plan to the FDA for review. The FDA will not approve an NDA without a REMS, if required.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Expedited Review Programs (Fast Track, Breakthrough and Priority Review Designations)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is authorized to facilitate the development and expedite the review of certain drugs that are intended for the treatment of a serious or life-threatening disease or condition for which there is no effective treatment, and which demonstrate the potential to address unmet medical needs for the condition. For example, under the FDA's Fast Track Program, the sponsor of an IND for a drug candidate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In addition to other benefits such as the ability to engage in more frequent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drug product candidates may be designated by FDA as “breakthrough therapies” upon a request made by the IND sponsors. 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may also be eligible for accelerated approval of their respective marketing applications. FDA must take certain actions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breakthrough therapies, such as holding timely meetings with and providing advice to the product sponsor, intended to expedite the development and review of an application for approval of a breakthrough therapy.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FDA may designate a product for priority review if it is a drug that treats a serious condition and, if approved, would provide a significant improvement in safety or effectiveness.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FDA’s goal for taking action on a marketing application from ten months to six months for an NME NDA from the date of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a product qualifies for one or more of these programs,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Accelerated Approval Pathway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products studied for their safety and effectiveness in treating serious or life-threatening illnesses and that provide meaningful therapeutic benefit over existing treatments may receive accelerated approval from FDA and may be approved on the basis of adequate and well-controlled clinical trials establishing that the drug product has an effect on a surrogate endpoint that is reasonably likely to predict clinical benefit. FDA may also grant accelerated approval for such a drug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FDA may require that a sponsor of a drug receiving accelerated approval perform post-marketing clinical trials to verify and describe the predicted effect on IMM or other clinical endpoint, and the product may be subject to expedited withdrawal procedures. Drugs granted accelerated approval must meet the same statutory standards for safety and effectiveness as those granted traditional approval. Further, all promotional materials for product candidates being considered and approved under the accelerated approval program are subject to prior review by the FDA.</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In addition, as part of the Consolidated Appropriations Act for 2023, Congress provided FDA additional statutory authority to mitigate potential risks to patients from continued marketing of ineffective drugs previously granted accelerated approval. Under these recent amendments to the FD&amp;C Act, the agency may require a sponsor of a product granted accelerated approval to have a confirmatory trial underway prior to approval. The sponsor must also submit progress reports on a confirmatory trial every six months until the trial is complete, and such reports will be published on the FDA’s website. Failure to conduct required post-approval studies, or to confirm the predicted clinical benefit of the product during post-marketing studies, allows the FDA to withdraw approval of the drug. Congress also recently amended the law to give FDA the option of using expedited procedures to withdraw product approval if the sponsor’s confirmatory trial fails to verify the claimed clinical benefits of the product. Prior to the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statutory amendments enacted by Congress, several oncology sponsors voluntarily withdrew specific indications for their drug products that were being marketed pursuant to accelerated approval, and the FDA’s Oncology Center of Excellence launched an initiative called Project Confirm, aimed at promoting transparency in the area of accelerated approvals for oncology indications. Scrutiny of the accelerated approval pathway is likely to continue in the coming years and may lead to further legislative and/or administrative changes in the future.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Pediatric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Pediatric Research Equity Act (“PREA”), NDAs or supplements to NDAs must contain data that are adequate to assess the safety and effectiveness of the drug for the claimed indications in all relevant pediatric subpopulations and to support dosing and administration for each pediatric subpopulation for which the drug is safe and effective. Sponsors must also submit pediatric trial plans and those plans must contain an outline of the proposed pediatric trial or trials the applicant plans to conduct, including trial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grant full or partial waivers or deferrals by age group for submission of data. In addition, FDA is required to send a PREA Non-Compliance letter to sponsors who have failed to submit their pediatric assessments required under PREA, have failed to seek or obtain a deferral or deferral extension or have failed to request approval for a required pediatric formulation, and FDA publicly posts such PREA Non-Compliance letters and sponsor’s response. Unless otherwise required by regulation, the pediatric data requirements do not apply to products with orphan designation, although the FDA has recently taken steps to limit what it considers abuse of this statutory exemption in PREA by announcing that it does not intend to grant any additional orphan drug designations for rare pediatric subpopulations of what is otherwise a common disease.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 Reauthorization Act of 2017 introduced a provision regarding required pediatric studies. Under this statute, for product candidates intended for the treatment of adult cancer which are directed at molecular targets that the FDA determines to be substantially relevant to the growth or progression of pediatric cancer, original application sponsors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Unlike PREA, orphan products are not exempt from this requirement.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Best Pharmaceuticals for Children Act (“BPCA”) provides approved NDA holders a six-month extension of any exclusivity that attaches to the end of all existing marketing exclusivities and listed patents for the drug.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The data do not need to show the product to be effective in the pediatric population studied; rather, if the clinical trial is deemed to fairly respond to the FDA's written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Applications under the BPCA are treated as priority applications, with all of the benefits that designation confers. FDA’s issuance of a written request for pediatric studies does not require the sponsor to undertake the described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Congress periodically considers enacting new incentives or mandates applicable to pediatric drug development, and the regulatory requirements applicable to pediatric drug developers may change in the future. For example, bipartisan legislation introduced in 2023 in the House of Representatives would have increased funding for pediatric trials; mandated that drugs for rare diseases be studied in children; and granted FDA authority to assess penalties against companies that do not complete required pediatric studies. However, the introduced legislation failed to become law.</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Orphan Drugs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Orphan Drug Act, the FDA may designate a candidate as an orphan drug if it is intended to treat a rare disease or condition, which is generally a disease or condition that affects either (i) fewer than 200,000 individuals in the United States or (ii) more than 200,000 individuals in the United States but there is no reasonable expectation that the cost of developing and making such a product available for this type of disease or condition will be recovered from sales in the United States from the product. Orphan drug designation must be requested by an applicant before submitting an NDA for the relevant drug candidate. After FDA grants orphan drug designation, it will publicly disclose the generic identity of the drug candidate and its potential orphan use. Orphan drug designation does not convey any advantage in, or shorten the duration of, the regulatory review and approval process.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product with orphan status receives the first regulatory approval for the disease or condition for which it has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 the product generally will receive orphan drug exclusivity. Orphan drug exclusivity means that the FDA may not approve any other applications for the same product for the same indication for seven years, except in certain limited circumstances (such as a showing of clinical superiority to the drug with orphan exclusivity by means of greater effectiveness, greater safety, or providing a major contribution to patient care). However, a competitor may receive regulatory approval for a different product (i.e., a different therapeutic agent from the orphan drug) for the same indication for which the orphan product has exclusivity and may obtain approval for the same product (i.e., the same therapeutic agent as the orphan drug) but for a different indication. If a designated orphan drug ultimately receives marketing approval for an indication broader than what was described in its orphan drug designation request, it may not be entitled to exclusivity under the Orphan Drug Act. Recent court cases have challenged FDA’s approach to determining the scope of orphan drug exclusivity; however, at this time the Agency continues to apply its long-standing interpretation of the governing regulations and has stated that it does not plan to change any orphan drug implementing regulations.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Among the other benefits of orphan drug designation, the sponsor receives a waiver of the NDA application user fee and is eligible for tax credits for certain research. The current tax credit regulation allows companies to claim up to 25% of the qualified clinical testing expenses in the current year and three prior years to offset their investment in rare (orphan) conditions.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Rare Pediatric Disease Designations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529 of the FD&amp;C Act, FDA can grant a Rare Pediatric Disease Designation (“RPDD”) to a drug intended to prevent or treat a rare pediatric disease, defined as a serious or life-threatening disease that primarily affects patients from birth to 18 years or age and with a prevalence of less than 200,000 in the United States. RPDD requests should be made by the sponsor at any time prior to the submission of an NDA.</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FDA can award priority review vouchers (“PRVs”) to sponsors of rare pediatric disease product applications that meet certain criteria. Under this program, a sponsor who receives an approval for a drug that has been granted an RPDD may qualify for such a voucher, which can be redeemed to receive a priority review of a subsequent marketing application for a different product. Upon submitting a marketing application with a PRV, the sponsor is required to pay a separate user fee that is assessed in addition to the typical application user fee (if no waiver or exemption applies); the fee for redeeming a PRV is also adjusted each fiscal year. For fiscal year 2025 that additional user fee is over $2.48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PRV is transferable and may be sold to other companies who wish to obtain a priority review for a future new drug or biological product marketing application.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Rare Pediatric Disease Priority Review Voucher Program was extended by Congress. Under the current statutory sunset provisions, after December 20, 2024, FDA may only award a voucher for an approved rare pediatric disease product application if the sponsor has RPDD for the drug and that designation was granted on or before December 20, 2024. After September 30, 2026, FDA may not award any rare pediatric disease PRVs unless the program is extended. Congress will need to take action to further extend FDA’s authority to administer this program, either in the context of the five-year FDA user fee reauthorization cycle (which is expected to take place in 2027) or sooner through another legislative vehicle, otherwise it will terminate entirely after September 2026.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approval, drug products and their manufacturers are subject to pervasive and continuing regulation by the FDA including, among other things, requirements relating to monitoring and recordkeeping, reporting of adverse experiences with the product, product sampling and distribution restrictions, and complying with advertising and promotion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drug manufacturers and other entities involved in the manufacture of approved drugs are required to register their facilities with the FDA and state agencies and are subject to periodic unannounced inspections for compliance with cGMP requirements. Changes to the manufacturing process, specifications or container closure system for an approved drug are strictly regulated and often require prior regulatory approval before being implemented. Regulations also require investigation and correction of any deviations from cGMP and impose reporting and documentation requirements upon the sponsor and others involved in the product’s manufacturing process. We rely, and expect to continue to rely, on third parties for the production of clinical and commercial quantities of our products in accordance with cGMP regulations. These manufacturers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must comply with cGMP regulations that require, among other things, quality control and quality assurance, the maintenance of records and documentation and the obligation to investigate and correct any deviations from cGMP. Accordingly, manufacturers must continue to expend time, money and effort in the area of production and quality control to maintain cGMP compliance and ensure ongoing compliance with other statutory requirements of the FD&amp;C Act.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after a new drug approval is granted, the FDA may withdraw that approval if compliance with regulatory requirements and standards is not maintained or if problems occur after the product reaches the market. If a previously unknown problem, including adverse events of unanticipated severity or frequency, or with manufacturing processes, is discovered or the manufacturer fails to comply with regulatory requirements, the FDA may require revisions to the approved labeling to add new safety information; may impose additional post-market studies or clinical trials to assess new safety risks; or may impose distribution or other restrictions under a REMS program. Other potential consequences of regulatory non-compliance include, among other things: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fines, warning letters or holds on post-approval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refusal of the regulator to approve pending NDAs or supplements to approved NDAs, or suspension or revocation of product approvals;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product seizure or detention, or refusal to permit the import or export of products;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consent decrees, corporate integrity agreements, debarment, or exclusion from federal health care programs;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mandated modification of promotional materials and labeling and the issuance of corrective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More recently, the Drug Supply Chain Security Act, or DSCSA, was enacted with the aim of building an electronic system to identify and trace certain prescription drugs distributed in the United States. The DSCSA mandated phased-in and resource-intensive traceability and verification obligations for pharmaceutical manufacturers, wholesale distributors, and dispensers over a 10</w:t>
        <w:noBreakHyphen/>
        <w:t>year period that culminated in November 2023. After an additional one-year stabilization period to give entities subject to the DSCSA additional time to finalize interoperable tracking systems and to ensure supply chain continuity, the applicable requirements under the DSCSA became fully enforceable as of November 27, 2024. The DSCSA also replaced certain provisions from the PDMA pertaining to wholesale distribution of prescription drugs with a more comprehensive statutory scheme, requiring uniform national standards for wholesale distribution and, for the first time, for third-party logistics providers. In February 2022, the FDA released proposed regulations to amend the existing national standards for licensing of wholesale drug distributors by the states (which had been promulgated under the PDMA); to establish new minimum standards for state licensing third-party logistics providers; and to create a federal system for licensure for use in the absence of a state program, each of which is mandated by the DSCSA. From time to time, additional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Health Care Laws and Regulations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approved in the United States, we will have to comply with various U.S. federal and state laws, rules and regulations pertaining to health care fraud and abuse, including but not limited to anti-kickback laws. Violations of the fraud and abuse laws are punishable by criminal and civil sanctions, including, in some instances, exclusion from participation in federal and state health care programs, including Medicare and Medicaid. Other federal and state laws and regulations that could directly or indirectly affect our ability to operate the business and/or financial performance include: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laws and regulations administered by the United States Department of Health and Human Services, including the Office for Human Research Protections and the Office of Inspector General;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state laws and regulations governing human subject research;</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federal and state coverage and reimbursement laws and regulations, including laws and regulations administered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Centers for Medicare &amp; Medicaid Services (“CMS”) and state Medicaid agencies;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federal Anti-Kickback Law and similar state laws and regulations;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(“HIPAA”), as amended by the Health Information Technology for Economic and Clinical Health Act (“HITECH”) and similar state laws and regulations;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federal transparency requirements under the Physician Payments Sunshine Act that require manufacturers of FDA-approved drugs, devices, biologics and medical supplies covered by Medicare or Medicaid to report, on an annual basis, to the Department of Health and Human Services information related to payments and other transfers of value physicians, teaching hospitals, and certain advanced non-physician health care practitioners and physician ownership and investment interests;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Occupational Safety and Health Administration requirements;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state and local laws and regulations dealing with the handling and disposal of medical waste.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the fraud and abuse laws, or other health care laws, are punishable by criminal and civil sanctions, including, in some instances, the possibility of exclusion from participation in federal and state health care programs, (including Medicare and Medicaid), and corporate integrity agreements, which impose, among other things, rigorous operational and monitoring requirements on companies. Similar sanctions and penalties also may be imposed upon executive officers and employees, including criminal sanctions against executive officers under the so-called “responsible corporate officer” doctrine, even in situations where the executive officer did not intend to violate the law and was unaware of any wrongdoing. Given the penalties that may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and corporate integrity agreements. In addition, private individuals have the ability to bring similar actions under some of the fraud and abuse laws. Further, federal and state laws that require manufacturers to make reports on pricing and marketing information could subject us to penalty provisions.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Coverage, Pricing, and Reimbursement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our drug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if approved as a benefit under their plans or, even if they do provide coverage, the level of payment may not be sufficient to allow us to sell our products on a profitable basis.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countries where they may be sold at lower prices than in the United States. In the United States, third-party payors often rely upon Medicare coverage policy and payment limitations in setting their own reimbursement policies, but they also have their own methods and approval process apart from Medicare coverage and reimbursement determinations. One third-party payor’s determination to provide coverage for a product does not assure that other payors will also provide coverage for the product.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coverage determination process is often a time-consuming and costly process that will require us to provide scientific and clinical support for the use of our products, if approved, to each payor separately, with no assurance that coverage and adequate payment will be applied consistently or granted at all. The process for determining whether a payor will cover and how much it will reimburse a product may be separate from the process of seeking approval of the product or for setting the price of the product. Even if reimbursement is provided, market acceptance of our products, if approved, may be adversely affected if the amount of payment for such products proves to be unprofitable for health care providers or less profitable than alternative treatments or if administrative burdens make the products less desirable to use.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August 2022, President Biden signed into the law the Inflation Reduction Act of 2022, or the IRA, which includes (among other things) multiple provisions that may impact the prices of drug products that are both sold into the Medicare program and throughout the United States. For example, under the IRA, a manufacturer of drug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drug and biological product manufacturers for negotiated prices of 10 products, which will become applicable for payment year 2026.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federal, state and local governments in the United States will continue to consider legislation directed at lowering the total cost of health care. Individual U.S.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has led to more aggressive efforts by states in this area. During the current congressional session, numerous PBM reforms are being considered in both the Senate and the House of Representatives; they include diverse legislative proposals such as eliminating rebates; divorcing service fees from the price of a drug, discount, or rebate; prohibiting spread pricing; limiting administrative fees; requiring PBMs to report formulary placement rationale; promoting transparency.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medical product developers like us.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Patent Term Extension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patent claiming a prescription drug for which FDA approval is granted may be eligible for a limited patent term extension under the FD&amp;C Act,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is under regulatory review while the patent is in force. The restoration period granted on a patent covering a new FDA-regulated medical product is typically one-half the time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date a clinical investigation on human beings is begun and the submission date of an application for marketing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Data Privacy and the Protection of Personal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laws and regulations governing data privacy and the protection of personal information of patients, clinical investigators, employees, and vendors/business contacts, including in relation to medical records and other health information, credit card data and financial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as well as reputational harm. Our customers and research partners must comply with laws governing the privacy and security of health information, including HIPAA, HITECH and state health information privacy laws. If we knowingly obtain protected health information without the authority to do so, our research collaborators may be subject to enforcement, and we may have direct liability for the unlawful receipt of protected health information or for aiding and abetting a HIPAA violation.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HIPAA does not apply, according to the Federal Trade Commission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The FTC and states' Attorneys General have brought enforcement actions and prosecuted some data breach cases as unfair and/or deceptive acts or practices under the FTC Act and comparable state laws.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also adopted the California Consumer Privacy Act of 2018 (“CCPA”), which went into effect in January of 2020. The CCPA establishes a new privacy framework for covered businesses by creating an expanded definition of personal information, establishing new data privacy rights for consumers in the State of California, imposing special rules on the collection of consumer data from minors, requiring covered companies to provide new disclosures to consumers about such companies’ practices for collection and use of consumer data, and providing consumers new ways to opt-out of certain sales or transfers of personal information. In addition, the CCPA creates a new and potentially severe statutory damages framework for violations of the CCPA and for businesses that fail to implement reasonable security procedures and practices to prevent data breaches. While there is an exception for protected health information that is subject to HIPAA and clinical trial regulations, as the law currently written, the CCPA may impact our business activities. More recently, a new privacy law, the California Privacy Rights Act (“CPRA”) was approved by California voters. The CPRA went into effect in January of 2023, modifying and strengthening the CCPA significantly,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has the authority to promulgate new privacy regulations and enforce California privacy laws and regulations. Moreover, multiple states have enacted their own privacy laws similar to the CCPA, and other states are considering proposals for such laws. As more states implement their own privacy laws and regulations, and the interplay of federal and state laws becomes subject to varying interpretations by courts and government agencies, pharmaceutical companies and clinical research collaborators may become exposed to complex compliance issues and the potential for additional expenses or liability.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Environmental, Health and Safety Regulation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numerous federal, state and local environmental, health and safety (“EHS”) laws and regulations relating to, among other matters, safe working conditions, product stewardship, environmental protection, and handling or disposition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research and development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 Foreign Corrupt Practices Act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Importantly, United States authorities that enforce the FCPA, including the DOJ, deem most health care professionals and other employees of foreign hospitals, clinics, research facilities and medical schools in countries with public health care or public education systems to be “foreign officials” under the FCPA. When we or our agents interact with foreign health care professionals and researchers in testing our product candidates abroad (and marketing products in the future, if any are approved), we must have policies and procedures in place sufficient to prevent us and agents acting on our behalf from providing any bribe, gift or gratuity, including excessive or lavish meals, travel or entertainment in connection securing required permits and approvals such as those needed to initiate clinical trials in foreign jurisdictions. The FCPA also obligates companies whose securities are listed in the United States to comply with accounting provisions requiring the maintenance of books and records that accurately and fairly reflect all transactions of the corporation, including international subsidiaries, and the development and maintenance of an adequate system of internal accounting controls for international operations. The Securities and Exchange Commission (“SEC”) is involved with the books and records provisions of the FCPA.</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Government Regulation Outside the U.S.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regulations in the United States,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risks that are the same as or similar to the ones described above relating to the FDA submission, review and approval processes, and the time required to obtain approval in other countries and jurisdictions might differ from and be longer than that required to obtain FDA approval. Some foreign jurisdictions have a drug product approval process similar to that in the United States, which requires the submission of a clinical trial application, or CTA, much like the IND prior to the commencement of clinical studies. In Europe, for example, a CTA must be submitted in accordance with the Clinical Trials Regulation and must involve an independent ethics committee, much like the FDA and a responsible IRB, respectively. Once the CTA is authorized, clinical trial development may proceed. To obtain regulatory approval of a therapeutic product candidate under European Union (“EU”) regulatory systems, we would be required to submit a marketing authorisation application, which is similar to the NDA, except that there are different pathways to obtain marketing authorization, such as the centralized and decentralized procedures.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even though certain clinical trials may support product approval in the United States, some nations may not consider such clinical studies adequate to support marketing authorization or may require that additional studies be performed on their citizens. In addition, in certain foreign markets, the pricing of drug products is subject to government control and reimbursement may in some cases be unavailable or insufficient. We face the risk that the resulting prices would be insufficient to generate an acceptable return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any future partner of ours. If we fail to comply with applicable foreign regulatory requirements, we may be subject to, among other things, fines, suspension or withdrawal of regulatory approvals, product recalls, seizure of products, operating restrictions, and criminal prosecution.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Regulation of Pharmaceutical Products in the European Union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 the United States, pharmaceutical products can be marketed in the EU only if a marketing authorization from the competent regulatory agencies has been obtained. Similar to the United States, the various phases of preclinical and clinical research in the EU are subject to significant regulatory controls.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European Clinical Trials Directive, a system for the approval of clinical trials in the EU had been implemented through national legislation of the member states. Under the previous system, an applicant obtained approval from the competent national authority of an EU member state in which the clinical trial was conducted. Furthermore, the applicant could only start a clinical trial after a competent ethics committee had issued a favorable opinion. In April 2014, the new Clinical Trials Regulation, (EU) No 536/2014 (“Clinical Trials Regulation”) was adopted and became effective on January 31, 2022. The Clinical Trials Regulation is directly applicable in all the EU Member States, repealing the previous Clinical Trials Directive 2001/20/EC. The extent to which ongoing clinical trials will be governed by the Clinical Trials Regulation depends on when the Clinical Trials Regulation becomes applicable and on the duration of the individual clinical trial. If a clinical trial that was initially authorized under the Clinical Trials Directive continues past January 31, 2025, the Clinical Trials Regulation will at that time begin to apply to the clinical trial.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Clinical Trials Regulation aims to simplify and streamline the approval of clinical trials in the European Union. The main characteristics of the regulation include: a streamlined application procedure via a single entry point, the “EU portal” called the Clinical Trial Information System (“CTIS”); a single set of documents to be prepared and submitted for the application as well as simplified reporting procedures for clinical trial sponsors; and a harmonized procedure for the assessment of applications for clinical trials. Use of the CTIS became mandatory for new clinical trial application submissions as of February 1, 2023.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obtain marketing approval of a drug in the EU, an applicant must submit a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specific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stop-clocks.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only products for which marketing authorizations have been granted may be promoted. A marketing authorization is valid for five years in principle and the marketing authorization may be renewed after the initial five-year period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authorization is valid for an unlimited period, unless the European Commission or the competent authority decides on justified grounds relating to pharmacovigilance, to proceed with one additional five-year renewal. Any marketing authorization which is not followed by the actual placing of the drug on the EU market (in case of centralized procedure) or on the market of the authorizing member state within three years after authorization ceases to be valid (the so-called sunset clause).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European Commission issued a proposal for a new Directive and a new Regulation, which will revise and replace the existing general pharmaceutical legislation. If adopted and implemented as currently proposed, these revisions will significantly change several aspects of drug development and approval in the EU.</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Regulation of Pharmaceutical Products in the United Kingdom</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Medicines and Healthcare products Regulatory Agency, or MHRA, is responsible for regulating the United Kingdom medicinal products market (Great Britain and Northern Ireland). An MHRA authorization must be obtained for each medicine to be marketed in the regions that comprise the United Kingdom. On January 1, 2021, all European Union marketing authorizations were converted to United Kingdom marketing authorizations subject to a manufacturer opt-out. The United Kingdom has introduced separate, specific processes for regulatory submissions and medicinal product marketing authorization, and MHRA guidance states that the United Kingdom will have the power to take into account marketing authorizations made under the European Union decentralized and mutual recognition procedures. On January 1, 2024, the MHRA launched the International Recognition Procedure, or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Recognition Route A – 60 days from validation of submission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Application must be based on a Reference Regulatory, or RR, marketing authorization within the previous two years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Any significant differences from the quality dossier approved by the RR marketing authorization requires assessment under Recognition Route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Evidence of cGMP compliance for manufacturing sites should be provided with submission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None of the Recognition Route B criteria are met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Recognition Route B – 110 days from validation of submission with one planned clock stop (up to 60 days) at day 70 to allow applicant to respond to issues identified during review</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Application must be based on a RR marketing authorization within the previous 10 years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Criteria requiring Recognition Route B include, among other things: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RR marketing authorization granted a conditional or exceptional circumstances marketing authorization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Additional manufacturing sites included in the application were not assessed by the RR marketing authorization or a manufacturing site is not cGMP certified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There are substantial changes to the manufacturing process compared to the process approved by the RR marketing authorization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Certain product types (e.g., advanced therapy medicinal products, orphan medicines, over-the-counter medicines)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 risk management plan was not assessed under the RR marketing authorization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RR marketing authorization required one or more post-authorization safety studies for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 companion diagnostic is necessary for correct use of the product and the diagnostic test is not authorized in the EU or UK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 medicines legislation is subject to future regulatory change under the Medicines and Medical Devices Act 2021. This act sets out a framework for the adoption of medicines regulation.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Different rules apply in Northern Ireland following implementation of the Northern Ireland Protocol, under which European Union central marketing applications continue to apply there. However, in March 2023, the United Kingdom government and the European Commission reached agreement on a regulatory framework to replace the Northern Ireland Protocol, referred to as the Windsor Framework. The Windsor Framework is effective as of January 1, 2025 and requires changes to the system that was previously in effect under the Northern Ireland Protocol, including the regulation of pharmaceutical products in the United Kingdom. Specifically, the MHRA will be responsible for approving all medicines intended to be marketed in the United Kingdom (including Northern Ireland), while the EMA will no longer be involved in approving medicines intended for sale in Northern Ireland.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Trade and Cooperation Agreement, which sets forth a framework for partnership between the European Union and the United Kingdom, became effective as of January 1, 2021. 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cGMP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expected that the establishment of a separate United Kingdom authorization system, albeit with transitional recognition procedures in the United Kingdom, will lead to additional regulatory costs. In addition, additional regulatory costs may be incurred with respect to the lack of mutual recognition of batch testing and related regulatory measures.</w:t>
      </w: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financial condition, operating results and cash flows are subject to numerous risks and uncertainties that are summarized below. The summary of risk factors below should be read together with the more detailed discussion of risks set forth following this section under the heading “Risk Factors,” as well as elsewhere in this Annual Report.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have incurred substantial losses and negative cash flow from operations in the past and expect to continue to incur losses and negative cash flow for the foreseeable future. Additionally, we anticipate that we will need substantial additional financing to continue our operations; if we are unable to raise additional capital, we may be forced to delay, reduce or eliminate one or more of our product development programs, and our business will consequently be materially harmed.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are substantially dependent on our investigational product candidate, certepetide. If we are unable to advance certepetide or any of our other product candidates through clinical development, obtain regulatory approval and ultimately begin commercializing, or experience significant delays in doing so, our business will be materially harmed.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commercial potential and profitability of our product candidates are unknown. We currently have no marketing and sales organization and have no experience in marketing products, and our products may not gain market acceptance among physicians, patients, hospitals, cancer treatment centers and others in the medical community.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be unable to manage multiple late-stage clinical trials for a variety of product candidates simultaneously.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If serious or unacceptable side effects are identified during the development of any of our product candidates, we may need to abandon or limit our development of that product candidate.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 Fast Track or breakthrough therapy designation by the FDA and other similar regulatory designations may not lead to a faster development, regulatory review, or approval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clinical trials may fail to demonstrate adequately the safety and efficacy of our product candidates, which failure would prevent or delay acquisition of requisite capital to complete development and/or regulatory approval and commercialization.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currently rely heavily on contract research organizations to conduct our studies. Their inability to recruit or operationalize our study could negatively impact our ability to meet our milestone timelines.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Any supply chain disruption could impact our ability to perform clinical trials and seek future regulatory submissions.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We may enter into collaborations, strategic alliances, additional licensing arrangements, acquisitions, business combinations and/or other strategic transactions, and we may not realize the benefits of any such arrangement.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If competitors develop and market products that are more effective, safer, or less expensive than our product candidates or offer other advantages, our commercial prospects will be limited.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need to grow the size of our organization, and may experience difficulties in managing this growth.</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be subject to significant product liability claims and litigation, including potential exposure from the use of our product candidates in human subjects, and our insurance may ultimately be inadequate to cover claims that may arise.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be unable to hire or retain key officers or employees needed to implement our business strategy.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 variety of risks associated with operating our business internationally could materially adversely affect our business.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conduct significant operations through our Australian subsidiary. If we lose our ability to operate in Australia, or if the subsidiary loses eligibility for certain Australian tax credits, our business and results of operations will materially suffer.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Our internal computer systems, or those used by our clinical investigators, clinical research organizations or other contractors or consultants, may fail or suffer security breaches, which could result in a material disruption of development programs for our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development and commercialization of our product candidates are subject to extensive regulation and the failure to receive regulatory approvals would have a material and adverse effect on our business and prospects. Obtaining and maintaining regulatory approval of our product candidates in one jurisdiction does not mean that it will be successful in obtaining regulatory approval of our product candidates in other jurisdictions.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be subject to numerous and varying privacy and security laws, and our failure to comply could result in penalties and reputational damage.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will continue to be subject to extensive regulation following any product approvals, and if we fail to comply with these regulations, we may suffer a significant setback in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Health care companies have been the subject of federal and state investigations, and we could become subject to investigations in the future.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It is uncertain to what extent government, private health insurers and third-party payors will approve coverage or provide reimbursement for the therapies and products to which our research and development relate. Legislation and regulatory proposals intended to contain health care costs may adversely affect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Inadequate funding for the FDA, the SEC and other government agencies, and/or large staff turnovers at these agencies could hinder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If we are unable to obtain or maintain our licenses, patents or other intellectual property we could lose important protections that are material to continuing our operations and our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Litigation and third-party claims relating to intellectual property are expensive, time-consuming and uncertain, and we may be unsuccessful in our efforts to protect against infringement by third parties or defend ourselves against claims of infringement.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utilize our net operating loss carryforwards and tax credit carryforwards may be subject to limitations.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stock price has been, and will likely continue to be, highly volatile and accurately predicting positive or negative movement relative to our results and announcements historically has been inconsistent.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We may fail to comply with the continued listing requirements of the Nasdaq Capital Market, such that our common stock may be delisted and our ability to access the capital markets could be negatively and materially impacted.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Future fundraising and strategic transactions may cause dilution, and we currently have a significant number of securities outstanding that are exercisable for our common stock, which could result in significant additional dilution.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Provisions in our amended and restated certificate of incorporation and by-laws and Delaware law may inhibit a takeover, which could limit the price investors are willing to pay for our common stock and could entrench management.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Failure to maintain effective internal control over financial reporting in accordance with Section 404 of the Sarbanes-Oxley Act could have a material adverse effect on our business and stock price. </w:t>
      </w:r>
    </w:p>
    <w:p>
      <w:pPr>
        <w:pStyle w:val="TextBody"/>
        <w:bidi w:val="0"/>
        <w:spacing w:lineRule="auto" w:line="288" w:before="0" w:after="16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26 full-time employees. Senior management and professional employees have had prior experience in pharmaceutical or biotechnology companies. None of our employees are covered by collective bargaining agreements. We believe that our relations with our employees are good. Our human capital resources objectives include, as applicable, identifying, recruiting, retaining, incentivizing and integrating our existing and additional employees, advisors and consultants. The principal purposes of our equity incentive plans are to attract, retain and reward personnel through the granting of equity-based compensation awards in order to emphasize increasing stockholder value and our success by motivating such individuals to perform to the best of their abilities and achieve our objectives.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operate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based on industry benchmarking provided by our independent compensation consultant to the Compensation Committee of the Board of Directors for our employees and strongly embrace a pay for performance philosophy in setting and adjusting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Code of Business Conduct and Ethics clearly outlines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financial condition, operating results and cash flows can be affected by a number of factors, including, but not limited to, those set forth below, any one of which could cause our actual results to vary materially from recent results or from our anticipated future results. The risks described below are not the only ones we face, but those we currently consider to be material. There may be other risks which we now consider immaterial, or which are unknown or unpredictable, with respect to our business, our competition, the regulatory environment or otherwise that could have a material adverse effect on our business, financial condition and results of operations.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have incurred substantial losses and negative cash flow from operations in the past and expect to continue to incur losses and negative cash flow for the foreseeable future.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limited operating history as Lisata Therapeutics, Inc, limited capital, and limited sources of revenue. Since our inception in 1980 through December 31, 2024, we have incurred aggregate net losses of approximately $548.1 million. Our net losses from continuing operations attributable to common stockholders for the years ended December 31, 2024 and December 31, 2023 were approximately $20.0 million and $20.8 million, respectively. As of December 31, 2024, our cash and cash equivalents and marketable securities were $31.2 million. Our current business has not generated revenues in the past and for the foreseeable future we do not expect it to generate revenue to be sufficient to cover costs attributable to that business or to our operations as a whole, including our development activities associated with our product candidates. Ultimately, we may never generate sufficient revenue from our business to reach profitability, generate positive cash flow or sustain, on an ongoing basis, our current or projected levels of product development and other operations.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anticipate that we will need substantial additional financing to continue our operations; if we are unable to raise additional capital, we may be forced to delay, reduce or eliminate one or more of our product development programs, and our business will be materially harmed.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operating plan will require significant levels of additional capital to fund the continued development of our product candidates and our clinical development activities. Based on our current expected capital needs, we believe that our projected capital will fund our current proposed operations into early 2026, encompassing anticipated data milestones from all of our ongoing and planned clinical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clinical activities are expected to continue to increase in size, complexity and geographic reach as our programs are advanced and they will require significant investment over a period of several years before they yield results that could potentially be approved by health authorities and commercialized by us or a partner, if ever. Even if data from our current Phase 2 clinical trials for our product candidates were deemed positive, we most likely would be required to conduct additional clinical trials of the product candidates, including larger and more expensive pivotal Phase 3 trials, to pursue commercialization of the candidates. To do so, we will need to raise substantial additional capital, enter into collaboration agreements with third parties or undertake any combination thereof. If we are unsuccessful in our efforts to raise capital or find collaborative partners, we will likely need to otherwise delay or abandon the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future capital requirements also will likely depend on many other factors, including: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scope, progress, results, costs, timing and outcomes of our research and development programs and product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our ability to control timing of results availability as well as the timing and content of related public announcements based on existing contracts with collaborators, particularly if those contracts were inherited as part of a business transaction;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our ability to enter into any collaboration agreements with third parties for our product candidates and the timing and terms of any such agreements;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costs associated with the consummation of one or more strategic transactions;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timing of, and the costs involved in obtaining, regulatory approvals for our product candidates, a process which could be particularly lengthy;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costs of maintaining, expanding and protecting our intellectual property portfolio, including potential litigation costs and liabilities relating thereto;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cost of expansion of our development operations and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availability of, or our access to, state or federal government awards.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both fund our clinical trials and support our future operations, it is highly probable that we would raise capital through a variety of different public and/or private financings vehicles. This could include, but not be limited to, utilization of our at-the-market offering agreement with H.C. Wainwright &amp; Co., LLC, potential issuances of other debt or equity securities in public or private financings and/or sale or licensing of assets. If we raise capital through the sale of equity, or securities convertible into equity, it would likely result in dilution to our then-existing stockholders. Servicing the interest and principal repayment obligations under debt we incur, or whether any such debt is called, would divert funds that might otherwise be available to support research and development, clinical or commercialization activities. In addition, debt financing involves covenants that restrict our ability to operate our business. In certain cases, we also may seek funding through collaborative arrangements that would likely require us to relinquish certain rights to our technology or product candidates and diminish our share in the future revenues associated with the partnered product.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Ultimately, we may be unable to raise capital or enter into collaborative relationships on terms that are acceptable to us, if at all. Our inability to obtain the necessary capital or financing to fund our future operating needs would materially adversely affect our business, results of operations and financial condition.</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never generated any revenue from product sales and our ability to generate revenue from product sales and become profitable depends significantly on our success in a number of factors.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products approved for commercial sale, have not generated any revenue from product sales, and do not anticipate generating any revenue from product sales until sometime after we have received regulatory approval for the commercial sale of a product candidate, which may never occur. Our ability to generate revenue from product sales and achieve profitability depends significantly on our success in many factors, including: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completing research regarding, and non-clinical and clinical development of, our current and future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obtaining regulatory approvals and marketing authorizations for product candidates for which we complete clinical trials;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developing a sustainable, scalable and economically feasible manufacturing process for our product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identifying and contracting with contract manufacturers that have the ability and capacity to manufacture our development products and make them reliably at an acceptable cost;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launching and commercializing product candidates for which we obtain regulatory approvals and marketing authorizations, either directly or with a collaborator or distributor;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obtaining market acceptance of our product candidates as viable treatment options;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ensuring ongoing regulatory compliance post-approval and with respect to sales and marketing of future products;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addressing any competing technological and market developments;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identifying, assessing, acquiring and/or developing new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negotiating favorable terms in any collaboration, licensing, or other arrangements into which we may enter;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maintaining, protecting, and expanding our portfolio of intellectual property rights, including patents, trade secrets, and know-how; and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attracting, hiring, and retaining qualified personnel.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depend, in part, upon the size of the markets in the territories for which we obtain regulatory approval, the accepted price for the product, the ability to receive reimbursement at any price, and whether we own the commercial rights for that territory. If the number of our addressable disease patients is not as significant as we estimate, the indication approved by regulatory authorities is narrower than we expect, or the reasonably accepted population for treatment is narrowed by competition, physician choice or treatment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guidelines, we may not generate significant revenue from sales of such products, even if approved. If we are not able to generate sufficient revenue from the sale of any approved products, we may never become profitable.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If our status as a smaller reporting company changes, Section 404(b) of the Sarbanes-Oxley Act of 2002 may require an independent registered public accounting firm to report on the effectiveness of our internal control over financial reporting. Any delays or difficulty in satisfying these requirements could adversely affect our future results of operations and our stock price.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404(b) of the Sarbanes-Oxley Act of 2002 requires an independent registered public accounting firm to test the internal control over financial reporting of public companies, and to report on the effectiveness of such controls. Under the Dodd Frank Wall Street Reform and Consumer Protection Act of 2010, we are exempt from Section 404(b) as long as we remain a smaller reporting company or a non-accelerated filer. If our status as a smaller reporting company changes, we may be required to comply with this auditor attestation requirement.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in the future discover areas of our internal controls that need improvement, particularly with respect to businesses that we may acquire. If so, we cannot be certain that any remedial measure we take will ensure that we have adequate internal controls over our financial processes and reporting in the future. Any failure to implement the required new or improved controls, or difficulties encountered in their implementation could harm our operating results or cause us to fail to meet our reporting obligations. If we are unable to conclude that we have effective internal controls over financial reporting, or if it becomes necessary for our independent registered public accounting firm to provide us with an unqualified report regarding the effectiveness of our internal control over financial reporting and it is unable to do so, investors could lose confidence in the reliability of our financial statements. This could result in a decrease in the value of our common stock.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ability to utilize our net operating loss carryforwards and tax credit carryforwards may be subject to limitations.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is generally defined as a greater than 50 percentage point change (by value) in its equity ownership by certain stockholders over a three-year period. Even if we achieve profitability, we may not be able to utilize a material portion of our NOL carryforwards and other tax attributes, which could have a material adverse effect on cash flow and results of operations. Similar provisions of state tax law may also apply to limit our use of accumulated state tax attributes. There is also a risk that due to regulatory changes, such as suspensions on the use of NOLs, or other unforeseen reasons, our existing NOLs could expire or otherwise be unavailable to offset future income tax liabilities.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Department of Treasury, FDIC and Federal Reserve Board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and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Potential or actual breach of contractual obligations that require us to maintain letters of credit or other credit support arrangements; or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have material adverse impacts on our business.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PRODUCT DEVELOPMENT EFFORTS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We are substantially dependent on our investigational product candidate, certepetide. If we are unable to advance certepetide or any of our future product candidates through clinical development, obtain regulatory approval and ultimately commercialize certepetide or any of our other product candidates, or experience significant delays in doing so, our business will be materially harmed.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investigational product candidate certepetide is still in clinical development. Our ability to generate product revenues, which we do not expect will occur for many years, if ever, will depend heavily on the successful clinical development and eventual commercialization of certepetide and potentially one or more of our other product candidates. The success of our product candidates will depend on several factors, including the following: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successful completion of preclinical and clinical studies;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clearance of INDs, comparable foreign clinical trial applications (“CTAs”) and clinical protocols for our planned clinical trials or future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Regulator acceptance of our development strategy and resultant clinical data;</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successful initiation of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successful patient enrollment in and completion of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safety, tolerability and efficacy profiles for our product candidates that are satisfactory to regulators for marketing approval;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receipt of marketing approvals for our product candidates from applicable regulatory authorities;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obtaining and maintaining patent and trade secret protection and regulatory exclusivity for our product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making arrangements with third-party manufacturers, or establishing manufacturing capabilities, for both clinical and commercial supplies of our product candidates, if any product candidates are approved;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establishing sales, marketing and distribution capabilities and launching commercial sales of our products, if and when approved, whether alone or in collaboration with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acceptance of our products, if and when approved, by patients, the medical community and third-party payors;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effectively competing with other therapies;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obtaining and maintaining third-party coverage and adequate reimbursement;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maintaining a continued acceptable safety profile of our products following approval;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factors we may not be able to control, such as current or potential pandemics that may limit patients, principal investigators or staff or clinical site availability (e.g. the COVID-19 pandemic).</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the results obtained in our current clinical studies will be sufficient to obtain regulatory approval or marketing authorization for any of our product candidates. Negative results in the development of our investigational product candidate, certepetide, in any one indication may also impact our ability to obtain regulatory approval of certepetide in other indications, either at all or within anticipated timeframes because, even though the indications are different, the underlying technology platform, manufacturing process and development process are the same. Accordingly, a failure or major issue associated with any one indication may affect the ability to obtain regulatory approval to continue or conduct clinical programs and/or obtain regulatory approval for another indication. Furthermore, although we believe based on available preclinical and clinical results that a combination of certepetide with certain anti-cancer therapeutics is more effective than the use of those therapeutics alone, this may not prove true in clinical testing of certepetide for all or any of the types of cancer. Anti-tumor activity may prove different in each of the different tumor types and/or with each of the anti-cancer therapeutic combinations we plan on evaluating. Therefore, the tumor response to certepetide plus the corresponding anti-cancer therapeutic(s) combination may be less robust in patients with some cancers compared to others. This may result in discontinuation of development of certepetide for certain tumor types and/or certain anti-cancer therapeutic(s) combinations due to insufficient clinical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we have limited financial and personnel resources and are placing significant focus on the development of our investigational product candidate, we may forego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future success may be dependent on the timely and successful continued development and commercialization of our product candidates and if we encounter delays or difficulties in the development of these product candidates, our business prospects could be materially harmed.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successful development, approval and commercialization of our product candidates. Before we are able to seek regulatory approval of our product candidates, we must conduct and complete extensive clinical trials to demonstrate their safety and efficacy in humans. We have never taken a product through the regulatory approval process or successfully to U.S. or international commercialization.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difficult and complex to design and execute, and can take many years to complete. Importantly, a failure of one or more clinical trials can occur at any stage of testing. We may experience numerous unforeseen events during, or as a result of clinical trials that could delay or prevent our ability to complete our clinical trials, receive regulatory approval or commercialize our product candidates, including the following: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suspensions, delays or changes in the design, initiation, enrollment, execution or completion of required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adverse changes in our financial position or significant and unexpected increases in the cost of our development programs;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changes or uncertainties in, or additions to, the regulatory approval process that require us to alter our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strategy;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clinical trial results that are negative or inconclusive as to safety and/or efficacy, which would result in the need for additional clinical trials or the termination of the product's development;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delays in our ability to manufacture our product candidates in quantities, in a form and/or at a cost that is suitable for any required clinical trials;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intellectual property constraints that prevent us from making, using, or commercializing any of our product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supply or quality of our product candidates or other materials or equipment necessary to conduct clinical trials of these product candidates may be no longer available for purchase, insufficient or inadequate;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inability to generate sufficient non-clinical, toxicology, or other in vivo or in vitro data to support the initiation and/or continuation of clinical trials;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delays in reaching agreement on acceptable terms with prospective contract research organizations (“CROs”), contract manufacturing organizations (“CMOs”), and clinical trial sites, the terms of which can be subject to extensive negotiation and may vary significantly among different CROs, CMOs and clinical trial sites;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delays in obtaining required institutional review board approval at each clinical trial site;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inability to submit or obtain clearance for an IND or CTA with the applicable regulators for our development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imposition of a temporary or permanent clinical hold by the FDA or similar restrictions by other regulatory agencies for a number of reasons, including after review of an IND or protocol amendment, or equivalent application or amendment; as a result of a new safety finding that presents unreasonable risk to clinical trial participants; a negative finding from an inspection of our manufacturing sites, clinical trial operations (including those of any CRO involved) or clinical trial sites; developments on trials conducted by competitors or approved products post-market for related technology that raise FDA concerns about risk to patients of the technology broadly; or if the FDA finds that the investigational protocol or plan is clearly deficient to meet its stated objectives;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difficulty collaborating with patient groups, individual investigators and/or associated institutions;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failure by our CROs, CMOs, other third parties, or us to adhere to clinical trial requirements and international regulatory standards;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failure to perform in accordance with the FDA or international GCP requirements;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failure to reach agreement with the FDA on a satisfactory development path of our development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failure to resolve contradictory guidance issued by the FDA, EMA or other international regulatory bodies of relevance to our development program(s);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delays in having patients qualify for or complete participation in a trial or return for post-treatment follow-up;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patients dropping out of a clinical trial;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occurrence of adverse events associated with the product candidate;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changes in the standard of care on which a clinical development plan was based, which may require new or additional trials or abandoning existing trials;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transfer of manufacturing processes from one manufacturer and/or manufacturing site to another, operated by either a CMO or us, and delays or failure by our CMOs or us to qualify the transferred process and/or site;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delays in and/or the inability to complete manufacturing, testing, releasing, validating, or importing/exporting sufficient stable quantities of our product candidates for use in clinical trials or the inability to do any of the foregoing;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FDA may not accept clinical data from trials that are conducted in countries where the standard of care or the nature of the disease is potentially different from the United States or for other reasons.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inability to successfully complete non-clinical and clinical development could result in additional costs to us or impair our ability to generate revenue. In addition, if we make manufacturing or formulation changes to our product candidates, we may be required to, or we may elect to, conduct bridging studies to demonstrate the equivalence of our modified product candidates to earlier versions. Clinical trial delays could also shorten any periods during which our products have patent protection and may allow our competitors to bring products to market earlier than expected, which could impair our ability to successfully commercialize our product candidates and may harm our business and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Even if we are able to successfully complete our clinical development programs for our product candidates and receive regulatory approval to market one or more of the products, if the commercial opportunities are smaller than we anticipate, our future revenues will be adversely affected, and our business may suffer.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size of the commercial opportunities in any of our target indications is smaller than we anticipate, or if the FDA grants our candidates approval to treat only specific subpopulations or otherwise approves the products for more narrow indications of use than we are seeking, we may not be able to achieve profitability and growth.</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complete our clinical development program for our product candidates, and ultimately receive regulatory approval to market one or more of the products, we may, among other things: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obtain approval for indications that are not as broad as the indications we sought;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encounter problems with respect to the manufacturing and/or distribution of commercial supplies;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be subject to additional post-marketing testing requirements; and/or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be subject to restrictions on how the product is distributed or used.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experience delays in enrolling patients in our clinical trials, which would delay or prevent the receipt of necessary regulatory approvals.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initiate or complete as planned any clinical trials if we are unable to identify and enroll a sufficient number of eligible patients to participate in the clinical trials required by the FDA or other regulatory authorities.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Enrollment challenges in clinical trials often result in increased development costs for a product candidate, significant delays and potentially the abandonment of the clinical trial and/or product candidate. We also may be unable to engage a sufficient number of clinical trial sites to conduct our trials. Moreover, our ability to conduct trials outside of the United States may be constrained by our inability to transport research materials to or from foreign destinations or find another source of supply.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clinical trials for certepetide are focused on patients with specific solid tumors, our ability to enroll eligible patients may be limited or may result in slower enrollment than we anticipate. For example, we cannot be certain how many patients with the cancers that certepetide is designed to target will choose to enroll in our clinical trials and/or if that number will ultimately suffice for regulatory approval.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in general is affected by many factors, including:</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patient, physician and/or treating institution financial considerations;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size of the target patient population;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severity of the disease or disorder under investigation;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eligibility criteria for the clinical trial in question;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competing clinical trials involving patients diagnosed with the disease or disorder under investigation;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perceived risks and benefits of the product candidate under study;</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approval and availability of other therapies to treat the disease or disorder that is being investigated in the clinical trial;</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willingness or unwillingness to participate in a placebo controlled clinical trial;</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efforts to facilitate timely enrollment in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patient referral practices of physicians;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ability to monitor patients adequately during and after treatment;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proximity and availability of clinical trial sites for prospective patients.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Congress amended the FDCA in 2023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Although none of our investigational product candidates has reached Phase 3 of clinical development, we or our partners must submit a diversity action plan to the FDA by the time a Phase 3 trial, or pivotal study, protocol is submitted to the agency for review, unless we or our partners are able to obtain a waiver for some or all of the requirements for a diversity action plan. It is unknown at this time how the diversity action plan may affect the planning and timing of any future Phase 3 trial for our product candidates. However, initiation of such trials may be delayed if the FDA objects to a proposed diversity action plans for any future Phase 3 trial of our product candidates, and we or our partners may experience difficulties recruiting a diverse population of patients in attempting to fulfill the requirements of any approved diversity action plan.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enroll a sufficient number of patients in any of our planned clinical trials would result in significant delays or may require us to abandon one or more clinical trials altogether.</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not be able to file INDs or IND amendments to commence additional clinical trials on the timelines we expect, and even if we are able to, the regulators may not permit us to proceed.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submitted an IND for certepetide on April 14, 2021, and the IND was cleared by the FDA on May 14, 2021. Still, we may not be able to file INDs, or comparable foreign CTAs in other countries or jurisdictions, for our other product candidates on the timelines we expect. For example, we may experience manufacturing delays or other delays with IND-enabling studies. Moreover, we cannot be sure that acceptance of an initial IND will result in the FDA allowing further clinical trials to begin, or that, once begun, issues will not arise that lead to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authorizations for our trials may prevent us from completing our clinical trials or commercializing our products on a timely basis, if at all.</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Results from a clinical trial, once completed, may be less clear than expected, which may hinder our efforts to obtain regulatory approval for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trials by their nature evaluate the safety and effectiveness of an investigational product in a relatively small sample of the potential patient population. With a limited number of patients and limited duration of exposure, rare and severe side effects of our product candidates may only be uncovered with a significantly larger number of patients exposed to the drug candidate. If our product candidates receive marketing approval and we or others identify undesirable side effects caused by such product candidates (or any other similar drugs) after such approval, a number of potentially significant negative consequences could result, including those listed below:</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regulatory authorities may require the addition of labeling statements, such as a “boxed” warning or a contraindication;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may be required to change the way such product candidates are distributed or administered, conduct additional clinical trials or change the labeling of the product candidates;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FDA may require a Risk Evaluation and Mitigation Strategy (“REMS”) to mitigate risks, which could include medication guides, physician communication plans, or elements to assure safe use, such as restricted distribution methods, patient registries and other risk minimization tools;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may be subject to regulatory investigations and government enforcement actions;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may decide to remove affected product candidates from the marketplace;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we could be sued and held liable for injury caused to individuals exposed to or taking our product candidates;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our reputation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any of these events could prevent us from achieving or maintaining market acceptance of, affect our ability to successfully commercialize, and substantially increase the costs of commercializing, the affected products, if approved, and could significantly impact our ability to generate revenues.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and our partners are conducting clinical trials for product candidates outside the United States, and the FDA and comparable foreign regulatory authorities may not accept data from such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conducted clinical trials in Australia and Japan, and we may in the future choose to conduct one or more clinical trials outside the United States, including in Canada, Australia, Europe and/or Asia. The acceptance of study data from clinical trials conducted outside the United States or another jurisdiction by the FDA or comparable foreign regulatory authority, respectively, may be subject to certain conditions or may not be accepted at all. For example, in cases where data from foreign clinical trials are intended to support marketing approval in the United States, the FDA will generally not approve the application on the basis of foreign clinical trial data alone unless (i) the data are agreed by FDA to be applicable to the U.S. population and U.S. medical practice; (ii) the trials were performed by clinical investigators of recognized competence and pursuant to GCP requirements; and (iii) the data may be considered valid without the need for an on-site inspection or, if the FDA considers an inspection necessary, the agency is able to validate the data through an on-site inspection or other means. In addition, such foreign trials would be subject to the applicable local laws of the foreign jurisdictions where the trials are conducted. If the FDA or any comparable foreign regulatory authority does not accept such data, it would result in the need for additional trials, which could be costly and time-consuming, and which may result in product candidates that we develop not receiving approval for commercialization in the applicable jurisdiction.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manage multiple late-stage clinical trials for a variety of product candidates simultaneously.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our current clinical trials progress, we may need to manage multiple late-stage clinical trials simultaneously in order to continue developing all of our current product candidates. Typically, early-stage trials involve relatively small numbers of patients in relatively few clinical sites. Late-stage (e.g., Phase 3) trials may involve very large numbers of patients in a larger number of sites and may require facilities in several countries. Therefore, the project management required to supervise and control such an extensive program is substantially larger than for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submission of an NDA for any one of the above reasons or a combination of several. Additionally, any such failure may result in regulatory liability for the sponsor, negative publicity, and other adverse impacts on the business or its operations.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Any disruption to our access to the reagents, devices, materials or equipment we are using in the clinical development of our product candidates would adversely affect our ability to perform clinical trials and seek future regulatory submissions.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Reagents, devices, materials and systems that we are using in our clinical trials, that we intend to use in our planned clinical trials and that we may need or use in future commercial production, are provided by unaffiliated third parties. Any lack of continued availability of these reagents, devices, materials and systems for any reason would have a material adverse effect on our ability to complete these studies and could adversely impact our ability to achieve commercial manufacture of our planned therapeutic products. Although other available sources for these reagents, devices, materials and systems may exist in the marketplace, we have not evaluated their cost, effectiveness, or intellectual property foundation and therefore cannot guarantee the suitability or availability of such other potential sources.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initiation of pivotal Phase 3 clinical trials for our product candidates requires the validation and establishment of manufacturing controls that may delay product development timelines.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conduct pivotal Phase 3 clinical trials, we are required to have certain validated and established manufacturing controls with respect to the identity, strength, quality and purity of our product candidates when administered to patients. If we determine that the results of any Phase 2 clinical trial we may conduct support Phase 3 development, we expect to initiate and complete one or more pivotal Phase 3 clinical trials for such programs and would need to address any outstanding chemistry, manufacturing and controls (“CMC”) requirements of the FDA or other relevant regulatory authority prior to initiating such trials. We may not be successful in our efforts to address any CMC issues raised by the FDA or other relevant regulatory authority. If we cannot initiate, or if we are delayed in initiating, a pivotal Phase 3 clinical program as a result of our failure to satisfy regulatory CMC concerns, the timing of completing, developing and making a regulatory submission for commercialization of our product candidates would be delayed, or we may be unable to seek regulatory approval to commercialize our products at all.</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Product candidates that appear promising in research and development may be delayed or may fail to reach later stages of clinical development.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pharmaceutical product candidates is highly uncertain. Product candidates that appear promising in research and development and early clinical trials may be delayed or fail to reach later stages of development. Decisions regarding the further development of product candidates must be made with limited and incomplete data, which makes it difficult to ensure or even accurately predict whether the allocation of limited resources and the expenditure of additional capital on specific product candidates will result in desired outcomes. Non-clinical and clinical data can be interpreted in different ways, and negative or inconclusive results or adverse events during a clinical trial could delay, limit or prevent the development of a product candidate.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Exploratory trends and results observed in earlier stage clinical trials, particularly trends and results observed for small subsets that were not pre-specified, may not be replicated in later stage clinical trials. Product candidates in Phase 3 clinical trials may fail to demonstrate sufficient efficacy despite having progressed through initial clinical trials, even if certain exploratory subset analyses of primary or secondary endpoints in those early trials showed trends toward efficacy or, in some analyses, nominal statistical significance. The results of clinical trials in one set of patients or line of treatment may not be predictive of those obtained in another.</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If serious or unacceptable side effects are identified during the development of any of our product candidates, we may need to abandon or limit our development of that product candidate.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product candidates are in clinical development and their risk of failure is high. It is impossible to predict when or if any of our product candidates will prove effective and safe in humans or will receive marketing approval. If our product candidates are associated with undesirable side effects or have other unexpected, unacceptable characteristics, we may need to abandon their development or limit development to certain uses or subpopulations in which the undesirable side effects or other characteristics are less prevalent, less severe or more acceptable from a risk-benefit perspective. Many investigational products that initially showed promise in clinical or earlier stage testing have later been found to cause side effects or other safety issues that prevented further development. Even if we receive regulatory approval for a candidate with a known safety risk that is described in the product’s labeling, such an approved product may not achieve market acceptance by physicians, patients, third-party payors or others in the medical community, which would materially and adversely affect our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“breakthrough therapy” designation for certepetide and some or all of our current or future product candidates. 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priority review and accelerated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candidate no longer meets the conditions for qualification. Thus, even though we intend to seek Breakthrough Therapy designation for certepetide and some or all of our future product candidates, there can be no assurance that we will receive or maintain breakthrough therapy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 Fast Track designation by the FDA and other similar regulatory designations may not lead to a faster development, regulatory review or approval process.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drug is intended for the treatment of a serious or life-threatening condition and the drug demonstrates the potential to address unmet medical needs for this condition, the drug sponsor may apply for FDA Fast Track designation for a particular indication. We have been granted Fast Track designation for certepetide for the treatment of pancreatic cancer. We may seek Fast Track designation for other indications or for certain of our other current or future product candidates, but there is no assurance that the FDA will grant this status to any of our other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or at any time.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Accelerated or provisional approval by the FDA or other relevant regulatory authority, even if granted for certepetide or future product candidates, may not lead to a faster development or regulatory review or approval process and it does not increase the likelihood that our product candidates will receive marketing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seek approval of certepetide and may seek approval of other current or future product candidates using an accelerated or provisional approval pathway available in many regulatory jurisdictions. A product candidate may be eligible for accelerated or provisional approval if it treats a serious or life-threatening condition and generally provides a meaningful advantage over available therapies. As a condition of provisional approval, the regulatory authority may require the sponsor to perform adequate and well-controlled post-marketing clinical trials for the corresponding product/indication. Regulatory authorities may require that such studies be fully enrolled before the NDA is approved. These confirmatory trials must be completed with due diligence.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we may seek an early approval under the Australian Provisional Determination scheme. A product candidate may be eligible for a provisional determination in Australia if it is 1) intended to treat, prevent, or diagnose a life threatening or seriously debilitating condition, 2) for which there is preliminary clinical data demonstrating that the medicine is likely to provide a significant improvement in the efficacy or safety of treating the condition, 3) the preliminary clinical data suggests that the medicine is likely to provide a major therapeutic advance, and 4) sufficient evidence has been provided of a plan to submit comprehensive clinical data confirming the safety and efficacy of the medicine before the end of the 6 years provisional registration.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conduct required post-approval studies, or to confirm the predicted clinical benefit of the product during post-marketing studies, allows a regulatory authority to withdraw approval of the drug. In addition, in the United States, a company whose drug product is authorized for commercialization through the accelerated approval pathway must submit all promotional materials for products approved under the accelerated or provisional approval pathway to the FDA in advance of dissemination for potential agency comment, which could adversely impact the timing of the commercial launch of the product. Even if we do receive accelerated or provisional approval for one or more of our product candidates, we may not experience a faster development or regulatory review or approval process, and receiving accelerated or provisional approval does not provide assurance of ultimate full regulatory approval.</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Our clinical trials may fail to demonstrate adequately the safety and efficacy of our product candidates, which would prevent or delay regulatory approval and commercialization.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trials of our product candidates are, and the manufacturing and marketing of our products will be, subject to extensive and rigorous review and regulation by numerous governmental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Each product candidate must demonstrate an adequate risk versus benefit profile in its intended patient population and for its intended use. The risk/benefit profile required for product approval will vary depending on multiple factors and may include adequate duration of response, a delay in the progression of the disease, and/or an improvement in survival.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There are precedents for companies in the biopharmaceutical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 experiencing significant setbacks in advanced clinical trials due to lack of efficacy or unacceptable safety issues, notwithstanding promising results in earlier trials. Most product candidates that begin clinical trials are never approved by regulatory authorities for commercialization.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from earlier studies conducted by third-party research institutions should not be relied upon as evidence that later or larger-scale clinical trials will succeed. Some future trials may have different patient populations than current studies and will test our product candidates in different indications, among other differences. In addition, our proposed manufacturing processes for our product candidates include what we believe will be process improvements that are not part of the production processes that were previously used in the earlier conducted clinical trials being conducted by the research institutions. Accordingly, our results with our product candidates may not be consistent with the results of those clinical trials.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presently have redundant suppliers for any of our product candidates. If the facilities where our product candidates are being manufactured and/or the associated equipment were significantly damaged or destroyed, or if there were other disruptions, delays or difficulties affecting manufacturing capacity, our planned and future clinical trials and commercial production for these product candidates would likely be significantly disrupted and delayed. It would be both time-consuming and expensive to replace this capacity with third parties, particularly since any new facility would need to comply with regulatory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Ultimately, if we are unable to supply our product candidates to meet commercial demand, were commercial approval to be obtained, whether because of processing constraints or other disruptions, delays or difficulties that we experience, our production costs could increase dramatically, and sales of the product and its long-term commercial prospects could be significantly damaged.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as a result of the current geopolitical tensions and the conflict between Russia and Ukraine, the governments of the United States, the European Union, Japan and other jurisdictions have imposed sanctions on certain industry sectors and parties in Russia, as well as enhanced export controls on certain products and industries. These and any additional sanctions and export controls involving other countries, as well as any counter responses by the governments of Russia or other jurisdictions, could adversely affect, directly or indirectly, the global supply chain, with negative implications on the availability and prices of raw materials, energy prices, and our customers, as well as the global financial markets and financial services industry.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commercial potential and profitability of our product candidates are unknown and subject to significant risk and uncertainty.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successfully develop and obtain regulatory approval for some or all of our product candidates, the market may not understand or accept the products, which could adversely affect both the timing and level of future sales. Ultimately, the degree of market acceptance of our product candidates (or any of our future product candidates) will depend on a number of factors, including: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efficacy and potential advantages compared to alternative treatments or competitive products;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the prevalence and severity of any side effects;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approval and marketing of other therapeutics against which our product candidates will compete;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physician acceptance of our approach to our target disease indications, include the ease or difficulty of administering the future products;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restrictions on how the product is distributed or used;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strength of our marketing and distribution support, including whether we receive support from any patient advocacy groups;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the adequacy of product supply in light of complex manufacturing and distribution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cost of the product, the reimbursement policies of government and third-party payors and our ability to obtain sufficient third-party coverage or reimbursement.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achieving sales of our product candidates, it is not clear to what extent, if any, the products will be profitable. In addition, changes in manufacturing processes or procedures generally require FDA or foreign regulatory authority review and approval prior to implementation. Thus, we may need to conduct additional non-clinical studies and clinical trials to support approval of any such changes. Furthermore, this review process could be costly and time-consuming and could delay or prevent the commercialization of product candidates.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strategic alliances, additional licensing arrangements, acquisitions, business combinations or other strategic transactions in the future, any of which could require us to incur significant expenses or issue securities that could significantly dilute the shares of our existing stockholders, and we may not realize the benefits of such alliances or licensing arrangements, acquisitions, business combinations or strategic transactions.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enter into collaborations, strategic alliances, additional licensing arrangements, acquisitions, business combinations or other strategic transactions with third parties that we believe are essential to product commercialization or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could significantly dilute the shares of our existing stockholders or disrupt our management and business. In addition, we face significant competition in seeking appropriate strategic partners and/or acquisition candidates and the negotiation process can be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Furthermore, there can be no assurance that our exploration of potential acquisitions, business combinations or strategic alternatives will result in us entering or completing any transaction or that such transaction, if completed, will add to stockholder value.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collaborations involving our product candidates, such as our collaborations with third-party research institutions, are subject to numerous risks, which may include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collaborators have significant discretion in determining the efforts and resources that they will apply to a collaboration;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collaborators could independently develop, or develop with third parties, products that compete directly or indirectly with our products or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 collaborator with marketing and distribution rights to one or more products may not commit sufficient resources to their marketing and distribution;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collaborations may be terminated and, if terminated, may result in a need for additional capital to pursue further development or commercialization of the applicable product candidates; and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collaborators may own or co-own intellectual property and/or critical clinical data covering our products that results from our collaborating with them, and in such cases, we would not have the authority or exclusive right to utilize, publicly announce or commercialize such data or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we enter into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licensing, we will achieve the economic return that justifies such a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competitors develop and market products that are more effective, safer, or less expensive than our product candidates or offer other advantages, our commercial prospects will be limited.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programs now face, and will continue to face, intense competition from pharmaceutical, biopharmaceutical and biotechnology companies, as well as numerous academic and research institutions and governmental agencies engaged in drug discovery and development activities or funding, both in the United States and abroad. Some of these competitors are pursuing the development of drugs and other therapies that target the same diseases and conditions that we are targeting with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matter, we also face competition from many other companies that are researching and developing product candidates in similar indications. Many of these companies have financial and other resources substantially greater than ours. In addition, many of these competitors have significantly greater experience in testing pharmaceutical and other therapeutic products, obtaining FDA and other regulatory approvals, and marketing and selling approved products in highly regulated commercial health care markets. If we ultimately obtain regulatory approval for any of our product candidates, we will also be competing with respect to manufacturing efficiency and marketing capabilities, areas in which we have limited or no commercial-scale experience. Mergers and acquisitions in the pharmaceutical and biotechnology industries may result in resources being even more concentrated by our competitors. Competition may increase further as a result of advances made in the commercial applicability of our technologies and greater availability of capital for investment in these fields.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We conduct significant operations through our Australian wholly-owned subsidiary. If we lose our ability to operate in Australia, or if the subsidiary is unable to receive the research and development tax credit allowed by Australian regulations, our business and results of operations will suffer.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develop certain of our programs in part through our wholly-owned Australian subsidiary, Lisata Therapeutics Australia Pty Ltd. Due to the geographical distance as well as our limited experience operating in Australia, we may not be able to efficiently or successfully monitor, develop or commercialize our products or programs in Australia, including conducting clinical trials. Furthermore, we have no assurance that the results of any clinical trials conducted for our product candidates in Australia will be accepted by the FDA or foreign regulatory authorities for development and commercialization approvals. In addition, current Australian tax regulations provide for a refundable tax incentive between 43.5% to 48.5% (depending upon the income tax rate) for qualified research and development activities. If we are ineligible or unable to receive the research and development tax credit, or past credits are determined ineligible upon audit, or if we lose our ability to operate Lisata Therapeutics Australia Pty Ltd. in Australia, or the Australian government significantly reduces or eliminates the tax credit, our business and results of operation would be adversely affected. In the event we determine it advisable to stop operating through this subsidiary, we may be required to migrate such operations from this subsidiary to us. Any such action may be difficult and cause us to incur additional expenses, as well as give rise to tax liabilities for us or erode our tax attributes (such as tax credits or net operating losses).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subject to significant product liability claims and litigation, including potential exposure from the use of our product candidates in human subjects, and our insurance may be inadequate to cover claims that may arise.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exposes us to potential product liability risks inherent in the testing, processing and marketing of our products. Such liability claims may be expensive to defend and result in large judgments against us. We face an inherent risk of product liability exposure related to the testing of our current and any future product candidates in human clinical trials and will face an even greater risk with respect to any commercial sales of our products should they be approved. All our product candidates are in the clinical phase of development and therefore, relevant safety data are limited.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need to increase our insurance coverage whenever we begin commercializing product candidates. At that time, we may not be able to obtain or maintain product liability insurance on acceptable terms with adequate coverage or at all, or if claims against us substantially exceed our coverage, then our financial position could be significantly impaired.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Whether or not we are ultimately successful in any product liability litigation that may arise, such litigation could consume substantial amounts of our financial and managerial resources, decrease demand for our products and injure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maintain errors and omissions, directors and officers, workers compensation and other insurance at levels we believe to be appropriate to our business activities. If, however, we were subject to a claim in excess of this coverage or to a claim not covered by our insurance and the claim succeeded, we would be required to pay the claim from our own limited resources, which would have a material adverse effect on our financial condition, results of operations and business. Additionally, liability or alleged liability could harm our business by diverting the attention and resources of our management and damaging our reputation.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retain key officers or employees or hire new key officers or employees needed to implement our business strategy and develop our products and businesses.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the skills and efforts of current senior management for their management and operation skills, as well as for the implementation of our business strategy. In addition, our future success depends upon our ability to attract and retain additional qualified personnel (including medical, scientific, technical, commercial, business and administrative personnel) necessary to support our anticipated growth, develop our business, perform our contractual obligations to third parties and maintain appropriate licensure and compliance to applicable laws and regulations. There can be no assurance that we will be successful in attracting or retaining personnel required by us to continue to grow our operations. The loss of a key employee, the failure of a key employee to perform in his or her current position or our inability to attract and/or retain skilled employees, as needed, could result in our inability to continue to grow our business or to implement our business strategy, or may have a material adverse effect on our business, financial condition and operating results.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Our internal computer systems, or those used by our clinical investigators, clinical research organizations or other contractors or consultants, may fail or suffer security breaches, which could result in a material disruption of development programs for our product candidates.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to keep financial records, maintain laboratory and corporate records, communicate with staff and external parties and operate other critical functions. Any significant insufficiency, degradation or failure of these computer systems could cause us to lose our ability to operate effectively, accurately and/or efficiently. Despite the implementation of security measures, these internal computer systems and those used by our clinical investigators, clinical research organizations, and other contractors and consultants are vulnerable to damage from computer viruses, malware, unauthorized access, natural disasters, terrorism, war, and telecommunication and electrical failures. The techniques that could be used by criminal elements or foreign governments to attack these computer systems are sophisticated, change frequently and may originate from less regulated and remote areas of the world. Furthermore, there is an increased risk of cybersecurity attacks by state actors. Russian, Chinese, Iranian, North Korean and other ransomware gangs have threatened or enacted increased hacking activity against critical infrastructure of many nations or organizations. Any such increase in such attacks on us and/or our third-party providers or other systems could adversely affect our network systems or other operations. While we have not experienced any such system failure, theft of information, accident or security breach to date, if such an event were to occur and cause interruptions in its operations, it could result in a material disruption of our clinical development activities and/or business operations. For example, the loss of clinical trial data from historical or future clinical trials could result in delays in regulatory approval efforts and significantly increase costs to recover or reproduce the data. To the extent that any disruption, theft of information, or security breach were to result in a loss of or damage to data or applications, or inappropriate disclosure of confidential or proprietary information, we could incur liability and the clinical development, and the future development of our product candidates could be delayed.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increasing use of social media platforms presents new risks and challenges.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information about clinical-stage product candidates and the diseases that our therapies are designed to treat. Social media practices in the pharmaceutical industry continue to evolve and regulations related to such use are not always clear. This evolution creates uncertainty and risk of noncompliance with regulations applicable to our business. For example, patients and others may use social media channels to comment on the effectiveness of a product candidate or to report an alleged adverse event. When such disclosures occur, we may fail to monitor and comply with applicable adverse event reporting obligations, or we may not be able to defend against political and market pressures generated by social media due to restrictions on what we may say about our product candidates. There is also a risk of inappropriate disclosure of sensitive information or negative or inaccurate comments about us on any social networking website. If any of these events were to occur or we otherwise fail to comply with applicable regulations, we could incur liability, face overly restrictive regulatory actions or incur other harm to our business.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RISKS RELATED TO MANUFACTURING OUR DEVELOPMENT PRODUCT CANDIDATES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Contract development and manufacturing organizations have a finite manufacturing capacity, which could inhibit the long-term growth prospects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manufacturing contracts to produce materials for our clinical trials. It is possible that future demand for our products could exceed existing manufacturing capacity. We expect that, as our own development programs progress and demand for therapeutics in the industry expands, it may become necessary or desirable for us to expand our manufacturing vendors for services and products in the future, which may require us to invest significant amounts of capital and to obtain regulatory approvals. If manufacturers are unable to meet our rising demand for products and services on a timely basis or unable to maintain cGMP compliance standards, then it is likely that the progress of our own programs will be impaired which could materially and adversely affect the overall success of our development programs.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Components of therapeutic products approved for commercial sale or used in clinical trials must be manufactured in accordance with cGMPs. In addition, manufacturers of therapeutic products may be required to modify their manufacturing processes from time to time in response to regulatory requests.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will need to improve manufacturing efficiency at our contract manufacturers in order to establish cost of goods levels that will permit approved products to succeed commercially.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CMOs cannot provide assurances that they will be able to develop process enhancements that are acceptable to regulators or other comparable regulatory authorities, on a timely basis, on commercially reasonable terms, or at all, or that any expected improvement in profitability will be realized. If they are unsuccessful in their efforts to develop necessary improvements, we may be unable to develop commercially viable products, which would impair our ability to continue our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will rely on third parties to manufacture our clinical product supplies, and we may rely on third parties to produce and process our products, if approved.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internal capacity to manufacture our development product candidates and have no assurance that we will continue to have access to manufacturers in our industry that can effectively make our development products or make them at an affordable, salable or otherwise commercially reasonable price or quantity.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own any facility that may be used as a clinical scale manufacturing facility and expect to rely on outside vendors to manufacture supplies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contract manufacturers to manufacture our products or future products must be approved by the FDA or other foreign regulatory authorities following inspections that will be conducted after we submit an application to the FDA or other foreign regulatory authorities. We may not control the manufacturing process of, and may be completely dependent on, our contract manufacturing partners for compliance with cGMPs and any other regulatory requirements of the FDA or other regulatory authorities for the manufacture of our product candidates. Beyond periodic audits and contractual arrangements,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products or if it withdraws any approval in the future, we may need to find alternative manufacturing facilities, which would require the incurrence of significant additional costs and significantly impact our ability to develop, obtain regulatory approval for or market our product candidates, if approved. Similarly, if any third-party manufacturers on which we will rely fail to manufacture quantities of our product candidates or products at quality levels necessary to meet regulatory requirements and at a scale sufficient to meet anticipated demand at a cost that allows us to achieve profitability, our business, financial condition and prospects could be materially and adversely affected.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SALES, MARKETING, AND COMPETITION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no sales, marketing or distribution capabilities and have no experience in marketing products. We intend to develop an in-house marketing organization and sales force in the future, which will require significant capital expenditure, management resources and time. We will have to compete with other pharmaceutical and biotechnology companies to recruit, hire, train and retain marketing and sales personnel.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with the sales and marketing efforts of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develop in-house sales and distribution capabilities or establish or maintain relationships with third-party collaborators to commercialize any product in the United States or overseas.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our product candidates internationally could materially adversely affect our business.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partners plan to seek regulatory approval of one or more of our product candidates outside of the United States and, accordingly, we expect that we will be subject to additional risks related to operating in foreign countries if we obtain the necessary approvals, including but not limited to:</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differing regulatory requirements in foreign countries;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unexpected changes in tariffs, trade barriers, price and exchange controls and other regulatory requirements;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difficulties staffing and managing foreign operations;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United States;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potential liability under the Foreign Corrupt Practices Act of 1977 or comparable foreign regulations;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risks associated with international operations may materially adversely affect our ability to attain or maintain profitable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Even if we obtain regulatory approval of our product candidates, our products may not gain market acceptance among physicians, patients, hospitals, cancer treatment centers and others in the medical community.</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Various factors will influence whether our product candidates are accepted in the market, including: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clinical indications for which our product candidates are approved;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physicians, hospitals, cancer treatment centers and patients considering our product candidates as a safe and effective treatment;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potential and perceived advantages and risks of our product candidates over alternative treatments;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demonstrate the advantages of our product candidates over other cancer medicines;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timing of market introduction of our product candidates as well as competitive products;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availability of adequate coverage, reimbursement and pricing by third-party payors and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willingness of patients to pay out-of-pocket in the absence of coverage by third-party payors and governmental authorities;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relative convenience and ease of administration, including as compared to alternative treatments and competitive therapies;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effectiveness of our sales and marketing efforts.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approved but fail to achieve market acceptance among physicians, patients, hospitals, cancer treatment centers or others in the medical community, we will not be able to generate significant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our product candidates differ in certain ways from other approaches, serious adverse events or deaths in other clinical trials involving precision medicines, even if not ultimately attributable to our products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products achieve market acceptance, it may not be able to maintain that market acceptance over time if new products or technologies are introduced that are more favorably received than our products, are more cost effective or render our products obsolete.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we do.</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potential competition from many different sources, including major pharmaceuticals, specialty pharmaceuticals and biotechnology companies, academic institutions and government agencies, and public and private research institutes that conduct research, development, manufacturing and commercialization. Many of our competitors have significantly greater financial resources and expertise in research and development, manufacturing, preclinical testing, regulatory approvals and product marketing than we do. Our competitors may compete with us in recruiting and retaining qualified scientific and management personnel and establishing clinical trial sites and patient registration for clinical trials, as well as in acquiring technologies complementary to, or necessary for, our programs. As a result, our competitors may discover, develop, license or commercialize products before or more successfully than we do.</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Product candidates that we successfully develop and commercialize may compete with existing therapies and new therapies that may become available in the future.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drug candidates are approved for the indications for which we are currently planning clinical trials, they will likely compete with existing drugs and other drugs that are currently in development.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 products, which could result in our competitors establishing a strong market position before we are able to enter the market.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GOVERNMENT REGULATION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 candidates are subject to extensive regulation by the FDA and other regulatory agencies in the United States and abroad, respectively, and the failure to receive regulatory approvals for our product candidates would likely have a material and adverse effect on our business and prospects.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Governmental authorities in the United States, at the federal, state and local level, and in other countries, extensively regulate, among other things, the research, development, testing, manufacture, including any manufacturing changes, packaging, storage, recordkeeping, labeling, advertising and promotion, distribution, marketing, import and export of pharmaceutical products, such as certepetide. The process of obtaining required regulatory approvals and the subsequent compliance with appropriate statutes and regulations requires the expenditure of substantial time and money, and there is no guarantee that we will successfully complete the steps needed to obtain regulatory approval of certepetide</w:t>
      </w:r>
      <w:r>
        <w:rPr>
          <w:color w:val="000000"/>
        </w:rPr>
        <w:t xml:space="preserve"> </w:t>
      </w:r>
      <w:r>
        <w:rPr>
          <w:rFonts w:ascii="Times New Roman;sans-serif" w:hAnsi="Times New Roman;sans-serif"/>
          <w:b w:val="false"/>
          <w:color w:val="000000"/>
          <w:sz w:val="20"/>
        </w:rPr>
        <w:t>or any future product candidates. There also are extensive and ongoing post-marketing compliance obligations to which we would be subject following FDA approval of any of our product candidates. In addition, these federal regulations may change, and our product candidates may be subject to new laws or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neither applied for nor received regulatory approval to market any of our product candidates in any jurisdiction. If we seek approval of any of our product candidates, we will be required to submit to FDA and relevant other regulatory authorities, extensive non-clinical and clinical data supporting the safety and efficacy of such product candidates, as well as information about the manufacturing process and to undergo inspection of manufacturing facilities, among other things. The process of obtaining FDA and other regulatory approvals is expensive, typically takes many years and is subject to numerous risks and uncertainties. Changes in regulatory approval policies during the clinical research and development period, changes in or the enactment of additional statutes or regulations, or changes in regulatory review for each submitted product application, may cause delays in the approval or rejection of an application or may make it easier for our competitors to gain regulatory approval to enter the marketplace. Ultimately, the FDA and other regulatory agencies have substantial discretion in the approval/licensure process and may refuse to accept any application or may decide that our product candidate data are insufficient for approval without the submission of additional non-clinical, clinical or other time-consuming studies. In addition, varying agency interpretations of the data obtained from non-clinical and clinical testing could delay, limit or prevent regulatory approval of a product candidate. Any regulatory approval we ultimately obtain may be limited or subject to restrictions or post-approval commitments that render the approved product not commercially viable.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following factors, among others, could cause regulatory approval for our product candidates to be delayed, limited or denied: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product candidates require further clinical testing to demonstrate safety and effectiveness before applications for marketing approval can be submitted to the FDA and other regulatory authorities;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data obtained from animal testing and other non-clinical testing and clinical trials can be interpreted in different ways, and regulatory authorities may not agree with our respective interpretations or may require us to conduct additional testing;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negative or inconclusive results or the occurrence of serious or unexpected adverse events during a clinical trial could cause us to delay and/or terminate development efforts for a product candidate; and/or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FDA and other regulatory authorities may require expansion of the size and scope of the clinical trials.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difficulties or failures that we encounter in securing regulatory approval for our product candidates would likely have a substantial adverse impact on our ability to generate product sales and could make any search for a collaborative partner more difficult.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will require surveillance to monitor the safety and efficacy of the product. The FDA may also require a REMS in order to approve a product candidate,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applicable cGMP, GLP and GCP requirements.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manufacturing delays and supply disruptions where regulatory inspections identify observations of noncompliance requiring remediation;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revisions to the labeling, including limitation on approved uses or the addition of warnings, contraindications or other safety information, including boxed warnings;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imposition of a REMS, which may include distribution or use restrictions;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requirements to conduct additional post-market clinical trials to assess the safety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fines, warning letters or holds on clinical trials or product distribution and sale;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refusal by the FDA or other regulatory authorities to approve pending applications or supplements to approved applications filed by us or suspension or revocation of approvals;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The FDA and other regulatory agencies actively enforce the laws and regulations prohibiting the promotion of off-label uses.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In particular, while the FDA permits the dissemination of truthful and non-misleading information about an approved product, a manufacturer may not promote a product for uses that are not approved by the FDA or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DOJ and FDA have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unsuccessful in our efforts to comply with applicable federal, state and international laws and regulations, which could result in government enforcement actions or impact our ability to secure regulatory approval of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seek to conduct our business in compliance with applicable laws and regulations, these laws and regulations are exceedingly complex and often subject to varying interpretations. The biopharmaceutical industry is a topic of significant government interest, and thus the laws and regulations applicable to our business are subject to frequent change and/or reinterpretation. As such, there can be no assurance that we will be able, or will have the resources, to maintain compliance with all applicable biopharmaceutical and health care laws and regulations. Failure to comply with such biopharmaceutical and health care laws and regulations could result in significant enforcement actions, civil or criminal penalties, which along with the costs associated with such compliance or with enforcement of such biopharmaceutical and health care laws and regulations, may have a material adverse effect on our operations or may require restructuring of our operations or impair our ability to operate profitably.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cGMP regulations govern the manufacture, processing, packaging and holding of biopharmaceutical products. Any third-party manufacturers that prepare our products must comply with cGMP requirements including quality control, quality assurance and the maintenance of relevant records and documentation. They may be unable to comply with these cGMP requirements and with other national regulators and state and local regulatory requirements. These requirements may change over time and we or third-party manufacturers may be unable to comply with the revised requirements.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subject to numerous and varying privacy and security laws, and our failure to comply could result in penalties and reputational damage.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United States, we may be subject to state security breach notification laws, state health information privacy laws and federal and state consumer protections laws which impose requirements for the collection, use, disclosure, and transmission of personal information. If we fail to comply with applicable laws and regulations, we could be subject to penalties or sanctions, including criminal penalties if we knowingly obtain individually identifiable health information from a covered entity in a manner that is not authorized or permitted by HIPAA or for aiding and abetting the violation of HIPAA. In addition, as various states, such as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Virginia, Colorado, Connecticut, and Utah implement their own privacy laws and regulations, the interplay of federal and state laws may be subject to varying interpretations by courts and government agencies, which may create complex compliance issues for us and potentially expose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Numerous other countries have, or are developing, laws governing the collection, use and transmission of personal information as well. EU member states and other jurisdictions have adopted data protection laws and regulations, which impose significant compliance obligations. In May 2016, the European Union formally adopted the General Data Protection Regulation (“GDPR”), which applies to all EU member states from May 25, 2018, and replaced the EU Data Protection Directive. The regulation introduced stringent new data protection requirements in the European Union and substantial fines for breaches of the data protection rules. It has increased our responsibility and liability in relation to personal data that we process, and we may be required to put in place additional mechanisms ensuring compliance with the new EU data protection rules. The GDPR is a complex law and the regulatory guidance is still evolving, including with respect to how the GDPR should be applied in the context of clinical studies.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illegal activity by our employees, independent contractors, consultants, commercial partners and vendors. Misconduct by these parties could include intentional, reckless and/or negligent conduct that fails to: a) comply with the regulations of the FDA and foreign regulatory authorities, provide true, complete and accurate information to the FDA and foreign regulatory authorities, b) comply with manufacturing standards we have established, c) comply with health care fraud and abuse laws in the United States and similar foreign fraudulent misconduct laws, or d) report financial information or data accurately or to disclose unauthorized activities to us. If we obtain FDA approval of any of our product candidates and begin commercializing those products,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laws that may affect our ability to operate include, but are not limited to:</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 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 care programs. In addition, the government may assert that a claim including items or services resulting from a violation of the federal Anti-Kickback Statute constitutes a false or fraudulent claim for purposes of the Federal False Claims Act. There are a number of statutory exceptions and regulatory safe harbors protecting some common activities from prosecution;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federal civil and criminal false claims laws and civil monetary penalty laws, including the Federal False Claims Act (the “FCA”), which impose criminal and civil penalties, including through civil “qui tam” or “whistleblower” actions,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of the FCA and to share in any monetary recovery. When an entity is determined to have violated the Federal False Claims Act, the government may impose civil fines and penalties for each false claim, plus treble damages, and exclude the entity from participation in Medicare, Medicaid and other federal health care programs;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statements in connection with the delivery of, or payment for, health care benefits, items or services relating to health care matters. Similar to the federal Anti-Kickback Statute, a person or entity can be found guilty of violating HIPAA without actual knowledge of the statute or specific intent to violate it;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HIPAA, as amended by the Health Information Technology for Economic and Clinical Health Act of 2009, or HITECH,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chiropractors and certain non-physician advanced practice practitioners) and teaching hospitals, as well as ownership and investment interests held by physicians and their immediate family members;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federal consumer protection and unfair competition laws, which broadly regulate marketplace activities and activities that potentially harm consumers;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 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 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 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it from governmental investigations or other actions or lawsuits stemming from a failure to be in compliance with such laws or regulations.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to ensure that our business arrangements with third parties will comply with applicable health 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or those of our partners or critical contractors,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 care programs, such as Medicare and Medicaid, additional reporting requirements and oversight if it becomes subject to a corporate integrity agreement or similar agreement to resolve allegations of noncompliance with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laws, contractual damages, reputational harm, diminished profits and future earnings, and it may be required to curtail or restructure our operations, any of which could adversely affect our ability to operate our business and our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 care company may run afoul of one or more of the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agreements with physicians often must be the subject of prior notification and approval by the physician’s employer, his or her competent professional organization.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requirements could result in reputational risk, public reprimands, administrative penalties, fines or imprisonment.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it will be successful in obtaining regulatory approval of our product candidates in other jurisdictions.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regulatory approval of our product candidates in one jurisdiction does not guarantee that it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independently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Health care companies have been the subject of federal and state investigations, and we could become subject to such investigations in the future.</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Both federal and state government agencies have heightened civil and criminal enforcement efforts. There are numerous ongoing investigations of health care companies, including drug, biologic and medical device companies, as well as their executives and managers. In addition, amendments to the Federal False Claims Act, including under health care reform, have made it easier for private parties to bring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(whistleblower) lawsuits against companies under which the whistleblower may be entitled to receive a percentage of any money paid to the government. The Federal False Claims Act provides, in part, that an action can be brought against any person or entity that has knowingly presented, or caused to be presented, a false or fraudulent request for payment from the federal government, or who has made a false statement or used a false record to get a claim approved. The government has taken the position that claims presented in violation of the federal anti-kickback law or other health care-related laws, including laws enforced by the FDA, may be considered a violation of the Federal False Claims Act. Penalties include substantial fines for each false claim, plus three times the amount of damages that the federal government sustained because of the act of that person or entity and/or exclusion from the Medicare program. In addition, a majority of states have adopted similar state whistleblower and false claims provisions.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any government investigations involving any of our facilities or management. While we believe that we are in material compliance with applicable governmental health care laws and regulations, any future investigations of our business or executives could cause us to incur substantial costs, and result in significant liabilities or penalties, as well as damage to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 is uncertain to what extent government, private health insurers, and third-party payors will approve coverage or provide reimbursement for the therapies and products to which our research and development relate. Availability for such reimbursement may be further limited by an increasing uninsured population and reductions in Medicare and Medicaid funding in the United States.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health care providers cannot obtain coverage or reimbursement for our therapies and products, they may elect not to provide such therapies and products to their patients and, thus, may not need our services. Further, as cost containment pressures are increasing in the health care industry, government and private payors may adopt strategies designed to limit the amount of reimbursement paid to health care providers.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Similarly, the trend toward managed health care and bundled pricing for health care services in the United States, could significantly influence the purchase of health care services and products, resulting in lower prices and reduced demand for our therapeutic products under development.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receive a portion of our revenues from services rendered to patients enrolled in federal health care programs, such as Medicare, and we may also directly or indirectly receive revenues from federal health care programs. Federal health care programs are subject to changes in coverage and reimbursement rules and procedures, including retroactive rate adjustments. These contingencies could materially decrease the range of services covered by such programs or the reimbursement rates paid directly or indirectly for our products and services. To the extent that any health care reform favors the reimbursement of other therapies over our therapeutic products under development, such reform could affect our ability to sell any products for which we are able to obtain regulatory approval, which may have a material adverse effect on our revenues.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 on reimbursement available from private and government payors may reduce the demand for, or the price of, our services, which could have a material adverse effect on our revenues. Additional legislation or regulation relating to the health care industry or third-party coverage and reimbursement may be enacted in the future which could adversely affect the revenues generated from the sale of our products and services.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overall funding for Medicare and Medicaid remains unpredictable and at the discretion of the U.S. government. Also, there remain a large number of people who do not have any form of health care coverage and who are not eligible for or enrolled in Medicare, Medicaid or other governmental programs. The extent to which any future health care reform may be successful in reducing the number of such uninsured is unclear, and the reduced funding of governmental programs and increase in uninsured populations could have a negative impact on the demand for our products and services that may be reimbursed by government and private payors.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the U.S. Department of Health and Human Services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prices for drugs may be reduced by mandatory discounts or rebates required by government health 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are eventually able to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standard-of-care drugs, including lower-priced generic versions of standard-of-care drugs.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and/or our collaborators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or our collaborators receive approval. Our inability to promptly obtain coverage and adequate reimbursement from both third-party payors for the companion diagnostic tests that we develop and for which we or our collaborators obtain regulatory approval could have a material and adverse effect on our business, financial condition, results of operations and prospects.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Legislation and legislative and regulatory proposals intended to contain health care costs may adversely affect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containment of health care costs has become a priority of federal and state governments and the prices of drug products have been a focus of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United States will continue to consider legislation directed at lowering the total cost of health care and prescription drugs. Individual U.S.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PBMs and other members of the health care and pharmaceutical supply chain, an important decision that has led to more aggressive efforts by states in this area. During the current congressional session, numerous PBM reforms are being considered in both the Senate and the House of Representatives; they include diverse legislative proposals such as eliminating rebates; divorcing service fees from the price of a drug, discount, or rebate; prohibiting spread pricing; limiting administrative fees; requiring PBMs to report formulary placement rationale; promoting transparency.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medical product developers like us.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the law the IRA. Among other things, the IRA has multiple provisions that may impact the prices of drug products that are both sold into the Medicare program and throughout the U.S. For example, under the IRA, a manufacturer of drugs or biological products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will negotiate drug prices annually for a select number of single source Part D drugs without generic or biosimilar competition, and starting for payment year 2028, CMS will begin negotiating drug prices for a select number of Part B drugs. If a drug product is selected by CMS for negotiation, it is expected that the revenue generated from such drug will decrease. CMS has begun to implement these new authorities and entered into the first set of agreements with drug and biologic product manufacturers for negotiated prices of 10 products, which will become applicable for payment year 2026. Ultimately, the IRA’s impact on the biopharmaceutical industry in the United States remains uncertain, in part because of multiple ongoing lawsuits against CMS brought by large pharmaceutical companies and other stakeholders (e.g., the U.S. Chamber of Commerce).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uncertain whether and how future legislation or regulatory changes could affect prospects for our product candidates or what actions third-party payors may take in response to any such health care reform proposals or legislation. Adoption of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controls and cost-containment measures, and adoption of more restrictive policies in jurisdictions with existing controls and measures reforms, may prevent or limit our ability, or the ability of a commercial collaborator, to commercialize any of our future products that receive marketing approval as well as our ability to generate revenue and attain profitability.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Governments outside the United States tend to impose strict price controls, which may adversely affect our revenues, if any.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countries, particularly the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from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where we may seek to market our product candidates in the future,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Most recently, the U.S. government nearly shutdown at the end of December 2024 due to disagreements in Congress over a continuing resolution package to fund federal government operations.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A variety of risks associated with operating our business internationally could materially adversely affect our business.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seek regulatory approval of our product candidates outside of the United States and, accordingly, we expect that we, and any potential collaborators in those jurisdictions, will be subject to additional risks related to operating in foreign countries, including: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differing regulatory requirements in foreign countries;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differing coverage and reimbursement requirements in foreign countries;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unexpected changes in tariffs, trade barriers, price and exchange controls, and other regulatory requirements;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economic weakness, including inflation, or political instability in particular foreign economies and markets;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compliance with tax, employment, immigration, and labor laws for employees living or traveling abroad;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foreign taxes, including withholding of payroll taxes;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difficulties staffing and managing foreign operations;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workforce uncertainty in countries where labor unrest is more common than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potential liability under the Foreign Corrupt Practices Act of 1977 or comparable foreign laws, such as the U.K. Anti-Bribery Act;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continued threat of terrorism and the impact of military and other action, including military actions involving Russia and Ukraine, and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production shortages resulting from any events affecting raw material supply or manufacturing capabilities abroad, including as a result of pandemics or the military actions involving Russia and Ukraine and the ongoing conflict in Israel and Gaza; and </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 xml:space="preserve">business interruptions resulting from geo-political actions, including war and terrorism. </w:t>
      </w:r>
    </w:p>
    <w:p>
      <w:pPr>
        <w:pStyle w:val="TextBody"/>
        <w:bidi w:val="0"/>
        <w:spacing w:lineRule="auto" w:line="288" w:before="0" w:after="160"/>
        <w:ind w:left="0" w:right="0" w:hanging="360"/>
        <w:jc w:val="both"/>
        <w:rPr>
          <w:color w:val="000000"/>
        </w:rPr>
      </w:pPr>
      <w:r>
        <w:rPr>
          <w:color w:val="000000"/>
        </w:rPr>
        <w:t>    </w:t>
      </w:r>
      <w:r>
        <w:rPr>
          <w:rFonts w:ascii="Times New Roman;sans-serif" w:hAnsi="Times New Roman;sans-serif"/>
          <w:b w:val="false"/>
          <w:color w:val="000000"/>
          <w:sz w:val="20"/>
        </w:rPr>
        <w:t xml:space="preserve">These and other risks associated with our planned international operations may materially adversely affect our ability to attain or maintain profitable operations. </w:t>
      </w:r>
    </w:p>
    <w:p>
      <w:pPr>
        <w:pStyle w:val="TextBody"/>
        <w:bidi w:val="0"/>
        <w:spacing w:lineRule="auto" w:line="288" w:before="0" w:after="160"/>
        <w:jc w:val="both"/>
        <w:rPr/>
      </w:pPr>
      <w:r>
        <w:rPr>
          <w:rFonts w:ascii="Times New Roman;sans-serif" w:hAnsi="Times New Roman;sans-serif"/>
          <w:b/>
          <w:color w:val="000000"/>
          <w:sz w:val="20"/>
        </w:rPr>
        <w:t>RISKS RELATED TO OUR INTELLECTUAL PROPERTY</w:t>
      </w:r>
      <w:r>
        <w:rPr>
          <w:color w:val="FF0000"/>
        </w:rPr>
        <w:t xml:space="preserve">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obtain or maintain patent protection for our products and product candidates, which could have a material adverse effect on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will depend, in part, on obtaining and maintaining patent protection for new technologies, product candidates, products and processes and successfully defending such patents against third-party challenges. To that end, we have filed patent applications and maintain issued patents intended to cover certain methods, uses and compositions relating to our products and product candidates. These patent applications may never result in the issuance of patents.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positions in the pharmaceutical industry can be highly uncertain and involve complex legal, scientific and factual questions and recent court decisions have introduced significant uncertainty regarding the strength of patents in the industry. Moreover, the legal systems of some foreign countries do not favor the aggressive enforcement of patents and may not protect our intellectual property rights to the same extent as the laws of the United States. Any of the issued patents we own or license may be challenged by third parties and held to be invalid, unenforceable or with a narrower or different scope of coverage than what we currently believe, effectively reducing or eliminating protection we believed we had against competitors with similar products or technologies. If we ultimately engage in and lose any such patent disputes, we could be subject to competition and/or significant liabilities, we could be required to enter into third-party licenses or we could be required to cease using the disputed technology or product. In addition, even if such licenses are available, the terms of any license requested by a third party could be unacceptable or unaffordable to us.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and approval timelines in the biotechnology industry are very lengthy. As such, it is possible that any patents that may cover an approved product may have expired at the time of commercialization or only have a short remaining period of exclusivity, thereby reducing the commercial advantages of the patent. In such case, we would then rely solely on other forms of exclusivity, such as regulatory exclusivity provided by the FD&amp;C Act, which may provide less protection to our competitive position.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relating to intellectual property is expensive, time-consuming and uncertain, and we may be unsuccessful in our efforts to protect against infringement by third parties or defend ourselves against claims of infringement.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intellectual property, we may initiate litigation or other proceedings. In general, intellectual property litigation is costly, time-consuming, diverts the attention of management and technical personnel and could result in substantial uncertainty regarding our future viability, even if we ultimately prevail. Some of our competitors may be able to sustain the costs of such litigation or other proceedings more effectively than can we because of their substantially greater financial resources. The loss or narrowing of our intellectual property protection, the inability to secure or enforce our intellectual property rights or a finding that we have infringed the intellectual property rights of a third party could limit our ability to develop or market our products and services in the future or adversely affect our revenues. Furthermore, any public announcements related to such litigation or regulatory proceedings could adversely affect the price of our common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allege that the research, development and commercialization activities we conduct infringe patents or other proprietary rights owned by such parties. While we do not believe any of our current activities infringe the rights of others, we have not conducted an exhaustive search or analysis of third-party patent rights to determine whether our pre-clinical or clinical research and development or activities may infringe or be alleged to infringe any third-party patent rights. If we are found to have infringed the patents of a third party, we may be required to pay substantial damages; we also may be required to seek from such party a license, which may not be available on acceptable terms, if at all, to continue our activities. A judicial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finding or infringement or the failure to obtain necessary licenses could prevent us from commercializing our products, which would have a material adverse effect on our business, operating results and financial condition.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licenses, patents or other intellectual property we could lose important protections that are material to continuing our operations and our future prospects.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and maintain patent protection and licensing rights under certain of our license agreement, we must, among other things, ensure the timely payment of all applicable filing and maintenance fees. Any failure to do so could result in the loss of some or all of our rights to proprietary technology or the inability to secure or enforce intellectual property protection.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license agreements require us to meet certain diligence obligations in the development of the licensed products. Our failure to meet these diligence obligations could result in the loss of some or all of our rights, which could materially and adversely affect our business and future prospects.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2015, Cend entered into an Exclusive License Agreement (the “SBP License Agreement”) with the Sanford Burnham Prebys Medical Discovery Institute (“SBP”), a California not-for-profit, public benefit corporation based in San Diego, California. Pursuant to the SBP License Agreement, which we assumed in connection with the Merger, SBP licensed to Cend the exclusive right to use certain patents to further Cend’s research and development efforts relating to certepetide. Because we do not have the right to control the preparation, filing and prosecution of all of the patent applications, or to maintain the patents, covering certepetide,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products that are the subject of such licensed rights could be adversely affected. In addition to the foregoing, the risks associated with patent rights that we license from third parties will also apply to patent rights it may own in the future.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pursuant to our license agreements, we may be held responsible for bringing actions against infringers. Certain of our license agreements could also require us to meet development thresholds to maintain the license, including establishing a set timeline for developing and commercializing products and minimum yearly diligence obligations in developing and commercializing the product. Disputes may also arise regarding intellectual property subject to a licensing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our obligations under these license agreements, or we are subject to a bankruptcy, the licensor may have the right to terminate the license, in which event we would not be able to market products covered by the license.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partner and commercialize our products and technology may be adversely affected.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obtain and maintain patent protection in the United States and other countries with respect to proprietary product candidates and manufacturing technology. Our licensors have sought and we intend to seek to protect proprietary position by filing patent applications in the United States and abroad related to the novel technologies and product candidates that are vital to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expensive, time-consuming and complex, and we may not be able to file, prosecute, maintain, enforce or license all necessary or desirable patent applications at a reasonable cost or in a timely manner. For example, in some cases, the work of certain academic researchers in the field of oncology could enter the public domain, which may compromise our ability to obtain patent protection for certain inventions related to or building upon such prior work. Consequently, we may not be able to obtain any such patent rights to prevent others from using our technology for, and developing and marketing competing products to treat, these indications. It is also possible that we will fail to identify patentable aspects of our research and development output prior to obtaining adequate patent protection.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remain highly uncertain. Any pending and future patent applications may not result in patents being issued which protect the related technology or product candidates or which effectively prevent others from commercializing competitive technologies and product candidates. Changes in either the patent laws or interpretation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laws in the United States and other countries may diminish the value of patents or narrow the scope of patent protection.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aware of all third-party intellectual property rights potentially relating to our targeted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it was the first to file for patent protection of such inventions.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key patents by developing similar or alternative technologies or products in a non-infringing manner.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a patent is not conclusive as to its inventorship, scope, validity or enforceability, and key patents may be challenged in the courts or patent offices in the United States and abroad. Such challenges may result in loss of exclusivity or in patent claims being narrowed, invalidated or held unenforceable, which may impair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the event we breach the terms of the SBP License Agreement, we could lose the ability to continue the development and potential commercialization of certepetide, and our operations and profitability will be significantly negatively impacted.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in any future agreements under which we may license intellectual property rights from third parties or otherwise experience disruptions to our business relationships with future licensors, we could lose license rights that are important to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be party to license or collaboration agreements with third parties to advance our research or allow commercialization of product candidates. Such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future licensors might conclude that we have materially breached future license agreements and might therefore terminate the license agreements, thereby removing or limiting our ability to develop and commercialize products and technologies covered by these license agreements.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it may be required to cease our development and commercialization of certain of our product candidates. Any of the foregoing could have a material adverse effect on our competitive position, business, financial conditions, results of operations, and prospects.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Disputes may also arise between us and our future licensors regarding intellectual property subject to a license agreement, including:</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whether and the extent to which our technology and processes infringe, misappropriate or otherwise violate intellectual property rights of the licensor that is not subject to the licensing agreement;</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our right to sublicense patent and other rights to third parties under collaborative development relationships;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priority of invention of any patented technology;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future licensors and us and our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may license intellectual property or technology from third parties in the future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in the future prevent or impair our ability to maintain future licensing arrangements on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obtaining necessary additional rights to our product candidates through acquisitions and in-licenses.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discover that we need to obtain additional rights to the foundational IP associated with the product candidates we plan to develop, manufacture and market. If this occurs, we intend to license or purchase the rights to those candidates, which may or may not prove successful at all, or on acceptable terms. If our programs require the use of proprietary rights held by third parties, such as academic institutions, the growth of our business will critically depend on our ability to acquire, in-license or use these proprietary rights, which may not prove possible on acceptable terms.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or acquire third-party intellectual property rights on terms that would allow us to execute our business plan, your investment may be lost.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collaborate with non-profit and academic institutions to accelerate our preclinical research or development under written agreements with these institutions. Typically, these institutions would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 parties, potentially blocking our ability to pursue our program.</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obtain rights to required third-party intellectual property rights or maintain the existing intellectual property rights we have, we may be required to expend significant time and resources to redesign our product candidates, identify other candidates, or to develop or license replacement technology, none of which may be feasible on a technical or commercial basis, especially with our limited resources. If we are unable to do so, we may be unable to develop or commercialize the affected product candidates, which could critically harm our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may own in the future. We may rely on our outside counsel or licensing partners to pay these fees due to non-U.S. patent agencies. The USPTO and various non-U.S. government patent agencies require compliance with several procedural, documentary, fee payment and other similar provisions during the patent application process. We plan to employ reputable law firms and other professionals to help us comply, but we will also be dependent on our licensors to take the necessary action to comply with these requirements with respect to their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irreparably harm our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many of our consultants or advisors will currently be, or were previously, employed at universities, industry service providers (e.g., CDMOs, CROs, CDOs, etc.),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product components and processes for our development pipeline through acquisitions and in-licenses.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Presently we have four pending patent applications in the United States and fourteen pending patent applications outside the United States. Because additional product candidates may require the use of proprietary rights held by third parties, the growth of our business will likely depend in part on our ability to acquire, in-license or use these proprietary rights.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are able to develop such alternatives, which may not be feasible. Even if we are able to obtain a license, it may be nonexclusive, thereby giving our competitors access to the same technologies licensed to it. In that event, we may be required to expend significant time and resources to develop or license replacement technology. Moreover, the molecules that will be used with our product candidates may be covered by the intellectual property rights of others.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able to successfully complete such negotiations and ultimately acquire the rights to the intellectual property surrounding the additional product candidates that it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and data exclusivity for any of our current or future product candidates we may develop, our business may be materially harmed.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marketing approval of any of our current or future product candidates, one or more U.S. patents we may own or in-license in the future may be eligible for limited patent term extension under the Drug Price Competition and Patent Term Restoration Act of 1984, or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expiration of any patents that issue from our patent applications, and our business, financial condition, results of operations, and prospects could be materially harmed.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marks of interest and our business may be adversely affected.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trademarks or trade names may be challenged, infringed, diluted, circumvented or declared generic or determined to be infringing on other marks. We intend to rely on both registration and common law protection for our trademarks.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trademarks.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trade secrets, our competitive position could be impaired.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technology, especially regarding manufacturing processes, is unpatented and is maintained as trade secrets and /or know-how. We expend significant energy, resources and know-how in an effort to protect these trade secrets and know-how, including through the use of confidentiality agreements. Even so, improper use or disclosure of our confidential information could occur, and in such case, adequate remedies may not exist. The disclosure of trade secrets and know-how could impair our competitive position. Although we require all of our employees, consultants, advisors and any third parties who have access to our proprietary know-how, information, or technology to enter into confidentiality agreements, trade secrets can be difficult to protect and we have limited the protection of trade secrets used by our collaborators and suppliers. We cannot be certain that we have or will obtain these agreements in all circumstances and cannot guarantee that we have entered into such agreements with each party that may have or have had access to our trade secrets or proprietary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For example, significant elements, including aspects of drug manufacturing processes, experiments to validate mechanisms and pharmacology, drug design, and related processes, are based on unpatented trade secrets that are not publicly disclosed.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In certain countries, patent holders may be required to grant compulsory licenses, which would likely have a significant and detrimental effect on any future revenues in such country.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including some countries in Europe, have compulsory licensing laws under which a patent owner may be compelled to grant licenses to third parties. In addition, most countries limit the enforceability of patents against government agencies or government contractors. In these countries, the patent owner may be limited to monetary relief and may be unable to enjoin infringement, which could materially diminish the value of the patent. Compulsory licensing of life-saving products is also becoming increasingly common in developing countries, either through direct legislation or international initiatives. Such compulsory licenses could be extended to our product candidates, which may limit our potential revenue opportunities, including with respect to any future revenues that may result from our product candidates.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Changes to U.S. patent law may have a material adverse effect on our intellectual property rights.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any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issued patents. 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 Patent and Trade Office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development and commercialization efforts.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avoiding infringement of the patents, trademarks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and trademark violations. Numerous U.S. and foreign issued patents and pending patent applications, which are owned by third parties, exist in the fields in which we are developing products and services. As the biotechnology and pharmaceutical industries expand and more patents are issued, the risk increases that our products and services may be subject to claims of infringement of the patent rights of third parties.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that we are employing their proprietary technology without authorization. There may be third-party patents or patent applications with claims to devices, materials, formulations, methods of manufacture, or methods for treatment related to the use or manufacture of our products and services. We have conducted freedom to operate analyses with respect to only certain of our products and services, and therefore we do not know whether there are any third-party patents that would impair our ability to commercialize these products and services. We also cannot guarantee that any of our analyses are complete and thorough, nor can we be sure that we have identified each and every patent and pending application in the United States and abroad that is relevant or necessary to the commercialization of our products and services. Because patent applications can take many years to issue, there may be currently pending patent applications that may later result in issued patents that our products or services may inadvertently infringe upon.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third parties may obtain patents in the future and claim that use of our technologies infringes upon these patents. If any third-party patents were held by a court of competent jurisdiction to cover aspects of our products or services, the holders of any such patents may be able to block our ability to commercialize such products or services unless we obtained a license under the applicable patents, or until such patents expire or are finally determined to be invalid or unenforceable. Such a license may not be available on commercially reasonable terms or at all.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obtain injunctive or other equitable relief, which could effectively block our ability to further develop and commercialize one or more of our products or services.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attorneys’ fees for willful infringement, pay royalties, redesign our infringing products or obtain one or more licenses from third parties, which may be impossible or require substantial time and monetary expenditure.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form or seek collaborations or strategic alliances or enter into additional licensing arrangements in the future, and we may not realize the benefits of such collaborations, alliances, or licensing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collaborations involving our product candidates are subject to numerous risks, which may include the following:</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a collaboration;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 candidates;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 collaborator with marketing and distribution rights to one or more products may not commit sufficient resources to their marketing and distribution;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collaborations may be terminated and, if terminated, may result in a need for additional capital to pursue further development or commercialization of the applicable product candidates;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collaborators may own or co-own critical clinical data or intellectual property covering our products that results from our collaborating with them, and in such cases, we would not have the authority or exclusive right to utilize or publicly announce, or commercialize such data or intellectual property, respectively.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if we enter into additional collaboration agreements and strategic partnerships or licenses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manufacturing process needs to comply with regulatory authority regulations relating to the quality and reliability of such processes. Any failure to comply with relevant regulations could result in delays in or termination of our clinical programs and suspension or withdrawal of any regulatory approvals.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commercially produce our products either at our own facility or at a third party’s facility, we will need to comply or assure compliance with the FDA’s and other regulatory authority's cGMP regulations and guidelines. We and/or our agents may encounter difficulties in achieving quality control and quality assurance and may experience shortages in qualified personnel. We and/or our agents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our third-party manufacturers use hazardous and biological materials in a manner that causes injury or violates applicable law, we may be liable for damages.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MANAGING GROWTH AND EMPLOYEE MATTERS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need to grow the size of our organization, and may experience difficulties in managing this growth.</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26 full-time employees. We intend to hire new employees to conduct our research and development/administrative/business activities in the future. Any delay in hiring such new employees could result in delays in our research and development activities and would harm our business. As our development and commercialization plans and strategies develop, we expect to need additional managerial, operational, sales, marketing, financial and other personnel, as well as additional facilities to expand our operations. Future growth would impose significant added responsibilities on members of management, including:</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identifying, recruiting, integrating, managing, maintaining and motivating additional employees;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advanced and/or expanded applications of our drug discovery and development platform;</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maintaining and/or improving our operational, financial and management controls, reporting systems and procedures.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commercialize our product candidates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for the foreseeable future will continue to rely, in substantial part on certain independent organizations, advisors and consultants to provide certain services, including substantially all aspects of regulatory approval, clinical trial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our product candidates.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decreased demand for our product candidates or products that we may develop;</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withdrawal of clinical trial participants, clinical investigators and related institutions;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the inability to commercialize any product candidate;</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a decline in share price; and</w:t>
      </w:r>
    </w:p>
    <w:p>
      <w:pPr>
        <w:pStyle w:val="TextBody"/>
        <w:bidi w:val="0"/>
        <w:spacing w:lineRule="auto" w:line="288" w:before="0" w:after="160"/>
        <w:ind w:left="0" w:right="0" w:hanging="360"/>
        <w:jc w:val="left"/>
        <w:rPr/>
      </w:pPr>
      <w:r>
        <w:rPr>
          <w:color w:val="000000"/>
        </w:rPr>
        <w:t>•</w:t>
      </w:r>
      <w:r>
        <w:rPr>
          <w:rFonts w:ascii="Times New Roman;sans-serif" w:hAnsi="Times New Roman;sans-serif"/>
          <w:b w:val="false"/>
          <w:color w:val="000000"/>
          <w:sz w:val="20"/>
        </w:rPr>
        <w:t>increased insurance costs or the inability to secure sufficient relevant insurance coverage.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storage or disposal of biological, hazardous or radioactive materials.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Data collection is governed by restrictive regulations governing the use, storage, processing and transfer of personal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collection, use, storage, disclosure, transfer, or other processing of personal data is subject to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computer systems of various third parties on which we rely,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 If we or our third-party providers fail to maintain or protect our information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Our stock price has been, and will likely continue to be, highly volatile.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been, and in the future may continue to be, highly volatile. For example, from January 1, 2024 through February 27, 2025 our common stock traded as low as $2.19 per share and as high as $4.20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is highly dependent on, among other things, stock market conditions in general, the type and distribution of investors that make up our shareholder base, our clinical development efforts and the growth of our business in general, the amount of our available cash and investments and our level of cash utilization as well as the public understanding and perception of public announcements we make. Future events could increase the volatility seen in our common stock and ultimately cause a significant decline in the price of our common stock and ultimately impact our ability to raise additional capital in the future. These events could include the following,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positive announcements by competitors;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low levels of trading volume for our shares;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capital-raising or other transactions that are, or may in the future be, dilutive to existing stockholders or that involve the issuance of debt securities;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delays in our clinical trials, significant issues associated with any aspect of our development efforts (e.g., failed manufacturing or negative clinical trial results) or adverse regulatory decisions relating to our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adverse fluctuations in our revenues or operating results or financial results that otherwise fall below the market's expectations;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disappointing developments concerning our product candidates;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positive developments concerning our product candidates that lead to the need for additional capital to complete the development process;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legal challenges, disputes and/or other adverse developments impacting our patents or other proprietary rights that protect our products.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broader external events, such as news concerning economic or market conditions in the general economy or within our industry, the activities of our competitors, changes (or the threat of changes) in U.S. or foreign government regulations impacting the life sciences industry or the movement of capital into or out of our industry, are likely to affect the price of our common stock. Geopolitical events, including the continued threat of terrorism and the impact of military and other action, including but not limited to military actions involving Russia and Ukraine as well as Israel and Gaza, could impact our stock price as well. There can be no assurance that the market price of our common stock will not continue to fluctuate or decline significantly in the future.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We may fail to comply with the continued listing requirements of the Nasdaq Capital Market, such that our common stock may be delisted and the price of our common stock and our ability to access the capital markets could be negatively impacted.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for trading on the Nasdaq Capital Market. We must satisfy Nasdaq’s continued listing requirements, including, among other things, a minimum closing bid price requirement of $1.00 per share for 30 consecutive business days (the "Minimum Bid Price Requirement"). We have in the past been notified by Nasdaq that we were not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 Minimum Bid Price Requirement, and while we have regained compliance, there can be no assurance that we will remain compliant with the Minimum Bid Price Requirement or any other Nasdaq continued listing requirements.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In addition to potential dilution associated with potential future fundraising and strategic transactions, we currently have significant numbers of securities outstanding that are exercisable for our common stock, which could result in significant additional dilution and downward pressure on our stock price.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were 8,408,844 shares of our common stock outstanding. In addition, there were outstanding stock options, restricted stock units and warrants representing the potential issuance of an additional 3,184,000 shares of our common stock. The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common stock available for purchase in the market to exceed the purchase demand for our common stock. Such supply in excess of demand could cause the market price of our common stock to decline.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Provisions in our amended and restated certificate of incorporation and by-laws and Delaware law may inhibit a takeover of us, which could limit the price investors might be willing to pay in the future for our common stock and could entrench management.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 As a result, at a given annual meeting only a minority of the board of directors may be considered for election. Since our staggered board of directors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 without stockholder approval.</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anti-takeover provisions under Delaware law, which could delay or prevent a change of control. Together, these provisions may make the removal of management difficult and may discourage transactions that otherwise could involve payment of a premium over prevailing market prices for our securities.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Failure to maintain effective internal control over financial reporting in accordance with Section 404 of the Sarbanes-Oxley Act could have a material adverse effect on our business and stock price.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testing our disclosure controls and procedures and internal control over financial reporting, we may identify and disclose material weaknesses or significant deficiencies in internal control over financial reporting that will have to be remedied. Implementing any appropriate changes to our internal control may require specific compliance training of our directors, officers and employees, entail substantial costs to modify our existing accounting systems, and take a significant period of time to complete. Such changes may not, however, be effective in maintaining the adequacy of our internal control over financial reporting, and any failure to maintain that adequacy or inability to produce accurate financial statements on a timely basis could result in our financial statements being unreliable, increase our operating costs and materially impair our ability to operate our business.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achieve and maintain effective internal control over financial reporting could result in a loss of investor confidence in our financial reports and could have a material adverse effect on our stock price. Additionally, failure to maintain effective internal control over our financial reporting could result in government investigation or sanctions by regulatory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ans-serif" w:hAnsi="Times New Roman;sans-serif"/>
          <w:b/>
          <w:color w:val="000000"/>
          <w:sz w:val="20"/>
        </w:rPr>
        <w:t>ITEM 1B. UNRESOLVED STAFF COMMENTS.</w:t>
      </w:r>
      <w:r>
        <w:rPr>
          <w:color w:val="000000"/>
        </w:rPr>
        <w:t>    </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Cybersecurity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critical importance of maintaining the trust and confidence of partners, shareholders, government agencies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other applicable industry standards.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Cybersecurity Risk Management and Strategy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employ a range of tools and services, including regular network and endpoint monitoring, audits, vulnerability assessments, penetration testing, and tabletop exercises. As discussed in more detail under “Cybersecurity Governance” below, our audit committee provides oversight of our cybersecurity risk management and strategy processes.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identify our cybersecurity threat risks by comparing our processes to standards set by the NIST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undertake the following activities: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monitor emerging data protection laws and implement changes to our processes that are designed to comply with such laws;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through our policies, practices and contracts (as applicable), require employees, as well as third parties that provide services on our behalf, to treat confidential information and data with care;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conduct regular phishing email simulations for all employees and contractors with access to our email systems to enhance awareness and responsiveness to possible threats;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conduct cybersecurity management and incident training for employees involved in our systems and processes that handle sensitive data;</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run tabletop exercises to simulate a response to a cybersecurity incident and use the findings to improve our processes and technologies;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leverage the NIST incident handling framework to help us identify, protect, detect, respond and recover when there is an actual or potential cybersecurity incident;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carry cyber liability insurance that provides protection against the potential losses arising from a cybersecurity incident.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above processes, we may engage with assessors, consultants, auditors, and other third-parties, including by having a third-party review our cybersecurity program to help identify areas for continued focus, improvement and/or compliance.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processes also address cybersecurity threat risks associated with our use of third-party service providers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We describe how risks from cybersecurity threats are reasonably likely to materially affect us, including our business strategy, results of operations, or financial condition, under the heading,</w:t>
      </w:r>
      <w:r>
        <w:rPr>
          <w:color w:val="000000"/>
        </w:rPr>
        <w:t xml:space="preserve"> “</w:t>
      </w:r>
      <w:r>
        <w:rPr>
          <w:rFonts w:ascii="Times New Roman;sans-serif" w:hAnsi="Times New Roman;sans-serif"/>
          <w:b w:val="false"/>
          <w:i/>
          <w:color w:val="000000"/>
          <w:sz w:val="20"/>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r>
        <w:rPr>
          <w:color w:val="000000"/>
        </w:rPr>
        <w:t xml:space="preserve"> </w:t>
      </w:r>
      <w:r>
        <w:rPr>
          <w:rFonts w:ascii="Times New Roman;sans-serif" w:hAnsi="Times New Roman;sans-serif"/>
          <w:b w:val="false"/>
          <w:color w:val="000000"/>
          <w:sz w:val="20"/>
        </w:rPr>
        <w:t xml:space="preserve">which disclosures are incorporated herein by reference. In the last three fiscal years, we have not experienced any material cybersecurity incidents.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Cybersecurity Governance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an important part of our risk management processes and an area of focus for our board of directors and management. In general, the audit committee of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least quarterly, our audit committee receives an update from management of our cybersecurity threats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our audit committee generally receives materials that include a cybersecurity update and other materials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and discusses such matters with our Chief Information Officer. Our audit committee also receives prompt and timely information regarding any cybersecurity incident that meets established reporting thresholds, as well as ongoing updates regarding any such incident until it has been addressed.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audit committee are also encouraged to regularly engage in conversations with management on cybersecurity-related news events and discuss any updates to our cybersecurity risk management and strategy programs. Material cybersecurity threat risks are also considered during separate board meeting discussions of important matters like enterprise risk management, operational budgeting, business continuity planning, mergers and acquisitions and other relevant matters.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management and strategy processes, which are discussed in greater detail above, are led by our Chief Information Officer. This individual has over 29 years of prior work experience in various roles involving managing information security, developing cybersecurity strategy, implementing effective information and cybersecurity programs (nationally and globally), as well as several relevant degrees and certifications, including a Bachelors and Master’s Degree focusing in Computer Science, along with cybersecurity leadership, computer security, forensics, and technology certifications earned over the years. This management team member is informed about and monitors the prevention, mitigation, detection, and remediation of cybersecurity incidents through their management of, and participation in, the cybersecurity risk management and strategy processes described above, including the operation of our incident response plan. As discussed above, this management team member reports to the audit committee of our board of directors about cybersecurity threat risks, among other cybersecurity related matters, on a quarterly basis.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in Basking Ridge, New Jersey. The space is approximately 8,100 rentable square feet and the base monthly rent is approximately $15,900 through September 30, 2025. We believe the total leased space at the Basking Ridge, New Jersey location is sufficient for the near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subject to legal proceedings and claims, either asserted or unasserted, that arise in the ordinary course of business. While the outcome of pending claims cannot be predicted with certainty, we do not believe that the outcome of any pending claims will have a material adverse effect on our financial condition or operating results.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60"/>
        <w:jc w:val="both"/>
        <w:rPr/>
      </w:pPr>
      <w:r>
        <w:rPr>
          <w:rFonts w:ascii="Times New Roman;sans-serif" w:hAnsi="Times New Roman;sans-serif"/>
          <w:b/>
          <w:i/>
          <w:color w:val="000000"/>
          <w:sz w:val="20"/>
        </w:rPr>
        <w:t>Market for Our Common Equity</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Capital Market under the symbol “LSTA.”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 xml:space="preserve">Holders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27, 2025, there were approximately 291 holders of record of our common stock. The number of record holders was determined from the records of our transfer agent and does not include beneficial owners of our common stock whose shares are held in the names of various security brokers, dealers, and registered clearing agencies. </w:t>
      </w:r>
    </w:p>
    <w:p>
      <w:pPr>
        <w:pStyle w:val="TextBody"/>
        <w:bidi w:val="0"/>
        <w:spacing w:lineRule="auto" w:line="288" w:before="0" w:after="160"/>
        <w:jc w:val="both"/>
        <w:rPr/>
      </w:pPr>
      <w:r>
        <w:rPr>
          <w:rFonts w:ascii="Times New Roman;sans-serif" w:hAnsi="Times New Roman;sans-serif"/>
          <w:b/>
          <w:i/>
          <w:color w:val="000000"/>
          <w:sz w:val="20"/>
        </w:rPr>
        <w:t>Dividends and Dividend Policy</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paid cash dividends on our common stock. The holders of our common stock are each entitled to receive dividends when and if declared by the board of directors out of funds legally available therefore, subject to the terms of any outstanding series of preferred stock. We intend to retain any future earnings to fund the development and growth of our business, and therefore we do not anticipate paying any cash dividends on our common stock in the foreseeable future.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Equity Compensation Plan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2024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w:t>
      </w:r>
    </w:p>
    <w:tbl>
      <w:tblPr>
        <w:tblW w:w="10205" w:type="dxa"/>
        <w:jc w:val="center"/>
        <w:tblInd w:w="0" w:type="dxa"/>
        <w:tblLayout w:type="fixed"/>
        <w:tblCellMar>
          <w:top w:w="28" w:type="dxa"/>
          <w:left w:w="28" w:type="dxa"/>
          <w:bottom w:w="28" w:type="dxa"/>
          <w:right w:w="28" w:type="dxa"/>
        </w:tblCellMar>
      </w:tblPr>
      <w:tblGrid>
        <w:gridCol w:w="1465"/>
        <w:gridCol w:w="1289"/>
        <w:gridCol w:w="1293"/>
        <w:gridCol w:w="623"/>
        <w:gridCol w:w="623"/>
        <w:gridCol w:w="625"/>
        <w:gridCol w:w="489"/>
        <w:gridCol w:w="489"/>
        <w:gridCol w:w="491"/>
        <w:gridCol w:w="677"/>
        <w:gridCol w:w="677"/>
        <w:gridCol w:w="679"/>
        <w:gridCol w:w="228"/>
        <w:gridCol w:w="228"/>
        <w:gridCol w:w="329"/>
      </w:tblGrid>
      <w:tr>
        <w:trPr/>
        <w:tc>
          <w:tcPr>
            <w:tcW w:w="14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 Plan Information</w:t>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 be issued upon exercise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of outstanding options (1)</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Weighted Average</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exercise price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outstanding options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and rights</w:t>
            </w:r>
          </w:p>
        </w:tc>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remaining available for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future issuance under equity</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compensation plan</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(excluding securities</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referenced in column (a))</w:t>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 (2)</w:t>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1,440,535</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$8.82</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787,635</w:t>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1,440,535</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$8.82</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787,635</w:t>
            </w:r>
          </w:p>
        </w:tc>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bl>
    <w:p>
      <w:pPr>
        <w:pStyle w:val="TextBody"/>
        <w:bidi w:val="0"/>
        <w:spacing w:lineRule="auto" w:line="288" w:before="0" w:after="1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 options only; does not include purchase rights accruing under the Amended 2017 ESPP Plan because the purchase price (and therefore the number of shares to be purchased) will not be determined until the end of the purchase period.</w:t>
      </w:r>
    </w:p>
    <w:p>
      <w:pPr>
        <w:pStyle w:val="TextBody"/>
        <w:bidi w:val="0"/>
        <w:spacing w:lineRule="auto" w:line="288" w:before="0" w:after="1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(2)Consists of the 2018 Plan, the 2015 Plan, the 2009 Plan, and the Amended 2017 ESPP.</w:t>
      </w:r>
    </w:p>
    <w:p>
      <w:pPr>
        <w:pStyle w:val="TextBody"/>
        <w:bidi w:val="0"/>
        <w:spacing w:lineRule="auto" w:line="288" w:before="0" w:after="1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(3)Includes shares available for future issuance under the 2018 Plan and the Amended 2017 ESPP. </w:t>
      </w:r>
    </w:p>
    <w:p>
      <w:pPr>
        <w:pStyle w:val="TextBody"/>
        <w:bidi w:val="0"/>
        <w:spacing w:lineRule="auto" w:line="288" w:before="0" w:after="160"/>
        <w:jc w:val="both"/>
        <w:rPr/>
      </w:pPr>
      <w:r>
        <w:rPr>
          <w:rFonts w:ascii="Times New Roman;sans-serif" w:hAnsi="Times New Roman;sans-serif"/>
          <w:b/>
          <w:i/>
          <w:color w:val="000000"/>
          <w:sz w:val="20"/>
        </w:rPr>
        <w:t>Recent Sales of Unregistered Securities</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The following discussion should be read in conjunction with our consolidated financial statements and related notes thereto included elsewhere in this Annual Report.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pharmaceutical company dedicated to the discovery, development, and commercialization of innovative therapies for the treatment of solid tumors and other major diseases. Our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2024 Compared to Year Ended December 31, 2023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years ended December 31, 2024 and 2023:</w:t>
      </w:r>
    </w:p>
    <w:tbl>
      <w:tblPr>
        <w:tblW w:w="5786" w:type="dxa"/>
        <w:jc w:val="left"/>
        <w:tblInd w:w="0" w:type="dxa"/>
        <w:tblLayout w:type="fixed"/>
        <w:tblCellMar>
          <w:top w:w="28" w:type="dxa"/>
          <w:left w:w="28" w:type="dxa"/>
          <w:bottom w:w="28" w:type="dxa"/>
          <w:right w:w="28" w:type="dxa"/>
        </w:tblCellMar>
      </w:tblPr>
      <w:tblGrid>
        <w:gridCol w:w="787"/>
        <w:gridCol w:w="690"/>
        <w:gridCol w:w="697"/>
        <w:gridCol w:w="196"/>
        <w:gridCol w:w="721"/>
        <w:gridCol w:w="109"/>
        <w:gridCol w:w="109"/>
        <w:gridCol w:w="109"/>
        <w:gridCol w:w="109"/>
        <w:gridCol w:w="196"/>
        <w:gridCol w:w="721"/>
        <w:gridCol w:w="109"/>
        <w:gridCol w:w="109"/>
        <w:gridCol w:w="109"/>
        <w:gridCol w:w="109"/>
        <w:gridCol w:w="196"/>
        <w:gridCol w:w="55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Overall, net losses were $20.0 million and $20.8 million for the years ended December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revenue totaled $1.0 million in connection with an upfront license fee related to the Exclusive License and Collaboration Agreement with Kuva Labs, Inc. We did not have any revenue for the year ended December 31, 2023. </w:t>
      </w:r>
    </w:p>
    <w:p>
      <w:pPr>
        <w:pStyle w:val="TextBody"/>
        <w:bidi w:val="0"/>
        <w:spacing w:lineRule="auto" w:line="288" w:before="0" w:after="160"/>
        <w:jc w:val="both"/>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operating expenses totaled $23.4 million compared to $25.7 million for the year ended December 31, 2023, representing a decrease of $2.3 million or 8.9%.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comprise the following:</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Research and development expenses were approximately $11.3 million for the year ended December 31, 2024, compared to $12.7 million for the year ended December 31, 2023, representing a decrease of approximately $1.4 million, or 11.0%. This was primarily due to a reduction in expenses associated with the Phase 2b ASCEND trial which completed enrollment in the prior year, lower spend on chemistry, manufacturing and controls (“CMC”) and lower equity expense.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$12.1 million for the year ended December 31, 2024, compared to $13.0 for the year ended December 31, 2023, representing a decrease of approximately $0.9 million or 6.9%. This was primarily due to one-off related severance costs in the prior year associated with the elimination of the Chief Business Officer position on May 1, 2023, a reduction in equity expense, a decrease in directors and officers insurance premiums, and a reduction in spend on legal fees partially offset by one-off settlement related costs and an increase in consulting expenses.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to minimize our use of cash, we have used a variety of equity instruments as compensation to employees, consultants, directors and other service providers. The use of these equity instruments has resulted in non-cash charges to the results of operations, which has been significant in the past.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was $1.6 million for the year ended December 31, 2024, compared to $2.5 million for the year ended December 31, 2023, representing a decrease of approximately $0.9 million or 35.9%. This was primarily due to a reduction in investment income from cash, cash equivalents and marketable securities in the current year as a result of lower investment balances, partially offset by higher investment returns.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$0.7 million. The $0.8 million of our NJ NOL tax benefits have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final approval from the NJEDA under the Program to sell a percentage of our NJ NOLs, which were subsequently sold to a qualifying and approved buyer pursuant to the Program for net proceeds of $2.2 million. The $2.3 million of NJ NOLs related tax benefits have been recorded as a benefit from income taxes and the loss on sale of $0.1 million recorded in other income (expense).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cash, cash equivalents, and marketable securities of approximately $31.2 million, working capital of approximately $29.0 million, and stockholders’ equity of approximately $29.6 million.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or (used in) operating, investing and financing activities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7037" w:type="dxa"/>
        <w:jc w:val="left"/>
        <w:tblInd w:w="0" w:type="dxa"/>
        <w:tblLayout w:type="fixed"/>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79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year ended December 31, 2024 totaled approximately $19.4 million, comprising (i) our net loss of $20.0 million, as adjusted for non-cash income and expenses totaling $1.5 million (which includes adjustments for equity-based compensation, depreciation and amortization, loss from equity method investment and amortization/accretion of marketable securities), and (ii) changes in operating assets and liabilities of approximately $0.9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year ended December 31, 2023 totaled approximately $20.0 million, comprising (i) our net loss of $20.8 million, as adjusted for non-cash income and expenses totaling $1.3 million (which includes adjustments for equity-based compensation, depreciation and amortization, a loss on disposal of fixed assets, and amortization/accretion of marketable securities), and (ii) changes in operating assets and liabilities of approximately $0.5 million.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investing activities during the year ended December 31, 2024 totaled approximately $13.2 million and was primarily due to net sales of marketable securities (net of purchases of marketable securities) partially offset by an investment of $0.1 million in Impilo.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year ended December 31, 2023 totaled approximately $10.1 million and was primarily due to net sales of marketable securities (net of purchases of marketable securities).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year ended December 31, 2024 totaled $0.2 million, consisting primarily of tax withholding-related payments on net share settlement equity awards to employees.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provided by financing activities during the year ended December 31, 2023 totaled $0.4 million, consisting of proceeds from the issuance of shares through our ATM Agreement (as defined below) of $0.3 million, option exercise proceeds of $0.2 million partially offset by tax withholding-related payments of $0.1 million on net share settlement equity awards to employees. </w:t>
      </w:r>
    </w:p>
    <w:p>
      <w:pPr>
        <w:pStyle w:val="TextBody"/>
        <w:bidi w:val="0"/>
        <w:spacing w:lineRule="auto" w:line="288" w:before="0" w:after="160"/>
        <w:jc w:val="left"/>
        <w:rPr/>
      </w:pPr>
      <w:r>
        <w:rPr>
          <w:rFonts w:ascii="Times New Roman;sans-serif" w:hAnsi="Times New Roman;sans-serif"/>
          <w:b/>
          <w:i/>
          <w:color w:val="000000"/>
          <w:sz w:val="20"/>
        </w:rPr>
        <w:t>Liquidity and Capital Requirements Outlook</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filing of a prospectus supplement to our Registration Statement on Form S-3 (File No. 333-279034) relating to the at the market offering on August 21, 2024, the aggregate market value of our outstanding common stock held by non-affiliates was approximately $29.6 million. Pursuant to the Baby Shelf Limitation, since the aggregate market value of our outstanding common stock held by non-affiliates was below $75.0 million at the time of such prospectus supplement filing, the aggregate amount of securities that we are permitted to offer and sell as of the date of this Annual Report on Form 10-K, is $9,855,890, which amount is equal to one-third of the aggregate market value of our common stock held by non-affiliates as of August 20, 2024. If our public float exceeds $75.0 million on a future measurement date, the Company will no longer be subject to the Baby Shelf Limitation. During the twelve months ended December 31, 2024, the Company issued 3,779 shares of common stock under the ATM Agreement for net proceeds of $10,074. Since inception through December 31, 2024, the Company has issued 68,173 shares of common stock under the ATM Agreement for net proceeds of $280,848.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requires management to make estimates and judgments that affect the amounts reported in the financial statements. We evaluate our estimates and assumptions on an ongoing basis. We base our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accounting policy is considered to be critical if it is important to our financial condition and results of operations and if it requires management’s most difficult, subjective and complex judgments in its application. For a summary of all of our significant accounting policies, see Note 2 to our Consolidated Financial Statements.</w:t>
      </w:r>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all share-based payment awards to employees, directors, and consultants, including grants of stock options, warrants, and restricted stock, over the requisite service period based on the grant date fair value of the awards. For awards with performance-based vesting criteria, we estimate the probability of achievement of the performance criteria and recognize compensation expense related to those awards expected to vest. We determine the fair value of option awards using the Black-Scholes option-pricing model which uses both historical and current market data to estimate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our restricted stock and restricted stock units is based on the closing market price of our common stock on the date of grant.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160"/>
        <w:ind w:left="0" w:right="0" w:firstLine="360"/>
        <w:jc w:val="left"/>
        <w:rPr/>
      </w:pPr>
      <w:r>
        <w:rPr>
          <w:rFonts w:ascii="Times New Roman;sans-serif" w:hAnsi="Times New Roman;sans-serif"/>
          <w:b w:val="false"/>
          <w:color w:val="000000"/>
          <w:sz w:val="20"/>
        </w:rPr>
        <w:t xml:space="preserve">The financial statements and notes thereto required to be filed under this Item are presented commencing on page 74 </w:t>
      </w:r>
      <w:r>
        <w:rPr>
          <w:rFonts w:ascii="Times New Roman;sans-serif" w:hAnsi="Times New Roman;sans-serif"/>
          <w:b w:val="false"/>
          <w:color w:val="000000"/>
          <w:sz w:val="20"/>
          <w:shd w:fill="FFFFFF" w:val="clear"/>
        </w:rPr>
        <w:t>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1122"/>
        <w:gridCol w:w="983"/>
        <w:gridCol w:w="983"/>
        <w:gridCol w:w="2308"/>
        <w:gridCol w:w="2186"/>
        <w:gridCol w:w="2248"/>
        <w:gridCol w:w="109"/>
        <w:gridCol w:w="109"/>
        <w:gridCol w:w="157"/>
      </w:tblGrid>
      <w:tr>
        <w:trPr/>
        <w:tc>
          <w:tcPr>
            <w:tcW w:w="112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67">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E32E1"/>
                <w:sz w:val="20"/>
              </w:rPr>
              <w:t xml:space="preserve">(PCAOB ID Number </w:t>
            </w:r>
            <w:r>
              <w:rPr>
                <w:rFonts w:ascii="Times New Roman;sans-serif" w:hAnsi="Times New Roman;sans-serif"/>
                <w:b w:val="false"/>
                <w:color w:val="0E32E1"/>
                <w:sz w:val="16"/>
              </w:rPr>
              <w:t>248</w:t>
            </w:r>
            <w:r>
              <w:rPr>
                <w:rFonts w:ascii="Times New Roman;sans-serif" w:hAnsi="Times New Roman;sans-serif"/>
                <w:b w:val="false"/>
                <w:color w:val="0E32E1"/>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67">
              <w:r>
                <w:rPr>
                  <w:rStyle w:val="InternetLink"/>
                  <w:rFonts w:ascii="Times New Roman;sans-serif" w:hAnsi="Times New Roman;sans-serif"/>
                  <w:b w:val="false"/>
                  <w:color w:val="0000FF"/>
                  <w:sz w:val="20"/>
                  <w:u w:val="single"/>
                </w:rPr>
                <w:t>72</w:t>
              </w:r>
            </w:hyperlink>
          </w:p>
        </w:tc>
      </w:tr>
      <w:tr>
        <w:trPr/>
        <w:tc>
          <w:tcPr>
            <w:tcW w:w="98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70">
              <w:r>
                <w:rPr>
                  <w:rStyle w:val="InternetLink"/>
                  <w:rFonts w:ascii="Times New Roman;sans-serif" w:hAnsi="Times New Roman;sans-serif"/>
                  <w:b w:val="false"/>
                  <w:color w:val="0000FF"/>
                  <w:sz w:val="20"/>
                  <w:u w:val="single"/>
                </w:rPr>
                <w:t>Consolidated Balance Sheets at December 31, 2024 and 2023</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70">
              <w:r>
                <w:rPr>
                  <w:rStyle w:val="InternetLink"/>
                  <w:rFonts w:ascii="Times New Roman;sans-serif" w:hAnsi="Times New Roman;sans-serif"/>
                  <w:b w:val="false"/>
                  <w:color w:val="0000FF"/>
                  <w:sz w:val="20"/>
                  <w:u w:val="single"/>
                </w:rPr>
                <w:t>73</w:t>
              </w:r>
            </w:hyperlink>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73">
              <w:r>
                <w:rPr>
                  <w:rStyle w:val="InternetLink"/>
                  <w:rFonts w:ascii="Times New Roman;sans-serif" w:hAnsi="Times New Roman;sans-serif"/>
                  <w:b w:val="false"/>
                  <w:color w:val="0000FF"/>
                  <w:sz w:val="20"/>
                  <w:u w:val="single"/>
                </w:rPr>
                <w:t>Consolidated Statements of Operations - Years Ended December 31, 2024 and 2023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73">
              <w:r>
                <w:rPr>
                  <w:rStyle w:val="InternetLink"/>
                  <w:rFonts w:ascii="Times New Roman;sans-serif" w:hAnsi="Times New Roman;sans-serif"/>
                  <w:b w:val="false"/>
                  <w:color w:val="0000FF"/>
                  <w:sz w:val="20"/>
                  <w:u w:val="single"/>
                </w:rPr>
                <w:t>74</w:t>
              </w:r>
            </w:hyperlink>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76">
              <w:r>
                <w:rPr>
                  <w:rStyle w:val="InternetLink"/>
                  <w:rFonts w:ascii="Times New Roman;sans-serif" w:hAnsi="Times New Roman;sans-serif"/>
                  <w:b w:val="false"/>
                  <w:color w:val="0000FF"/>
                  <w:sz w:val="20"/>
                  <w:u w:val="single"/>
                </w:rPr>
                <w:t>Consolidated Statements of Comprehensive Loss - Years Ended December 31, 2024 and 2023</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76">
              <w:r>
                <w:rPr>
                  <w:rStyle w:val="InternetLink"/>
                  <w:rFonts w:ascii="Times New Roman;sans-serif" w:hAnsi="Times New Roman;sans-serif"/>
                  <w:b w:val="false"/>
                  <w:color w:val="0000FF"/>
                  <w:sz w:val="20"/>
                  <w:u w:val="single"/>
                </w:rPr>
                <w:t>75</w:t>
              </w:r>
            </w:hyperlink>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79">
              <w:r>
                <w:rPr>
                  <w:rStyle w:val="InternetLink"/>
                  <w:rFonts w:ascii="Times New Roman;sans-serif" w:hAnsi="Times New Roman;sans-serif"/>
                  <w:b w:val="false"/>
                  <w:color w:val="0000FF"/>
                  <w:sz w:val="20"/>
                  <w:u w:val="single"/>
                </w:rPr>
                <w:t>Consolidated Statements of Equity - Years Ended December 31, 2024 and 2023</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79">
              <w:r>
                <w:rPr>
                  <w:rStyle w:val="InternetLink"/>
                  <w:rFonts w:ascii="Times New Roman;sans-serif" w:hAnsi="Times New Roman;sans-serif"/>
                  <w:b w:val="false"/>
                  <w:color w:val="0000FF"/>
                  <w:sz w:val="20"/>
                  <w:u w:val="single"/>
                </w:rPr>
                <w:t>76</w:t>
              </w:r>
            </w:hyperlink>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82">
              <w:r>
                <w:rPr>
                  <w:rStyle w:val="InternetLink"/>
                  <w:rFonts w:ascii="Times New Roman;sans-serif" w:hAnsi="Times New Roman;sans-serif"/>
                  <w:b w:val="false"/>
                  <w:color w:val="0000FF"/>
                  <w:sz w:val="20"/>
                  <w:u w:val="single"/>
                </w:rPr>
                <w:t>Consolidated Statements of Cash Flows - Years Ended December 31, 2024 and 2023</w:t>
              </w:r>
            </w:hyperlink>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82">
              <w:r>
                <w:rPr>
                  <w:rStyle w:val="InternetLink"/>
                  <w:rFonts w:ascii="Times New Roman;sans-serif" w:hAnsi="Times New Roman;sans-serif"/>
                  <w:b w:val="false"/>
                  <w:color w:val="0000FF"/>
                  <w:sz w:val="20"/>
                  <w:u w:val="single"/>
                </w:rPr>
                <w:t>77</w:t>
              </w:r>
            </w:hyperlink>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e5be98f8ca44d78a486a07137163a3a_85">
              <w:r>
                <w:rPr>
                  <w:rStyle w:val="InternetLink"/>
                  <w:rFonts w:ascii="Times New Roman;sans-serif" w:hAnsi="Times New Roman;sans-serif"/>
                  <w:b w:val="false"/>
                  <w:color w:val="0000FF"/>
                  <w:sz w:val="20"/>
                  <w:u w:val="single"/>
                </w:rPr>
                <w:t>Notes to Consolidated Financial Statements</w:t>
              </w:r>
            </w:hyperlink>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e5be98f8ca44d78a486a07137163a3a_85">
              <w:r>
                <w:rPr>
                  <w:rStyle w:val="InternetLink"/>
                  <w:rFonts w:ascii="Times New Roman;sans-serif" w:hAnsi="Times New Roman;sans-serif"/>
                  <w:b w:val="false"/>
                  <w:color w:val="0000FF"/>
                  <w:sz w:val="20"/>
                  <w:u w:val="singl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REPORT OF INDEPENDENT REGISTERED PUBLIC ACCOUNTING FIRM</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br/>
        <w:t xml:space="preserve">Lisata Therapeutics, Inc.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Lisata Therapeutics, Inc. (a Delaware corporation) and subsidiaries (the “Company”) as of December 31, 2024 and 2023, the related consolidated statements of operations, comprehensive loss,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16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2011.</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br/>
        <w:t>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10205" w:type="dxa"/>
        <w:jc w:val="center"/>
        <w:tblInd w:w="0" w:type="dxa"/>
        <w:tblLayout w:type="fixed"/>
        <w:tblCellMar>
          <w:top w:w="28" w:type="dxa"/>
          <w:left w:w="28" w:type="dxa"/>
          <w:bottom w:w="28" w:type="dxa"/>
          <w:right w:w="28" w:type="dxa"/>
        </w:tblCellMar>
      </w:tblPr>
      <w:tblGrid>
        <w:gridCol w:w="2999"/>
        <w:gridCol w:w="2498"/>
        <w:gridCol w:w="2307"/>
        <w:gridCol w:w="208"/>
        <w:gridCol w:w="688"/>
        <w:gridCol w:w="115"/>
        <w:gridCol w:w="109"/>
        <w:gridCol w:w="109"/>
        <w:gridCol w:w="109"/>
        <w:gridCol w:w="208"/>
        <w:gridCol w:w="686"/>
        <w:gridCol w:w="169"/>
      </w:tblGrid>
      <w:tr>
        <w:trPr/>
        <w:tc>
          <w:tcPr>
            <w:tcW w:w="299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18"/>
              </w:rPr>
            </w:pPr>
            <w:r>
              <w:rPr>
                <w:rFonts w:ascii="Times New Roman;sans-serif" w:hAnsi="Times New Roman;sans-serif"/>
                <w:b w:val="false"/>
                <w:sz w:val="18"/>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license-intangible,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NON-CONTROLLING INTERESTS AND STOCKHOLDERS' EQUITY</w:t>
            </w:r>
          </w:p>
        </w:tc>
        <w:tc>
          <w:tcPr>
            <w:tcW w:w="10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w:t>
            </w:r>
            <w:r>
              <w:rPr>
                <w:rFonts w:ascii="Times New Roman;sans-serif" w:hAnsi="Times New Roman;sans-serif"/>
                <w:b w:val="false"/>
                <w:color w:val="000000"/>
                <w:sz w:val="18"/>
              </w:rPr>
              <w:t>Common stock, $0.001 par value, authorized 500,000,000 shares; issued 8,409,582 and 8,150,635 shares, at December 31, 2024 and December 31, 2023, respectively; and outstanding, 8,408,844 and 8,149,897 shares, at December 31, 2024 and December 31, 2023, respectively</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December 31, 2024 and December 31, 2023 respectively</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loss </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p>
      <w:pPr>
        <w:pStyle w:val="TextBody"/>
        <w:bidi w:val="0"/>
        <w:spacing w:lineRule="auto" w:line="288" w:before="0" w:after="0"/>
        <w:jc w:val="left"/>
        <w:rPr>
          <w:color w:val="000000"/>
        </w:rPr>
      </w:pPr>
      <w:r>
        <w:rPr>
          <w:color w:val="000000"/>
        </w:rPr>
        <w:t> </w:t>
      </w:r>
    </w:p>
    <w:tbl>
      <w:tblPr>
        <w:tblW w:w="7509" w:type="dxa"/>
        <w:jc w:val="center"/>
        <w:tblInd w:w="0" w:type="dxa"/>
        <w:tblLayout w:type="fixed"/>
        <w:tblCellMar>
          <w:top w:w="28" w:type="dxa"/>
          <w:left w:w="28" w:type="dxa"/>
          <w:bottom w:w="28" w:type="dxa"/>
          <w:right w:w="28" w:type="dxa"/>
        </w:tblCellMar>
      </w:tblPr>
      <w:tblGrid>
        <w:gridCol w:w="1839"/>
        <w:gridCol w:w="1614"/>
        <w:gridCol w:w="1632"/>
        <w:gridCol w:w="196"/>
        <w:gridCol w:w="721"/>
        <w:gridCol w:w="109"/>
        <w:gridCol w:w="109"/>
        <w:gridCol w:w="109"/>
        <w:gridCol w:w="109"/>
        <w:gridCol w:w="196"/>
        <w:gridCol w:w="72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before benefit from income taxes and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center"/>
        <w:rPr>
          <w:color w:val="000000"/>
        </w:rPr>
      </w:pPr>
      <w:r>
        <w:rPr>
          <w:color w:val="000000"/>
        </w:rPr>
        <w:t> </w:t>
      </w:r>
    </w:p>
    <w:tbl>
      <w:tblPr>
        <w:tblW w:w="8581" w:type="dxa"/>
        <w:jc w:val="left"/>
        <w:tblInd w:w="0" w:type="dxa"/>
        <w:tblLayout w:type="fixed"/>
        <w:tblCellMar>
          <w:top w:w="28" w:type="dxa"/>
          <w:left w:w="28" w:type="dxa"/>
          <w:bottom w:w="28" w:type="dxa"/>
          <w:right w:w="28" w:type="dxa"/>
        </w:tblCellMar>
      </w:tblPr>
      <w:tblGrid>
        <w:gridCol w:w="2149"/>
        <w:gridCol w:w="1882"/>
        <w:gridCol w:w="1908"/>
        <w:gridCol w:w="196"/>
        <w:gridCol w:w="721"/>
        <w:gridCol w:w="109"/>
        <w:gridCol w:w="109"/>
        <w:gridCol w:w="109"/>
        <w:gridCol w:w="109"/>
        <w:gridCol w:w="196"/>
        <w:gridCol w:w="721"/>
        <w:gridCol w:w="109"/>
        <w:gridCol w:w="109"/>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gain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 stockholders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center"/>
        <w:rPr>
          <w:color w:val="000000"/>
        </w:rPr>
      </w:pPr>
      <w:r>
        <w:rPr>
          <w:color w:val="000000"/>
        </w:rPr>
        <w:t> </w:t>
      </w:r>
    </w:p>
    <w:tbl>
      <w:tblPr>
        <w:tblW w:w="12432" w:type="dxa"/>
        <w:jc w:val="left"/>
        <w:tblInd w:w="0" w:type="dxa"/>
        <w:tblLayout w:type="fixed"/>
        <w:tblCellMar>
          <w:top w:w="28" w:type="dxa"/>
          <w:left w:w="28" w:type="dxa"/>
          <w:bottom w:w="28" w:type="dxa"/>
          <w:right w:w="28" w:type="dxa"/>
        </w:tblCellMar>
      </w:tblPr>
      <w:tblGrid>
        <w:gridCol w:w="544"/>
        <w:gridCol w:w="268"/>
        <w:gridCol w:w="269"/>
        <w:gridCol w:w="109"/>
        <w:gridCol w:w="109"/>
        <w:gridCol w:w="126"/>
        <w:gridCol w:w="126"/>
        <w:gridCol w:w="285"/>
        <w:gridCol w:w="271"/>
        <w:gridCol w:w="127"/>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proceeds from issuance of 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578,418 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4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(548,066)</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29,571 </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29,317 </w:t>
            </w:r>
          </w:p>
        </w:tc>
        <w:tc>
          <w:tcPr>
            <w:tcW w:w="154"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8851" w:type="dxa"/>
        <w:jc w:val="center"/>
        <w:tblInd w:w="0" w:type="dxa"/>
        <w:tblLayout w:type="fixed"/>
        <w:tblCellMar>
          <w:top w:w="28" w:type="dxa"/>
          <w:left w:w="28" w:type="dxa"/>
          <w:bottom w:w="28" w:type="dxa"/>
          <w:right w:w="28" w:type="dxa"/>
        </w:tblCellMar>
      </w:tblPr>
      <w:tblGrid>
        <w:gridCol w:w="2181"/>
        <w:gridCol w:w="1921"/>
        <w:gridCol w:w="1927"/>
        <w:gridCol w:w="211"/>
        <w:gridCol w:w="796"/>
        <w:gridCol w:w="109"/>
        <w:gridCol w:w="109"/>
        <w:gridCol w:w="109"/>
        <w:gridCol w:w="109"/>
        <w:gridCol w:w="211"/>
        <w:gridCol w:w="796"/>
        <w:gridCol w:w="109"/>
        <w:gridCol w:w="109"/>
        <w:gridCol w:w="154"/>
      </w:tblGrid>
      <w:tr>
        <w:trPr/>
        <w:tc>
          <w:tcPr>
            <w:tcW w:w="218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Amortization/accretion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Impilo Therapeutics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on net share settlement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issuance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val="false"/>
          <w:color w:val="000000"/>
          <w:sz w:val="18"/>
        </w:rPr>
        <w:t>See accompanying notes to consolidated 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 – Description of Business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Lisata Therapeutics, Inc. (together with its subsidiaries, the “Company”) is a clinical-stage pharmaceutical company dedicated to the discovery, development, and commercialization of innovative therapies for the treatment of solid tumors and other major diseases. The Company's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The Company and its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The Company's goal is to develop and commercialize products that address important unmet medical needs. </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and accompanying notes have been prepared in accordance with accounting principles generally accepted in the United States of America (“U.S. GAAP”).</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the research and development of its investigational drug product. The Company's Chief Operating Decision Maker (“CODM”) is its Chief Executive Officer, who manages the business on a consolidated basis.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In December 2023, the Financial Accounting Standards Board (“FASB”) issued Accounting Standards Update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which requires public entities, on an annual basis, to provide disclosure of specific categories in the rate reconciliation, as well as disclosure of income taxes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disaggregated by jurisdiction. ASU 2023-09 is effective for fiscal years beginning after December 15, 2024, with early adoption permitted. The Company is currently evaluating the impact of adopting ASU 2023-09.</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These amendments were effective for the Company in 2024 and retrospectively to all prior periods using the significant segment expense categories identified. The impact of the adoption of the amendments in this update was not material to the Company’s consolidated financial position and results of operations, as the requirements impact only segment reporting disclosures in the footnotes to the Company’s consolidated financial statements. See Note 12 Segment Information in the accompanying notes to the consolidated financial statements for further detail.</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accounts receivable and marketable securities. Under its investment policy, the Company limits amounts invested in such securities by credit rating, maturity, industry group, investment type and issuer, except for securities issued by the U.S. government, thereby reducing credit risk exposure. Cash is held at major banks in the United States and may exceed federally insured limits. The Company does not believe that it is subject to unusual credit risk beyond the normal credit risk associated with commercial banking relationships. The goals of the Company's investment policy, in order of priority, are as follows: safety and preservation of principal and diversification of risk, liquidity of investments sufficient to meet cash flow requirements, and a competitive after-tax rate of return. The Company’s accounts receivable balance as of December 31, 2024, is derived from its license agreement dated November 30, 2024, more fully described in Note 17. The Company had no accounts receivable as of December 31, 2023. The Company has no significant off-balance sheet concentrations of credit risk, such as foreign currency exchange contracts, option contracts, or other hedging arrangements.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is stated at historical cost, less allowance for credit losses. The Company records an expense based on a forward-looking current expected credit loss model to maintain its allowance for credit losses, which replaced the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doubtful accounts. When determining its allowance for trade accounts receivable, the Company considers the probability of recoverability of accounts receivable based on experience, taking into account current collection trends and general economic factors, including bankruptcy rates. The Company also considers future economic trends to estimate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losses over the lifetime of the asset. Credit risks are assessed based on historical write-offs, net of recoveries, as well as an analysis of the aged accounts receivable balances with allowances generally increasing as the receivable ages. Accounts receivable may be fully reserved for when specific collection issues are known to exist, such as pending bankruptcies. Account balances are written off against the allowance when it is determined that the receivable will not be recovered. As of December 31, 2024 and 2023, there was no allowance for credit losses.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that are not the result of credit losses,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credit losses recognized through an allowance for credit losses,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5024" w:type="dxa"/>
        <w:jc w:val="center"/>
        <w:tblInd w:w="0" w:type="dxa"/>
        <w:tblLayout w:type="fixed"/>
        <w:tblCellMar>
          <w:top w:w="28" w:type="dxa"/>
          <w:left w:w="28" w:type="dxa"/>
          <w:bottom w:w="28" w:type="dxa"/>
          <w:right w:w="28" w:type="dxa"/>
        </w:tblCellMar>
      </w:tblPr>
      <w:tblGrid>
        <w:gridCol w:w="781"/>
        <w:gridCol w:w="687"/>
        <w:gridCol w:w="691"/>
        <w:gridCol w:w="838"/>
        <w:gridCol w:w="838"/>
        <w:gridCol w:w="118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common shares issued and outstanding and is calculated by dividing net loss attributable to common stockholders by the weighted average shares outstanding during the period.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 years. Amortization expense was $71 thousand and $71 thousand for the years ended December 31, 2024 and December 31, 2023, respectively. The intangible asset is reviewed for potential impairment when events or circumstances indicate that carrying amounts may not be recoverable. The projected amortization expense is $71 thousand per year for the next 2.75 years.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time, the appropriate method of measuring progress for purposes of recognizing revenue. The Company recognized revenue of $1.0 million and $0.0 million for the years ended December 31, 2024 and 2023, respectively.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years ended December 31, 2024 and 2023 the Company has not recognized revenue related to milestones.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Available-for-Sale-Securities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the Company's Consolidated Balance Sheets (in thousands):</w:t>
      </w:r>
    </w:p>
    <w:tbl>
      <w:tblPr>
        <w:tblW w:w="11153" w:type="dxa"/>
        <w:jc w:val="center"/>
        <w:tblInd w:w="0" w:type="dxa"/>
        <w:tblLayout w:type="fixed"/>
        <w:tblCellMar>
          <w:top w:w="28" w:type="dxa"/>
          <w:left w:w="28" w:type="dxa"/>
          <w:bottom w:w="28" w:type="dxa"/>
          <w:right w:w="28" w:type="dxa"/>
        </w:tblCellMar>
      </w:tblPr>
      <w:tblGrid>
        <w:gridCol w:w="517"/>
        <w:gridCol w:w="296"/>
        <w:gridCol w:w="298"/>
        <w:gridCol w:w="211"/>
        <w:gridCol w:w="721"/>
        <w:gridCol w:w="109"/>
        <w:gridCol w:w="109"/>
        <w:gridCol w:w="109"/>
        <w:gridCol w:w="109"/>
        <w:gridCol w:w="257"/>
        <w:gridCol w:w="495"/>
        <w:gridCol w:w="134"/>
        <w:gridCol w:w="109"/>
        <w:gridCol w:w="109"/>
        <w:gridCol w:w="109"/>
        <w:gridCol w:w="316"/>
        <w:gridCol w:w="406"/>
        <w:gridCol w:w="164"/>
        <w:gridCol w:w="109"/>
        <w:gridCol w:w="109"/>
        <w:gridCol w:w="109"/>
        <w:gridCol w:w="211"/>
        <w:gridCol w:w="721"/>
        <w:gridCol w:w="109"/>
        <w:gridCol w:w="109"/>
        <w:gridCol w:w="109"/>
        <w:gridCol w:w="109"/>
        <w:gridCol w:w="211"/>
        <w:gridCol w:w="721"/>
        <w:gridCol w:w="109"/>
        <w:gridCol w:w="109"/>
        <w:gridCol w:w="109"/>
        <w:gridCol w:w="109"/>
        <w:gridCol w:w="324"/>
        <w:gridCol w:w="393"/>
        <w:gridCol w:w="169"/>
        <w:gridCol w:w="109"/>
        <w:gridCol w:w="109"/>
        <w:gridCol w:w="109"/>
        <w:gridCol w:w="316"/>
        <w:gridCol w:w="406"/>
        <w:gridCol w:w="164"/>
        <w:gridCol w:w="109"/>
        <w:gridCol w:w="109"/>
        <w:gridCol w:w="109"/>
        <w:gridCol w:w="211"/>
        <w:gridCol w:w="721"/>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5231" w:type="dxa"/>
        <w:jc w:val="center"/>
        <w:tblInd w:w="0" w:type="dxa"/>
        <w:tblLayout w:type="fixed"/>
        <w:tblCellMar>
          <w:top w:w="28" w:type="dxa"/>
          <w:left w:w="28" w:type="dxa"/>
          <w:bottom w:w="28" w:type="dxa"/>
          <w:right w:w="28" w:type="dxa"/>
        </w:tblCellMar>
      </w:tblPr>
      <w:tblGrid>
        <w:gridCol w:w="673"/>
        <w:gridCol w:w="592"/>
        <w:gridCol w:w="594"/>
        <w:gridCol w:w="304"/>
        <w:gridCol w:w="1039"/>
        <w:gridCol w:w="157"/>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portfolio of available-for-sale securities by contractual maturity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8657"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34"/>
        <w:gridCol w:w="1143"/>
        <w:gridCol w:w="172"/>
        <w:gridCol w:w="109"/>
        <w:gridCol w:w="109"/>
        <w:gridCol w:w="109"/>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4419" w:type="dxa"/>
        <w:jc w:val="center"/>
        <w:tblInd w:w="0" w:type="dxa"/>
        <w:tblLayout w:type="fixed"/>
        <w:tblCellMar>
          <w:top w:w="28" w:type="dxa"/>
          <w:left w:w="28" w:type="dxa"/>
          <w:bottom w:w="28" w:type="dxa"/>
          <w:right w:w="28" w:type="dxa"/>
        </w:tblCellMar>
      </w:tblPr>
      <w:tblGrid>
        <w:gridCol w:w="934"/>
        <w:gridCol w:w="820"/>
        <w:gridCol w:w="826"/>
        <w:gridCol w:w="211"/>
        <w:gridCol w:w="361"/>
        <w:gridCol w:w="109"/>
        <w:gridCol w:w="109"/>
        <w:gridCol w:w="109"/>
        <w:gridCol w:w="109"/>
        <w:gridCol w:w="211"/>
        <w:gridCol w:w="46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$0.1 million and $0.1 million for the years ended December 31, 2024 and 2023, respectively.</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Income (Loss) Per Share</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For the years ended December 31, 2024 and 2023, the Company incurred net losses and therefore no common stock equivalents were utilized in the calculation of diluted </w:t>
      </w:r>
      <w:r>
        <w:rPr>
          <w:rFonts w:ascii="Times New Roman;sans-serif" w:hAnsi="Times New Roman;sans-serif"/>
          <w:b w:val="false"/>
          <w:color w:val="000000"/>
          <w:sz w:val="20"/>
          <w:shd w:fill="FFFFFF" w:val="clear"/>
        </w:rPr>
        <w:t>loss per share a</w:t>
      </w:r>
      <w:r>
        <w:rPr>
          <w:rFonts w:ascii="Times New Roman;sans-serif" w:hAnsi="Times New Roman;sans-serif"/>
          <w:b w:val="false"/>
          <w:color w:val="000000"/>
          <w:sz w:val="20"/>
        </w:rPr>
        <w:t>s they are anti-dilutive in the periods presented. At December 31, 2024 and 2023, the Company excluded the following potentially dilutive securities (in thousands):</w:t>
      </w:r>
    </w:p>
    <w:tbl>
      <w:tblPr>
        <w:tblW w:w="4045"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21"/>
        <w:gridCol w:w="121"/>
        <w:gridCol w:w="121"/>
        <w:gridCol w:w="308"/>
        <w:gridCol w:w="308"/>
        <w:gridCol w:w="156"/>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Fair Value Measurements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December 31, 2024 and December 31, 2023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10705" w:type="dxa"/>
        <w:jc w:val="center"/>
        <w:tblInd w:w="0" w:type="dxa"/>
        <w:tblLayout w:type="fixed"/>
        <w:tblCellMar>
          <w:top w:w="28" w:type="dxa"/>
          <w:left w:w="28" w:type="dxa"/>
          <w:bottom w:w="28" w:type="dxa"/>
          <w:right w:w="28" w:type="dxa"/>
        </w:tblCellMar>
      </w:tblPr>
      <w:tblGrid>
        <w:gridCol w:w="330"/>
        <w:gridCol w:w="291"/>
        <w:gridCol w:w="295"/>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accounts receivable, accounts payable and accrued expenses approximate fair value at December 31, 2024 and December 31, 2023, due to the short maturity nature of these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Note 7 – Accrued Liabilities </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were as follow (in thousands):</w:t>
      </w:r>
    </w:p>
    <w:tbl>
      <w:tblPr>
        <w:tblW w:w="5978" w:type="dxa"/>
        <w:jc w:val="left"/>
        <w:tblInd w:w="0" w:type="dxa"/>
        <w:tblLayout w:type="fixed"/>
        <w:tblCellMar>
          <w:top w:w="28" w:type="dxa"/>
          <w:left w:w="28" w:type="dxa"/>
          <w:bottom w:w="28" w:type="dxa"/>
          <w:right w:w="28" w:type="dxa"/>
        </w:tblCellMar>
      </w:tblPr>
      <w:tblGrid>
        <w:gridCol w:w="1351"/>
        <w:gridCol w:w="1187"/>
        <w:gridCol w:w="1196"/>
        <w:gridCol w:w="211"/>
        <w:gridCol w:w="616"/>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&amp; tax consulting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Operating Leases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operating lease for one office which expires in 2025. The Company estimates its incremental borrowing rate at lease commencement to determine the present value of lease payments as the Company's lease does not provide an implicit rate of return. The Company recognizes lease expense on a straight-line basis over the lease term. For lease agreements entered into or reassessed after the adoption of ASU No. 2016-02, Leases (Topic 842), the Company elected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the Company's balance sheet as follows (in thousands):</w:t>
      </w:r>
    </w:p>
    <w:tbl>
      <w:tblPr>
        <w:tblW w:w="5848" w:type="dxa"/>
        <w:jc w:val="left"/>
        <w:tblInd w:w="0" w:type="dxa"/>
        <w:tblLayout w:type="fixed"/>
        <w:tblCellMar>
          <w:top w:w="28" w:type="dxa"/>
          <w:left w:w="28" w:type="dxa"/>
          <w:bottom w:w="28" w:type="dxa"/>
          <w:right w:w="28" w:type="dxa"/>
        </w:tblCellMar>
      </w:tblPr>
      <w:tblGrid>
        <w:gridCol w:w="1016"/>
        <w:gridCol w:w="892"/>
        <w:gridCol w:w="896"/>
        <w:gridCol w:w="401"/>
        <w:gridCol w:w="888"/>
        <w:gridCol w:w="210"/>
        <w:gridCol w:w="392"/>
        <w:gridCol w:w="866"/>
        <w:gridCol w:w="287"/>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49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40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9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8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weighted average remaining lease term for the Company's operating lease was 0.75 years, and the weighted average discount rate for the Company's operating lease was 9.625%. As of December 31, 2023, the weighted average remaining lease term for the Company's operating leases was 1.75 years, and the weighted average discount rate for the Company's operating leases was 9.625%.</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December 31, 2024 were as follows (in thousands):</w:t>
      </w:r>
    </w:p>
    <w:tbl>
      <w:tblPr>
        <w:tblW w:w="4500" w:type="dxa"/>
        <w:jc w:val="left"/>
        <w:tblInd w:w="0" w:type="dxa"/>
        <w:tblLayout w:type="fixed"/>
        <w:tblCellMar>
          <w:top w:w="28" w:type="dxa"/>
          <w:left w:w="28" w:type="dxa"/>
          <w:bottom w:w="28" w:type="dxa"/>
          <w:right w:w="28" w:type="dxa"/>
        </w:tblCellMar>
      </w:tblPr>
      <w:tblGrid>
        <w:gridCol w:w="1091"/>
        <w:gridCol w:w="958"/>
        <w:gridCol w:w="966"/>
        <w:gridCol w:w="376"/>
        <w:gridCol w:w="833"/>
        <w:gridCol w:w="276"/>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288"/>
        <w:jc w:val="both"/>
        <w:rPr/>
      </w:pPr>
      <w:r>
        <w:rPr/>
      </w:r>
    </w:p>
    <w:p>
      <w:pPr>
        <w:pStyle w:val="TextBody"/>
        <w:bidi w:val="0"/>
        <w:spacing w:before="0" w:after="160"/>
        <w:ind w:left="0" w:right="0" w:firstLine="288"/>
        <w:jc w:val="both"/>
        <w:rPr/>
      </w:pPr>
      <w:r>
        <w:rPr/>
      </w:r>
    </w:p>
    <w:p>
      <w:pPr>
        <w:pStyle w:val="TextBody"/>
        <w:bidi w:val="0"/>
        <w:spacing w:before="0" w:after="160"/>
        <w:ind w:left="0" w:right="0" w:firstLine="288"/>
        <w:jc w:val="both"/>
        <w:rPr/>
      </w:pPr>
      <w:r>
        <w:rPr/>
      </w:r>
    </w:p>
    <w:p>
      <w:pPr>
        <w:pStyle w:val="TextBody"/>
        <w:bidi w:val="0"/>
        <w:spacing w:before="0" w:after="160"/>
        <w:ind w:left="0" w:right="0" w:firstLine="288"/>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Plans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used long-term incentive plans for the purpose of granting equity awards to employees of the Company, including officers, and nonemployees, including consultants and nonemployee members of the Company's board of directors (collectively, the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2018 Equity Incentive Compensation Plan (the “2018 Plan”), as adopted by the stockholders of the Company in June 2018, and subsequently increased by the stockholders of the Company in June 2024 with 600,000 shares authorized for issuance thereunder and in June 2023 with 400,000 shares authorized for issuance thereunder and in September 2022 with 333,333 shares authorized for issuance thereunder and in June 2021 with 400,000 shares authorized for issuance thereunder and in June of 2020 with 166,667 shares authorized for issuance thereunder, plus any shares awarded under the 2015 Equity Compensation Plan (the “2015 Plan”) or the Amended and Restated 2009 Equity Compensation Plan (the “2009 Plan”) that are not issued due to their subsequent forfeiture, cancellation, or other settlement thereof. Concurrent with the adoption of the 2018 Plan, no future awards will occur under the 2015 Plan or the 2009 Plan. The awards that may be made under the 2018 Plan include: (a) incentive stock options and nonqualified stock options, (b) shares of restricted stock, (c) restricted stock units, and (d) other kinds of equity-based compensation awards. All stock options under the 2015 Plan and 2009 Plan were granted and the 2018 Plan are granted at the fair market value of the common stock at the grant date. Stock options vest either on the date of grant, ratably over a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at time of grant (typically over 3 years) or upon the accomplishment of specified business milestones, and generally expire 2, 3, or 10 years from the grant date depending on the status of the recipient as a nonemployee, employee or director of the Company. As of December 31, 2024 and 2023 there were 744,514 shares and 593,141 shares, respectively available for future grants under the 2018 Plan. No additional awards may be made under the 2015 Plan or the 2009 Plan.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an employee stock purchase plan effective January 1, 2013 and authorized 3,333 shares under the plan (the “2012 ESPP”). The plan has two six-month offering periods per year under which eligible employees may contribute up to 15% of their compensation toward the purchase of the Company's common stock per offering period (with a $25,000 fair market value cap per calendar year). The employee's purchase price is equal to (i) 85% of the closing price of a share of the Company's common stock on the enrollment date of such offering period or (ii) 85% of the closing price of a share of the Company's common stock on the Exercise Date of such Offering Period, whichever is lower. In May 2017, the Company's stockholders approved an amendment and restatement to the 2012 ESPP (the “2017 ESPP”) in order to effect an increase of authorized shares from 3,333 to 6,667. In June 2018, the Company's stockholders approved an amendment to the 2017 ESPP (the “Amended 2017 ESPP”) in order to effect an increase of authorized shares from 6,667 to 33,333. In June 2023, the Company's stockholders approved an amendment to the Amended 2017 ESPP in order to effect an increase of authorized shares from 33,333 to 68,333. In June 2024, the Company's stockholders approved an amendment to the Amended 2017 ESPP in order to effect an increase of authorized shares from 68,333 to 113,333.</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23,790 shares were issued under the Amended 2017 ESPP. At December 31, 2024 and 2023, the Company had 43,121 shares and 21,911 shares, respectively of the Company's common stock available for future grant in connection with this plan.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bidi w:val="0"/>
        <w:spacing w:lineRule="auto" w:line="288" w:before="0" w:after="160"/>
        <w:jc w:val="both"/>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At The Market Offering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a prospectus supplement to the Company's Registration Statement on Form S-3 (File No. 333-279034) relating to the at the market offering on August 21, 2024, the aggregate market value of its outstanding common stock held by non-affiliates was approximately $29.6 million. Pursuant to the Baby Shelf Limitation, since the aggregate market value of the Company's outstanding common stock held by non-affiliates was below $75.0 million at the time of such prospectus supplement filing, the aggregate amount of securities that the Company is permitted to offer and sell as of the date of this Annual Report on Form 10-K, is $9,855,890, which is equal to one-third of the aggregate market value of our common stock held by non-affiliates as of August 20, 2024. If the Company’s public float exceeds $75.0 million on a future measurement date, it will no longer be subject to the Baby Shelf Limitation. During the twelve months ended December 31, 2024, the Company issued 3,779 shares of common stock under the ATM Agreement for net proceeds of $10,074. Since inception through December 31, 2024, the Company has issued 68,173 shares of common stock under the ATM Agreement for net proceeds of $280,848.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stock options and warrants for the year ended December 31, 2024:</w:t>
      </w:r>
    </w:p>
    <w:tbl>
      <w:tblPr>
        <w:tblW w:w="10740" w:type="dxa"/>
        <w:jc w:val="center"/>
        <w:tblInd w:w="0" w:type="dxa"/>
        <w:tblLayout w:type="fixed"/>
        <w:tblCellMar>
          <w:top w:w="28" w:type="dxa"/>
          <w:left w:w="28" w:type="dxa"/>
          <w:bottom w:w="28" w:type="dxa"/>
          <w:right w:w="28" w:type="dxa"/>
        </w:tblCellMar>
      </w:tblPr>
      <w:tblGrid>
        <w:gridCol w:w="348"/>
        <w:gridCol w:w="306"/>
        <w:gridCol w:w="307"/>
        <w:gridCol w:w="435"/>
        <w:gridCol w:w="436"/>
        <w:gridCol w:w="186"/>
        <w:gridCol w:w="109"/>
        <w:gridCol w:w="109"/>
        <w:gridCol w:w="109"/>
        <w:gridCol w:w="196"/>
        <w:gridCol w:w="646"/>
        <w:gridCol w:w="109"/>
        <w:gridCol w:w="109"/>
        <w:gridCol w:w="109"/>
        <w:gridCol w:w="109"/>
        <w:gridCol w:w="300"/>
        <w:gridCol w:w="300"/>
        <w:gridCol w:w="301"/>
        <w:gridCol w:w="109"/>
        <w:gridCol w:w="109"/>
        <w:gridCol w:w="109"/>
        <w:gridCol w:w="196"/>
        <w:gridCol w:w="556"/>
        <w:gridCol w:w="109"/>
        <w:gridCol w:w="109"/>
        <w:gridCol w:w="109"/>
        <w:gridCol w:w="109"/>
        <w:gridCol w:w="435"/>
        <w:gridCol w:w="436"/>
        <w:gridCol w:w="186"/>
        <w:gridCol w:w="109"/>
        <w:gridCol w:w="109"/>
        <w:gridCol w:w="109"/>
        <w:gridCol w:w="196"/>
        <w:gridCol w:w="556"/>
        <w:gridCol w:w="109"/>
        <w:gridCol w:w="109"/>
        <w:gridCol w:w="109"/>
        <w:gridCol w:w="109"/>
        <w:gridCol w:w="300"/>
        <w:gridCol w:w="300"/>
        <w:gridCol w:w="301"/>
        <w:gridCol w:w="109"/>
        <w:gridCol w:w="109"/>
        <w:gridCol w:w="109"/>
        <w:gridCol w:w="233"/>
        <w:gridCol w:w="483"/>
        <w:gridCol w:w="185"/>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1,322,501 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2024</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1,440,535 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December 31, 2024 or expected to vest in the future</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1,435,185 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1,496,744 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Exercisable at December 31, 2024</w:t>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1,273,147 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 Company issued restricted stock for services as follows ($ in thousands, except share data):</w:t>
      </w:r>
    </w:p>
    <w:tbl>
      <w:tblPr>
        <w:tblW w:w="5048" w:type="dxa"/>
        <w:jc w:val="center"/>
        <w:tblInd w:w="0" w:type="dxa"/>
        <w:tblLayout w:type="fixed"/>
        <w:tblCellMar>
          <w:top w:w="28" w:type="dxa"/>
          <w:left w:w="28" w:type="dxa"/>
          <w:bottom w:w="28" w:type="dxa"/>
          <w:right w:w="28" w:type="dxa"/>
        </w:tblCellMar>
      </w:tblPr>
      <w:tblGrid>
        <w:gridCol w:w="1014"/>
        <w:gridCol w:w="892"/>
        <w:gridCol w:w="898"/>
        <w:gridCol w:w="211"/>
        <w:gridCol w:w="616"/>
        <w:gridCol w:w="109"/>
        <w:gridCol w:w="109"/>
        <w:gridCol w:w="109"/>
        <w:gridCol w:w="109"/>
        <w:gridCol w:w="211"/>
        <w:gridCol w:w="61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restricted stock issued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 of restricted stock issued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estimated fair value of restricted stock issued for services in the years ended December 31, 2024 and 2023 was $3.08 and $3.00 per share, respectively. The fair value of the restricted stock was determined using the Company’s closing stock price on the date of issuance. The vesting terms of restricted stock issuances are generally between one and four years.</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for the year ended December 31, 2024:</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203,800 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2024</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228,428 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the Company issued restricted stock units for services as follows ($ in thousands, except share data):</w:t>
      </w:r>
    </w:p>
    <w:tbl>
      <w:tblPr>
        <w:tblW w:w="5498" w:type="dxa"/>
        <w:jc w:val="center"/>
        <w:tblInd w:w="0" w:type="dxa"/>
        <w:tblLayout w:type="fixed"/>
        <w:tblCellMar>
          <w:top w:w="28" w:type="dxa"/>
          <w:left w:w="28" w:type="dxa"/>
          <w:bottom w:w="28" w:type="dxa"/>
          <w:right w:w="28" w:type="dxa"/>
        </w:tblCellMar>
      </w:tblPr>
      <w:tblGrid>
        <w:gridCol w:w="1177"/>
        <w:gridCol w:w="1035"/>
        <w:gridCol w:w="1042"/>
        <w:gridCol w:w="211"/>
        <w:gridCol w:w="616"/>
        <w:gridCol w:w="109"/>
        <w:gridCol w:w="109"/>
        <w:gridCol w:w="109"/>
        <w:gridCol w:w="109"/>
        <w:gridCol w:w="211"/>
        <w:gridCol w:w="61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restricted stock units issued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 of restricted stock units issued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units issued for services in the years ended December 31, 2024 and 2023 was $3.08 and $3.00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units for the year ended December 31, 2024:</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205,300 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2024</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103,800 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Share-Based Compensation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share-based compensation in the form of stock options, restricted stock, restricted stock units and warrants. The following table summarizes the components of share-based compensation expense for the years ended December 31, 2024 and 2023 ($ in thousands):</w:t>
      </w:r>
    </w:p>
    <w:tbl>
      <w:tblPr>
        <w:tblW w:w="5897" w:type="dxa"/>
        <w:jc w:val="center"/>
        <w:tblInd w:w="0" w:type="dxa"/>
        <w:tblLayout w:type="fixed"/>
        <w:tblCellMar>
          <w:top w:w="28" w:type="dxa"/>
          <w:left w:w="28" w:type="dxa"/>
          <w:bottom w:w="28" w:type="dxa"/>
          <w:right w:w="28" w:type="dxa"/>
        </w:tblCellMar>
      </w:tblPr>
      <w:tblGrid>
        <w:gridCol w:w="1245"/>
        <w:gridCol w:w="1092"/>
        <w:gridCol w:w="1098"/>
        <w:gridCol w:w="211"/>
        <w:gridCol w:w="616"/>
        <w:gridCol w:w="109"/>
        <w:gridCol w:w="109"/>
        <w:gridCol w:w="109"/>
        <w:gridCol w:w="109"/>
        <w:gridCol w:w="211"/>
        <w:gridCol w:w="616"/>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modified the exercise period of approximately 186,600 shares of one terminated employee's vested stock options and immediately recognized approximately $258 thousand incremental stock-based compensation during the year ended December 31, 2023. There were no modifications for the year ended December 31, 2024.</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are expected to be recognized at December 31, 2024 were as follows ($ in thousands):</w:t>
      </w:r>
    </w:p>
    <w:tbl>
      <w:tblPr>
        <w:tblW w:w="10205" w:type="dxa"/>
        <w:jc w:val="center"/>
        <w:tblInd w:w="0" w:type="dxa"/>
        <w:tblLayout w:type="fixed"/>
        <w:tblCellMar>
          <w:top w:w="28" w:type="dxa"/>
          <w:left w:w="28" w:type="dxa"/>
          <w:bottom w:w="28" w:type="dxa"/>
          <w:right w:w="28" w:type="dxa"/>
        </w:tblCellMar>
      </w:tblPr>
      <w:tblGrid>
        <w:gridCol w:w="1770"/>
        <w:gridCol w:w="1446"/>
        <w:gridCol w:w="1453"/>
        <w:gridCol w:w="277"/>
        <w:gridCol w:w="612"/>
        <w:gridCol w:w="142"/>
        <w:gridCol w:w="109"/>
        <w:gridCol w:w="109"/>
        <w:gridCol w:w="109"/>
        <w:gridCol w:w="447"/>
        <w:gridCol w:w="766"/>
        <w:gridCol w:w="233"/>
        <w:gridCol w:w="109"/>
        <w:gridCol w:w="109"/>
        <w:gridCol w:w="109"/>
        <w:gridCol w:w="248"/>
        <w:gridCol w:w="478"/>
        <w:gridCol w:w="130"/>
        <w:gridCol w:w="109"/>
        <w:gridCol w:w="109"/>
        <w:gridCol w:w="109"/>
        <w:gridCol w:w="308"/>
        <w:gridCol w:w="682"/>
        <w:gridCol w:w="232"/>
      </w:tblGrid>
      <w:tr>
        <w:trPr/>
        <w:tc>
          <w:tcPr>
            <w:tcW w:w="177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r>
          </w:p>
        </w:tc>
      </w:tr>
      <w:tr>
        <w:trPr/>
        <w:tc>
          <w:tcPr>
            <w:tcW w:w="4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compensation cost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r>
    </w:tbl>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years ended December 31, 2024 and 2023 were as follows ($ in thousands):</w:t>
      </w:r>
    </w:p>
    <w:tbl>
      <w:tblPr>
        <w:tblW w:w="10033" w:type="dxa"/>
        <w:jc w:val="center"/>
        <w:tblInd w:w="0" w:type="dxa"/>
        <w:tblLayout w:type="fixed"/>
        <w:tblCellMar>
          <w:top w:w="28" w:type="dxa"/>
          <w:left w:w="28" w:type="dxa"/>
          <w:bottom w:w="28" w:type="dxa"/>
          <w:right w:w="28" w:type="dxa"/>
        </w:tblCellMar>
      </w:tblPr>
      <w:tblGrid>
        <w:gridCol w:w="1678"/>
        <w:gridCol w:w="1471"/>
        <w:gridCol w:w="1485"/>
        <w:gridCol w:w="109"/>
        <w:gridCol w:w="109"/>
        <w:gridCol w:w="109"/>
        <w:gridCol w:w="211"/>
        <w:gridCol w:w="466"/>
        <w:gridCol w:w="109"/>
        <w:gridCol w:w="109"/>
        <w:gridCol w:w="109"/>
        <w:gridCol w:w="109"/>
        <w:gridCol w:w="211"/>
        <w:gridCol w:w="616"/>
        <w:gridCol w:w="109"/>
        <w:gridCol w:w="109"/>
        <w:gridCol w:w="109"/>
        <w:gridCol w:w="109"/>
        <w:gridCol w:w="109"/>
        <w:gridCol w:w="109"/>
        <w:gridCol w:w="109"/>
        <w:gridCol w:w="109"/>
        <w:gridCol w:w="211"/>
        <w:gridCol w:w="406"/>
        <w:gridCol w:w="109"/>
        <w:gridCol w:w="109"/>
        <w:gridCol w:w="109"/>
        <w:gridCol w:w="109"/>
        <w:gridCol w:w="211"/>
        <w:gridCol w:w="406"/>
        <w:gridCol w:w="109"/>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w:t>
            </w:r>
          </w:p>
        </w:tc>
        <w:tc>
          <w:tcPr>
            <w:tcW w:w="481" w:type="dxa"/>
            <w:gridSpan w:val="4"/>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Valuation Assumptions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range of assumptions made in calculating the fair values of stock options was as follows:</w:t>
      </w:r>
    </w:p>
    <w:tbl>
      <w:tblPr>
        <w:tblW w:w="6076" w:type="dxa"/>
        <w:jc w:val="left"/>
        <w:tblInd w:w="0" w:type="dxa"/>
        <w:tblLayout w:type="fixed"/>
        <w:tblCellMar>
          <w:top w:w="28" w:type="dxa"/>
          <w:left w:w="28" w:type="dxa"/>
          <w:bottom w:w="28" w:type="dxa"/>
          <w:right w:w="28" w:type="dxa"/>
        </w:tblCellMar>
      </w:tblPr>
      <w:tblGrid>
        <w:gridCol w:w="1102"/>
        <w:gridCol w:w="968"/>
        <w:gridCol w:w="974"/>
        <w:gridCol w:w="235"/>
        <w:gridCol w:w="235"/>
        <w:gridCol w:w="235"/>
        <w:gridCol w:w="235"/>
        <w:gridCol w:w="235"/>
        <w:gridCol w:w="235"/>
        <w:gridCol w:w="235"/>
        <w:gridCol w:w="235"/>
        <w:gridCol w:w="235"/>
        <w:gridCol w:w="109"/>
        <w:gridCol w:w="109"/>
        <w:gridCol w:w="109"/>
        <w:gridCol w:w="109"/>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 minimum (in years)</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 maximum (in years)</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 minimum</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 maximum</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 minimum</w:t>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 maximum</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Income Taxes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is based on loss from operations before provision for income taxes and noncontrolling interests as follows ($ in thousands):</w:t>
      </w:r>
    </w:p>
    <w:tbl>
      <w:tblPr>
        <w:tblW w:w="4622" w:type="dxa"/>
        <w:jc w:val="center"/>
        <w:tblInd w:w="0" w:type="dxa"/>
        <w:tblLayout w:type="fixed"/>
        <w:tblCellMar>
          <w:top w:w="28" w:type="dxa"/>
          <w:left w:w="28" w:type="dxa"/>
          <w:bottom w:w="28" w:type="dxa"/>
          <w:right w:w="28" w:type="dxa"/>
        </w:tblCellMar>
      </w:tblPr>
      <w:tblGrid>
        <w:gridCol w:w="651"/>
        <w:gridCol w:w="572"/>
        <w:gridCol w:w="577"/>
        <w:gridCol w:w="211"/>
        <w:gridCol w:w="796"/>
        <w:gridCol w:w="109"/>
        <w:gridCol w:w="109"/>
        <w:gridCol w:w="109"/>
        <w:gridCol w:w="109"/>
        <w:gridCol w:w="211"/>
        <w:gridCol w:w="796"/>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book income</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91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from income taxes was as follows ($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4348" w:type="dxa"/>
        <w:jc w:val="left"/>
        <w:tblInd w:w="0" w:type="dxa"/>
        <w:tblLayout w:type="fixed"/>
        <w:tblCellMar>
          <w:top w:w="28" w:type="dxa"/>
          <w:left w:w="28" w:type="dxa"/>
          <w:bottom w:w="28" w:type="dxa"/>
          <w:right w:w="28" w:type="dxa"/>
        </w:tblCellMar>
      </w:tblPr>
      <w:tblGrid>
        <w:gridCol w:w="564"/>
        <w:gridCol w:w="496"/>
        <w:gridCol w:w="499"/>
        <w:gridCol w:w="109"/>
        <w:gridCol w:w="109"/>
        <w:gridCol w:w="109"/>
        <w:gridCol w:w="211"/>
        <w:gridCol w:w="541"/>
        <w:gridCol w:w="109"/>
        <w:gridCol w:w="109"/>
        <w:gridCol w:w="109"/>
        <w:gridCol w:w="109"/>
        <w:gridCol w:w="211"/>
        <w:gridCol w:w="691"/>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U.S. Federal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U.S. Federal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U.S. Federal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(benefit) for income taxes is determined by applying the U.S. Federal statutory rate of 21% to income before income taxes, and the components are set forth below ($ in thousands): </w:t>
      </w:r>
    </w:p>
    <w:tbl>
      <w:tblPr>
        <w:tblW w:w="7033" w:type="dxa"/>
        <w:jc w:val="center"/>
        <w:tblInd w:w="0" w:type="dxa"/>
        <w:tblLayout w:type="fixed"/>
        <w:tblCellMar>
          <w:top w:w="28" w:type="dxa"/>
          <w:left w:w="28" w:type="dxa"/>
          <w:bottom w:w="28" w:type="dxa"/>
          <w:right w:w="28" w:type="dxa"/>
        </w:tblCellMar>
      </w:tblPr>
      <w:tblGrid>
        <w:gridCol w:w="1480"/>
        <w:gridCol w:w="1305"/>
        <w:gridCol w:w="1309"/>
        <w:gridCol w:w="109"/>
        <w:gridCol w:w="109"/>
        <w:gridCol w:w="109"/>
        <w:gridCol w:w="211"/>
        <w:gridCol w:w="691"/>
        <w:gridCol w:w="109"/>
        <w:gridCol w:w="109"/>
        <w:gridCol w:w="109"/>
        <w:gridCol w:w="109"/>
        <w:gridCol w:w="211"/>
        <w:gridCol w:w="691"/>
        <w:gridCol w:w="109"/>
        <w:gridCol w:w="109"/>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benefit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nondeductible expenses for U.S.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state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Return to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true 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 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New Jersey State NOLs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at December 31, 2024 and 2023 consist of the following ($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6740" w:type="dxa"/>
        <w:jc w:val="center"/>
        <w:tblInd w:w="0" w:type="dxa"/>
        <w:tblLayout w:type="fixed"/>
        <w:tblCellMar>
          <w:top w:w="28" w:type="dxa"/>
          <w:left w:w="28" w:type="dxa"/>
          <w:bottom w:w="28" w:type="dxa"/>
          <w:right w:w="28" w:type="dxa"/>
        </w:tblCellMar>
      </w:tblPr>
      <w:tblGrid>
        <w:gridCol w:w="1435"/>
        <w:gridCol w:w="1260"/>
        <w:gridCol w:w="1264"/>
        <w:gridCol w:w="109"/>
        <w:gridCol w:w="109"/>
        <w:gridCol w:w="109"/>
        <w:gridCol w:w="211"/>
        <w:gridCol w:w="721"/>
        <w:gridCol w:w="109"/>
        <w:gridCol w:w="109"/>
        <w:gridCol w:w="109"/>
        <w:gridCol w:w="109"/>
        <w:gridCol w:w="211"/>
        <w:gridCol w:w="72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net operating losses (tax effected)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approximately $57.9 million and $43.7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$34.0 million of remaining Federal NOLs as of December 31, 2022. The write-off of the deferred tax asset and the corresponding reduction in valuation allowance has no impact to the consolidated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Cend Therapeutics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wholly owned Australian subsidiary had approximately $2.3 million and $2.4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the Company had State NOLs available in New Jersey of $24.6 million and $19.4 million, respectively, California of $9.2 million and $9.2 million, respectively, and New York City of $1.9 million and $1.9 million, respectively, to offset future taxable income expiring from 2032 through 2044. The usage of the Company’s NOLs is limited given the change in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uncertain tax positions were $344 thousand and $344 thousand, respectively. The uncertain tax positions are due to the acquisition of Cend related to Federal and state credits and certain state 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is as follows:</w:t>
      </w:r>
    </w:p>
    <w:tbl>
      <w:tblPr>
        <w:tblW w:w="7954" w:type="dxa"/>
        <w:jc w:val="center"/>
        <w:tblInd w:w="0" w:type="dxa"/>
        <w:tblLayout w:type="fixed"/>
        <w:tblCellMar>
          <w:top w:w="28" w:type="dxa"/>
          <w:left w:w="28" w:type="dxa"/>
          <w:bottom w:w="28" w:type="dxa"/>
          <w:right w:w="28" w:type="dxa"/>
        </w:tblCellMar>
      </w:tblPr>
      <w:tblGrid>
        <w:gridCol w:w="1924"/>
        <w:gridCol w:w="1691"/>
        <w:gridCol w:w="1695"/>
        <w:gridCol w:w="109"/>
        <w:gridCol w:w="109"/>
        <w:gridCol w:w="109"/>
        <w:gridCol w:w="228"/>
        <w:gridCol w:w="504"/>
        <w:gridCol w:w="118"/>
        <w:gridCol w:w="118"/>
        <w:gridCol w:w="118"/>
        <w:gridCol w:w="118"/>
        <w:gridCol w:w="228"/>
        <w:gridCol w:w="504"/>
        <w:gridCol w:w="118"/>
        <w:gridCol w:w="109"/>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in statute of limitations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2021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5, 2023, the Company received final approval from NJEDA to sell $25.9 million of its NJ NOLs, which were subsequently sold to a qualifying and approved buyer pursuant to the Program for net proceeds of $2.2 million. The gross proceeds from the sale of the $2.3 million NJ NOLs related tax benefits (“NJ NOL Tax Benefits”), have been recorded as a benefit from income taxes and the loss on sale of the NJ NOL Tax Benefits of $0.1 million recorded in other income (expense) in the consolidated financial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4, 2024, the Company received final approval from the New Jersey Economic Development Authority (“NJEDA”) under the Technology Business Tax Certificate Transfer Program (“Program”) to sell $8.9 million of its New Jersey net operating losses (“NJ NOLs”), which were subsequently sold to a qualifying and approved buyer pursuant to the Program for net proceeds of $0.7 million. The sale of NJ NOLs resulted in a $0.8 million deferred income tax benefit and a loss on sale of $0.1 million recorded in other income (expense) in the consolidated financial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2024. The Company will continue to monitor the possible future impact of changes in tax legislation. </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12 – Segment Information</w:t>
      </w:r>
    </w:p>
    <w:p>
      <w:pPr>
        <w:pStyle w:val="TextBody"/>
        <w:bidi w:val="0"/>
        <w:spacing w:lineRule="auto" w:line="276"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operating segment, the research and development of its investigational drug product. The Company used the management approach to determine its reportable operating segment. The Company's Chief Operating Decision Maker ("CODM") is its Chief Executive Officer, who reviews financial information presented on a consolidated basis. The Company is a clinical-stage pharmaceutical company and has limited revenue associated with a license and collaboration agreement. The CODM uses net loss as a measure of profit and loss, and assesses Company performance through the achievement of its clinical development goals. The CODM is regularly provided with budgeted and forecasted expense information which is used to determine the Company’s liquidity needs and cash allocation to its development programs. The CODM uses cash and marketable securities as a measure of segment assets in managing the enterprise.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revenue of $1.0 million during the year ended December 31, 2024, related to its Exclusive License and Collaboration Agreement with Kuva Labs (Note 17) who is based in the United States . The Company had no revenue during the year ended December 31, 2023. Depreciation and amortization expense was $0.2 million and $0.2 million for the years ended December 31, 2024, and 2023, respectively. Equity method investment expense was $0.1 million for the year ended December 31, 2024. There was no equity method investment expense for the year ended December 31, 2023.</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our segment information for significant operating expenses and includes a reconciliation to net loss for the years ended December 31, 2024 and 2023:</w:t>
      </w:r>
    </w:p>
    <w:p>
      <w:pPr>
        <w:pStyle w:val="TextBody"/>
        <w:bidi w:val="0"/>
        <w:spacing w:before="0" w:after="160"/>
        <w:jc w:val="left"/>
        <w:rPr/>
      </w:pPr>
      <w:r>
        <w:rPr/>
      </w:r>
    </w:p>
    <w:tbl>
      <w:tblPr>
        <w:tblW w:w="8253" w:type="dxa"/>
        <w:jc w:val="left"/>
        <w:tblInd w:w="0" w:type="dxa"/>
        <w:tblLayout w:type="fixed"/>
        <w:tblCellMar>
          <w:top w:w="28" w:type="dxa"/>
          <w:left w:w="28" w:type="dxa"/>
          <w:bottom w:w="28" w:type="dxa"/>
          <w:right w:w="28" w:type="dxa"/>
        </w:tblCellMar>
      </w:tblPr>
      <w:tblGrid>
        <w:gridCol w:w="1873"/>
        <w:gridCol w:w="1642"/>
        <w:gridCol w:w="1660"/>
        <w:gridCol w:w="196"/>
        <w:gridCol w:w="721"/>
        <w:gridCol w:w="109"/>
        <w:gridCol w:w="109"/>
        <w:gridCol w:w="109"/>
        <w:gridCol w:w="109"/>
        <w:gridCol w:w="196"/>
        <w:gridCol w:w="721"/>
        <w:gridCol w:w="109"/>
        <w:gridCol w:w="109"/>
        <w:gridCol w:w="109"/>
        <w:gridCol w:w="109"/>
        <w:gridCol w:w="109"/>
        <w:gridCol w:w="109"/>
        <w:gridCol w:w="154"/>
      </w:tblGrid>
      <w:tr>
        <w:trPr/>
        <w:tc>
          <w:tcPr>
            <w:tcW w:w="187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by significant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BOLSTER trial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ASCEND trial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Chemistry, manufacturing and controls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Clinical department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by significant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Corporate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Investor relations/public relations/communications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Finance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Legal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Business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Share 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marketable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Included in other are GBM study, FORTIFIDE study and research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oncology expenses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Included in other are facilities expense, human resource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and information technology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13 – Australia Research and Development Tax Incentive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Australian subsidiary, which conducts core research and development activities, is eligible to receive a refundable tax incentive between 43.5% to 48.5% (depending upon the income tax rate) for qualified research and development activities. As of December 31, 2024 and 2023, the Company had $0.6 million and $1.0 million, respectively, recorded 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incentive receivable in prepaid and other current assets in the consolidated balance sheets, as the Company determined that the expenses met the eligibility criteria and the amounts claimed are expected to be received shortly after the related tax returns are filed. On July 26, 2024 the Company's Australian subsidiary received a $0.9 million tax refund from the Australian Taxation Office related to the 2023 tax year.</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14 – Contingencies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was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15 – Technology Transfer Agreement</w:t>
      </w:r>
    </w:p>
    <w:p>
      <w:pPr>
        <w:pStyle w:val="TextBody"/>
        <w:bidi w:val="0"/>
        <w:spacing w:lineRule="auto" w:line="276"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Impilo Therapeutics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in connection with the Sanford Burnham Prebys license agreement (Note 16) Impilo cancelled the original stock certificate for 766,000 shares and reissued 574,500 shares of its pre-seed preferred stock to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purchased a Simple Agreement for Future Equity ("SAFE") from Impilo for $100 thousand. On July 12, 2024, the Company purchased an additional SAFE from Impilo for $30 thousand. As of December 31, 2024 and December 31, 2023 the Company owned 38.6% of Impilo. These investments were expensed under the equity method of accounting for the year ended December 31, 2024 in other expense, net in the accompanying statement of operations. The SAFE has a valuation cap of $30.0 million and an 80% discount rate.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16 –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 thousand increasing to $20 thousand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received, which, pursuant to the technology transfer agreement with Impilo, resulted in SBP receiving 191,500 shares of the Company’s pre-seed preferred stock in Impilo on October 3,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did not own shares of the Company’s common stock as of December 31, 2024.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17 – Research Collaboration and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 - Qilu Pharmaceuticals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 and commercial milestone payments up to $96.0 million and $125.0 million, respectively, tiered royalties on net sales ranging from 10% to 15%, and tiered sublicensing revenues ranging from 12% to 35%.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the Company entered into a settlement agreement with Lingmed whereby Lingmed is entitled to 5.0% of any future milestone payments received by the Company under the Qilu Agreement, in addition, Lingmed is also entitled to a sum of $250 thousand with respect to the first future milestone received by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 - Kuva Labs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entered into an Exclusive License and Collaboration Agreement in which Lisata granted an exclusive license to Kuva Labs, Inc. (Kuva) to explore the synergistic potential of Lisata's certepetide, as a targeting and delivery agent for Kuva’s NanoMark™ imaging technology in solid tumors. Under the Agreement, Kuva will assume full responsibility for research, development, and commercialization costs, while the Company will be responsible for supplying certepetide for additional consideration pursuant to a Clinical Supply Agreement. In consideration for the license, Kuva will pay the Company $1.0 million, which was recognized as revenue upon delivery of the license in November 2024. The Company is eligible to receive additional development and commercial milestone payments up to $1.5 million and $17.5 million, respectively, a 5.0% percent royalty on net sales, and sublicensing revenues of 50%.</w:t>
      </w:r>
    </w:p>
    <w:p>
      <w:pPr>
        <w:pStyle w:val="TextBody"/>
        <w:bidi w:val="0"/>
        <w:spacing w:before="0" w:after="0"/>
        <w:jc w:val="left"/>
        <w:rPr/>
      </w:pPr>
      <w:r>
        <w:rPr/>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18 – Subsequent Events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Sale of New Jersey Net Operating Losses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24, 2024,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January 9, 2025, the Company received final approval from the NJEDA, and it subsequently sold a portion of its NJ NOLs to a qualifying and approved buyer pursuant to the Program for net proceeds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who served as our principal financial officer until April 15, 2024, and our Senior Vice President, Finance and Treasury and Chief Accounting Officer, who has served as our principal financial officer from April 15, 2024 to present (together, the “Evaluating Officers”),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evaluated, with the participation of our management, including our Evaluating Officers, the effectiveness of our disclosure controls and procedures as defined in Rules 13a-15(e) and 15d-15(e) under the Exchange Act. 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Management’s Annual Report on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 13a-15(f) and 15d-15(f) under the Exchange Act.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our assets;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our board of directors; and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Provide reasonable assurance regarding prevention or timely detection of unauthorized acquisition, use or disposition of our assets that could have a material effect on the financial statements.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because of declines in the degree of compliance with policies or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Management assessed the effectiveness of its internal control over financial reporting as of December 31, 2024. In making this assessment, they used the criteria set forth by the Committee of Sponsoring Organizations of the Treadway Commission (“COSO”) in </w:t>
      </w:r>
      <w:r>
        <w:rPr>
          <w:rFonts w:ascii="Times New Roman;sans-serif" w:hAnsi="Times New Roman;sans-serif"/>
          <w:b w:val="false"/>
          <w:i/>
          <w:color w:val="000000"/>
          <w:sz w:val="20"/>
        </w:rPr>
        <w:t>Internal Control-Integrated Framework (2013)</w:t>
      </w:r>
      <w:r>
        <w:rPr>
          <w:rFonts w:ascii="Times New Roman;sans-serif" w:hAnsi="Times New Roman;sans-serif"/>
          <w:b w:val="false"/>
          <w:color w:val="000000"/>
          <w:sz w:val="2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based on management’s assessment, our internal control over financial reporting was effective. </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quarter ended December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br/>
        <w:t xml:space="preserve">ITEM 9B. OTHER INFORMATION.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 director or officer of the Company adopted, modified or terminated a “Rule 10b5-1 trading arrangement” or “non-Rule 10b5-1 trading arrangement,” as each term is defined in Item 408(a) of Regulation S-K.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item is incorporated by reference from the discussion responsive thereto under the captions “Management and Corporate Governance,” and “Code of Ethics” in our Proxy Statement for the 2025 Annual Meeting of Stockholders.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 and position of each of our executive officers and directors as of February 27, 2025.</w:t>
      </w:r>
    </w:p>
    <w:tbl>
      <w:tblPr>
        <w:tblW w:w="9359" w:type="dxa"/>
        <w:jc w:val="center"/>
        <w:tblInd w:w="0" w:type="dxa"/>
        <w:tblLayout w:type="fixed"/>
        <w:tblCellMar>
          <w:top w:w="28" w:type="dxa"/>
          <w:left w:w="28" w:type="dxa"/>
          <w:bottom w:w="28" w:type="dxa"/>
          <w:right w:w="28" w:type="dxa"/>
        </w:tblCellMar>
      </w:tblPr>
      <w:tblGrid>
        <w:gridCol w:w="906"/>
        <w:gridCol w:w="796"/>
        <w:gridCol w:w="803"/>
        <w:gridCol w:w="2008"/>
        <w:gridCol w:w="2008"/>
        <w:gridCol w:w="2838"/>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Position(s)</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c>
          <w:tcPr>
            <w:tcW w:w="6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Class II Director</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Kristen K. Buck, M.D.</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R&amp;D and Chief Medical Officer</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Treasury and Chief Accounting Officer</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Tariq Imam</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Business Development and Operations and General Counsel</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B. Brown, M.D.</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 Chairman of Board of Directors</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Klosk</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III Director</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Cynthia L. Flowers</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 Director</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Heidi Henson</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 Director</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Mohammad Azab, MD, MBA</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III Director</w:t>
            </w:r>
          </w:p>
        </w:tc>
      </w:tr>
    </w:tbl>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Executive Officers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David J. Mazzo, Ph.D.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David J. Mazzo, Ph.D. was appointed as our President and Chief Executive Officer on March 28, 2017. Dr. Mazzo was previously appointed as our Chief Executive Officer and as a member of our board of directors on January 5, 2015. Dr. Mazzo brings to Lisata over 40 years of experience in the pharmaceutical industry. Prior to joining Lisata,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From 2003 until 2007 Dr. Mazzo served as President, Chief Executive Officer and director of Chugai Pharma USA, LLC, a biopharmaceutical company and U.S. subsidiary of Chugai Pharmaceutical Co., Ltd. of Japan and a member of the Roche Group. Prior to that, Dr. Mazzo was Senior Vice President of Development Operations at the Schering-Plough Research Institute and was a director of the Essex Chimie European subsidiary at Schering-Plough Corporation, a publicly held pharmaceutical company that was subsequently acquired by Merck &amp; Co., Inc. Earlier in his career, Dr. Mazzo held senior management and executive positions in R&amp;D at Hoechst Marion Roussel, Inc., the U.S. subsidiary of Hoechst AG, that was subsequently acquired by Sanofi, a multinational pharmaceuticals company; and Rhone-Poulenc Rorer, Inc., a subsidiary of Rhone-Poulenc SA, a French pharmaceuticals company, that was subsequently acquired by Hoechst AG. He previously served on the board of directors of publicly held Visioneering Technologies, Inc., a developer and seller of therapeutic contact lenses for myopia progression control from February 2020 to February 2024 during which time he was Chairman of the board; EyePoint Pharmaceuticals, Inc., a biopharmaceutical company focused on treatments for diseases of the back of the eye, from October 2005 to June 2020 and was Chairman of the board from 2007 to 2018; Seneca Biopharmaceuticals, Inc., a therapeutics development company focused on CNS applications that merged with Palisade BIO, from April 2019 to April 2021 and Avanir Pharmaceuticals, Inc., a pharmaceutical company working in the area of products for CNS diseases, from October 2005 through January 2015, that was sold to Otsuka Holdings in 2015. He currently serves on the board of directors of Feldan Therapeutics, a private company developing technology for the intracellular delivery of therapeutic agents, where he has served on the board since January 2021 and as Chairman since October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Kristen K. Buck, M.D.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 Kristen K. Buck joined Lisata in September 2021 as Executive Vice President of R&amp;D and Chief Medical Officer (“CMO”) of the Company. Prior to joining Lisata, Dr. Buck worked at ICON plc from March 2020 to July 2021, where she served as its CMO and represented the company’s position on key scientific, ethical, and medical governance matters, provided guidance and oversight to the medical and scientific groups, and led the Drug Development Services group. Prior to that, Dr. Buck was Senior Vice President &amp; Chief of Clinical Development at Optum Insights (part of the United Healthcare Group) from August 2018 to March 2020, where she led the clinical operations and regulatory groups within the Digital Research Network (DRN) clinical trial business. From January 2014 to July 2018, Dr. Buck held a position at Quintiles/IQVIA as Vice President of Global Strategic Drug Development designing clinical development plans and protocols across all therapeutic areas for emerging biotech and large pharma.</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Earlier in her career, Dr. Buck worked as a primary care physician and then later served as a medical officer in the FDA’s Office of New Drugs Division of Gastrointestinal and Hematology Drug Products where she was responsible for reviewing efficacy and safety data for new drug indications, as well as post-marketing safety data for over 40 drugs. Dr. Buck worked at AstraZeneca where she served as a Global Safety Physician and Global Study Physician. Her experience ranges over multiple therapeutic indications including cardiovascular/metabolic, rare diseases, gastrointestinal, neuroscience, oncology, immunology, and women’s health.</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 Buck currently serves as a Senior Medical Advisor and member of the Scientific Advisory Board for global contract research organization; Biorasi Inc.</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 Buck is a board certified and licensed physician who received her medical degree from the Pennsylvania State University School of Medicine and completed her internship and residency in Internal Medicine at Abington Memorial Hospital before working in a private practice as a primary care physician.</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James Nisco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Nisco was appointed as our Senior Vice President, Finance and Treasury and Chief Accounting Officer on April 15, 2024. From August 2020 through April 2024, Mr. Nisco served as our Vice President of Finance &amp; Treasury, and from February 2012 to August 2020, Mr. Nisco served as our Senior Director of Treasury, Financial Planning and Analysis. Mr. Nisco oversees all finance activities for the Company and is responsible for SEC reporting, financial reporting and accounting, treasury operations and financial planning and analysis.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over 30 years of experience in corporate finance, Mr. Nisco has held various senior finance positions prior to Lisata, including at OSI Pharmaceuticals, Inc. (acquired by Astellas) and Ciba Corporation (acquired by The BASF Group). Mr. Nisco began his career at Ciba-Geigy (now Novartis Pharmaceuticals).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Nisco holds an MBA in Financial Management from Pace University and a Bachelor of Science in Business Economics from the State University of New York, College at Oneonta.</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Tariq Imam</w:t>
      </w:r>
    </w:p>
    <w:p>
      <w:pPr>
        <w:pStyle w:val="TextBody"/>
        <w:bidi w:val="0"/>
        <w:spacing w:lineRule="auto" w:line="288" w:before="0" w:after="160"/>
        <w:ind w:left="0" w:right="0" w:firstLine="346"/>
        <w:jc w:val="both"/>
        <w:rPr>
          <w:rFonts w:ascii="Times New Roman;sans-serif" w:hAnsi="Times New Roman;sans-serif"/>
          <w:b w:val="false"/>
          <w:color w:val="000000"/>
          <w:sz w:val="20"/>
        </w:rPr>
      </w:pPr>
      <w:r>
        <w:rPr>
          <w:rFonts w:ascii="Times New Roman;sans-serif" w:hAnsi="Times New Roman;sans-serif"/>
          <w:b w:val="false"/>
          <w:color w:val="000000"/>
          <w:sz w:val="20"/>
        </w:rPr>
        <w:t>Mr. Imam was appointed as our Senior Vice President, Business Development and Operations and General Counsel on February 3, 2025 and has served as Head of Business Development of the Company since May 2016. As of April 2023, Mr. Imam has also served as Corporate Counsel of the Company. Before joining Lisata, Mr. Imam led business and corporate development functions at various specialty pharmaceutical companies, ranging from clinical to commercial stages, including, Mist Pharmaceuticals, Akrimax Pharmaceuticals and Rouses Point Pharmaceuticals. Prior to that, Mr. Imam held positions of increasing responsibility at Humana (NYSE: HUM) within the corporate integration/M&amp;A group. Mr. Imam also worked in the corporate finance and strategy division of Orion Health.</w:t>
      </w:r>
    </w:p>
    <w:p>
      <w:pPr>
        <w:pStyle w:val="TextBody"/>
        <w:bidi w:val="0"/>
        <w:spacing w:lineRule="auto" w:line="288" w:before="0" w:after="160"/>
        <w:ind w:left="0" w:right="0" w:firstLine="346"/>
        <w:jc w:val="left"/>
        <w:rPr>
          <w:rFonts w:ascii="Times New Roman;sans-serif" w:hAnsi="Times New Roman;sans-serif"/>
          <w:b w:val="false"/>
          <w:color w:val="000000"/>
          <w:sz w:val="20"/>
        </w:rPr>
      </w:pPr>
      <w:r>
        <w:rPr>
          <w:rFonts w:ascii="Times New Roman;sans-serif" w:hAnsi="Times New Roman;sans-serif"/>
          <w:b w:val="false"/>
          <w:color w:val="000000"/>
          <w:sz w:val="20"/>
        </w:rPr>
        <w:t>Mr. Imam’s legal career began in the areas of mergers and acquisitions, securities offerings, and other transactional work. Mr. Imam then went on to represent clients in civil matters such as contract, property, and family disputes, followed by practice in the areas of corporate restructuring, divestitures, and insolvency within the life sciences sector at an international law firm. Throughout his career, Mr. Imam has and continues to counsel individuals, small businesses, not-for-profit organizations, and growing companies, through private advisement.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46"/>
        <w:jc w:val="left"/>
        <w:rPr>
          <w:rFonts w:ascii="Times New Roman;sans-serif" w:hAnsi="Times New Roman;sans-serif"/>
          <w:b w:val="false"/>
          <w:color w:val="000000"/>
          <w:sz w:val="20"/>
        </w:rPr>
      </w:pPr>
      <w:r>
        <w:rPr>
          <w:rFonts w:ascii="Times New Roman;sans-serif" w:hAnsi="Times New Roman;sans-serif"/>
          <w:b w:val="false"/>
          <w:color w:val="000000"/>
          <w:sz w:val="20"/>
        </w:rPr>
        <w:t>Mr. Imam holds an A.B. in Politics from Princeton University, a J.D. from the New York University School of Law and an MBA in Finance from the New York University Stern School of Business.</w:t>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Non-Employee Directors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Gregory B. Brown, M.D.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Gregory B. Brown, M.D. was appointed to our board of directors in October 2016 and was elected Chairman by our board of directors on February 16, 2017. Dr. Brown is currently Chief Executive Officer of Memgen, Inc., a development-stage biotechnology company. In 2007, Dr. Brown co-founded HealthCare Royalty Partners (“HCR Partners”), a healthcare-focused private asset management firm investing in biopharmaceutical and medical products, and developing and deploying innovative risk-mitigated investment strategies to deliver non-correlated cash flow. Dr. Brown served as Vice Chairman of HCR Partners until December 2022 and remains a member of the firm’s SAB. Dr. Brown was educated as a transplantation immunologist and trained as a thoracic and vascular surgeon. He practiced thoracic and vascular surgery in a community setting where he also founded and led a health maintenance organization. He brings particular expertise in the scientific, technical, clinical and medical evaluation of products as well as in healthcare systems and payor/reimbursement dynamics. He has been involved in sourcing, performing due diligence on and closing more than $1 billion of royalty financings.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co-founding HCR Partners, Dr. Brown was a partner at Paul Capital Partners where he co-managed that firm’s royalty investments as a member of the royalty management committee. Prior to beginning his principal investment career in 2003, Dr. Brown was co-head of investment banking and head of healthcare at Adams, Harkness &amp; Hill (now Canaccord Genuity) and a ranked biotechnology research analyst at Vector Securities International. Dr. Brown holds a B.A. from Yale, an M.D. from SUNY Upstate Medical Center and an M.B.A. from Harvard Business School. He currently serves on the boards of Adimab, LLC since 2023, Memgen, Inc since 2018, and Aquestive Therapeutics since 2017. He previously served on the boards of FAST Biomedical, Cambrex Corporation, Faron Pharmaceuticals Oy, Invuity, Inc., and Vanderbilt Clinical S.a.r.l.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Steven M. Klosk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Steven M. Klosk joined our board of directors in 2014. He is a senior executive with extensive management experience in the life sciences industry. He served as a Director at Cambrex Corporation (NYSE:CBM) from May 2008 through December 2019, until it was acquired by Permira and then as Director from December 2019 until June 2020. Cambrex is one of the leading providers of active pharmaceutical ingredients, advanced intermediates and finished dosage form products to the branded and generic pharmaceutical markets, where he served as President and Chief Executive Officer from May 2008 through June 2020. In that role he was responsible for all aspects of Cambrex’s global business with manufacturing and R&amp;D facilities in the United States, Sweden, Italy, Estonia, Canada, Scotland, and Germany.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2021 until April 2024, he served on the board of directors of Recipharm, a leading pharmaceutical contract development &amp; manufacturing organization. Since 2021 he has served on the board of Formulated Solutions, a topicals contract development &amp; manufacturing organization where he is the chairman of the board and BioIVT, a leading supplier of biologics specimens for biotech research. In addition, Mr. Klosk served on the board of Golden Arrow Merger Corp., which merged in August 2024 with Bolt Project Holdings Inc. (Nasdaq: BSLK), a pioneer in sustainable biomaterials for consumer products. Mr. Klosk served both as a board member and an audit committee member of Bolt Project Holdings until February 2025. Mr. Klosk previously served on the boards of BIOVECTRA, a leading small molecule and biologics CDMO until September 2024 and NJ Bio, a leading antibody drug conjugate contract research organization from March 2021 through December 2024.</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Klosk held other executive positions at Cambrex Corporation, including President, Executive Vice President &amp; COO as well as President, Pharma Business Unit (2007-2008) where he had full P&amp;L and balance sheet responsibility for four operating units in North America and Europe. Prior to this he was Executive Vice President &amp; COO Cambrex Pharma &amp; Biopharmaceuticals Business Unit (2003-2007) where he was responsible for managing a highly profitable global business with six operating units in North America and Europe. Earlier in his career Mr. Klosk served as Vice President, Administration for The Genlyte Group, Inc., a publicly traded producer of lighting fixtures. Mr. Klosk earned a B.S. from Cornell University and a J.D. from New York Law School.</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Cynthia L. Flowers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Ms. Flowers was appointed to our board of directors in November 2018. She is currently CEO of OMEZA Holdings, Inc., an advanced wound care company. From February 2014 through November 2017, Ms. Flowers was President and Chief Executive Officer of Ipsen North America, where she led the transformation of the company as it became the highest-growth subsidiary worldwide. Prior to joining Ipsen, she served as President of Eisai Pharmaceuticals, where she oversaw commercial operations, medical affairs and services, manufacturing, alliance management and other functions. She has also held general management roles, both domestically and internationally, at Amgen Inc. and Johnson &amp; Johnson. Ms. Flowers began her career as an oncology/critical care nurse.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Ms. Flowers currently serves on the board of Hikma Pharmaceuticals PLC, a multigenerational generics company and G1 Therapeutics Inc., a biotechnology clinical development company. She has held positions on numerous corporate and non-profit boards, including Nanoform Finland OYi, a nanoparticle manufacturing company, Kadmon Group, Inc., a clinical stage biopharmaceutical company, the Women’s Leadership Advisory Board for the John F. Kennedy School of Government at Harvard University and the board of directors for the Sarah Cannon Oncology Research Institute. Ms. Flowers holds an M.B.A. from the Wharton School of the University of Pennsylvania and a B.S.N. from the University of Delaware. </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Heidi Henson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Ms. Henson was appointed to the Lisata Board in September 2022 and serves as the Chairman of the Audit Committee. Ms. Henson possesses two decades of financial operations experience with both public and private companies. In addition, Ms. Henson currently serves on the board of directors of PepGen and Perspective Therapeutics.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Ms. Henson previously served as Chief Financial Officer at Pardes Biosciences where she was instrumental in completing their tender offer transaction, as well as their de-SPAC transaction. Prior to Pardes, she served as the Chief Financial Officer for Imbria Pharmaceuticals, Kura Oncology, Wellspring Biosciences, and their parent company, Araxes Pharma.</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Ms. Henson holds a BS in Accounting from the University of San Diego and is a Certified Public Accountant (currently inactive) in California</w:t>
      </w:r>
      <w:r>
        <w:rPr>
          <w:rFonts w:ascii="Calibri;sans-serif" w:hAnsi="Calibri;sans-serif"/>
          <w:b w:val="false"/>
          <w:i/>
          <w:color w:val="000000"/>
          <w:sz w:val="24"/>
        </w:rPr>
        <w:t>.</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Mohammad Azab, MD, MBA</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Mohammad Azab, M.D., MSc, MBA was appointed to our board of directors in September 2022. Dr. Azab is a leader in clinical and regulatory development of biopharmaceutical drugs with particular expertise in oncology drug development. In July 2009, Dr. Azab joined Astex Pharmaceuticals, Inc. (“Astex”), a pharmaceutical company focused on the discovery and development of drugs in oncology and other areas, as its Chief Medical Officer. Dr. Azab served as President and Chief Medical Officer of Astex from January 2014 to November 2020, and has served as the chair of its board of directors from November 2020 to May 1, 2022. Since January 2021, Dr. Azab has served on the board of directors of DURECT Corporation (Nasdaq: DRRX), a biopharmaceutical company committed to transforming the treatment of acute organ injury and chronic liver diseases. Additionally, Dr. Azab has served on the board of directors of Xenon Pharmaceuticals Inc. (Nasdaq: XENE), a biopharmaceutical company delivering innovative medicines to patients with neurological disorders, from January 2003 to June 2024. Previously, Dr. Azab served as President and Chief Executive Officer of Intradigm Corporation, a developer of siRNA cancer therapeutics. Prior to this, Dr. Azab served as Executive Vice President of Research and Development and Chief Medical Officer of QLT Inc. and in several leadership positions at AstraZeneca plc in the United Kingdom and Sanofi in France. Dr. Azab holds an MBA from the Richard Ivey School of Business, University of Western Ontario, and an MB ChB from Cairo University. He received post-graduate training and degrees in oncology research from the University of Paris-Sud and in biostatistics from the University of Pierre et Marie Curie in Paris, France.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item is incorporated by reference from the discussion responsive thereto under the captions “Executive Compensation” and “Lisata Director Compensation” in our Proxy Statement for the 2025 Annual Meeting of Stockholders. The section entitled “Pay Versus Performance” in our 2025 Proxy Statement is not incorporated by reference herein.</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item is incorporated by reference from the discussion responsive thereto under the caption “Security Ownership of Management and Certain Beneficial Owners” and “Equity Compensation Plan Information” in our Proxy Statement for the 2025 Annual Meeting of Stockholders.</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item is incorporated by reference from the discussion responsive thereto under the captions “Certain Relationships and Related Party Transactions” and “Governance of Lisata Therapeutics Inc.” in our Proxy Statement for the 2025 Annual Meeting of Stockholders.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response to this item is incorporated by reference from the discussion responsive thereto under the caption “Accounting Fees and Other Accounting Matters” in our Proxy Statement for the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before="0" w:after="12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being filed as part of this Annual Report: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(a)(1) FINANCIAL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Index to Financial Statements on Page 74 of this Annual Report.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 required information is not present or is not present in amounts sufficient to require submission of the schedule, or because the information required is included in the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(a)(3) EXHIBITS: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The following is a list of exhibits filed (or furnished, where specified) as part of this Annual Report on Form 10-K. Exhibits that were previously filed are described below and are incorporated by reference. For exhibits incorporated by reference, the location of the exhibit in the previous filing is indicated.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725"/>
        <w:gridCol w:w="2636"/>
        <w:gridCol w:w="376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(Reverse Stock Split) to the Amended and Restated Certificate of Incorporation, dated September 14, 2022 (filed as Exhibit 3.1 to the Company's Current Report on 8-K, filed with the SEC on September 15, 2022).</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(Name Change) to the Amended and Restated Certificate of Incorporation, dated September 15, 2022 (filed as Exhibit 3.2 to the Company's Current Report on Form 8-K, filed with the SEC on September 15, 2022).</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Lisata Therapeutics, Inc., as amended, effective July 27, 2016 (filed as Exhibit 3.1 to the Company’s on Form 10-Q for the quarter ended June 30, 2016, filed with the SEC on August 9, 2016).</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the Lisata Therapeutics, Inc. as amended, effective as of July 27, 2016 (filed as Exhibit 3.2 to the Company’s Quarterly Report on Form 10-Q for the quarter ended June 30, 2016, filed with the SEC on August 9, 2016).</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Amendments to Amended and Restated Bylaws of Lisata Therapeutics, Inc., effective as of September 18, 2017 (filed as Exhibit 3.1 to the Company's Current Report on Form 8-K, filed with the SEC on September 21, 2017).</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right"/>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Description of Capital Stock (filed as Exhibit 4.3 to the Company's Annual Report on Form 10-K, for the year ended December 31, 2019, filed with the SEC on March 5, 2020).</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Warrant (filed as Exhibit 4.1 to the Company's Current Report on Form 8-K, filed with the SEC on April 24, 2020).</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Warrant (filed as Exhibit 4.1 to the Company's Current Report on Form 8-K, filed with the SEC on May 26, 2020).</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Warrant (filed as Exhibit 4.1 to the Company's Current Report on Form 8-K, filed with the SEC on July 10, 2020).</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Warrant (filed as Exhibit 4.1 to the Company's Current Report on Form 8-K, filed with the SEC on January 25, 2021).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Director Compensation Policy, dated April 21, 2021 (filed as Exhibit 10.1 to the Company's Annual Report on Form 10-K for the year ended December 31, 2022 filed with the SEC on March 30, 2023).</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2equityplanscomplete.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2018 Equity Incentive Compensation Plan, effective June 20, 2018, as amended on June 18, 2020, June 16, 2021, September 15, 2022, June 14, 2023 and June 27, 2024.</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Equity Incentive Compensation Plan, effective July 15, 2015 (filed as Exhibit 10.4 to the Company's Annual Report on Form 10-K for the year ended December 31, 2022, filed with the SEC on March 30, 2023).</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&amp; Restated 2009 Equity Compensation Plan, effective October 4, 2012 (filed as Exhibit 10.5 to the Company's Annual Report on Form 10-K for the year ended December 31, 2022, filed with the SEC on March 30, 2023).</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5esppplancompleteex.htm">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2017 Employee Stock Purchase Plan, effective as of March 28, 2017, as amended on June 20, 2018, June 14, 2023 and June 27,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between the Company and each of its directors and officers (filed as Exhibit 10.2 to the Company's Current Report on Form 8-K, filed with the SEC on September 15, 2022).</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11"/>
        <w:gridCol w:w="186"/>
        <w:gridCol w:w="189"/>
        <w:gridCol w:w="109"/>
        <w:gridCol w:w="109"/>
        <w:gridCol w:w="109"/>
        <w:gridCol w:w="2823"/>
        <w:gridCol w:w="2670"/>
        <w:gridCol w:w="379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Employment Agreement with David J. Mazzo, dated March 19, 2021 (filed as Exhibit 10.1 to the Company's Current Report on Form 8-K, filed with the SEC on March 19, 2021).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Cend 2016 Equity Incentive Plan, including all amendments thereto (filed as Exhibit 99.1 to the Company's Registration Statement on Form S-8, filed with the SEC on October 17,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Market Offering Agreement, dated June 4, 2021, by and between Caladrius Biosciences, Inc. and H.C. Wainwright &amp; Co., LLC (filed as Exhibit 10.1 to the Company's Current Report on Form 8-K, filed with the SEC on June 4, 2021).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ans-serif" w:hAnsi="Times New Roman;sans-serif"/>
                  <w:b w:val="false"/>
                  <w:color w:val="000080"/>
                  <w:sz w:val="20"/>
                  <w:u w:val="single"/>
                </w:rPr>
                <w:t>10.1</w:t>
              </w:r>
            </w:hyperlink>
            <w:hyperlink r:id="rId21">
              <w:r>
                <w:rPr>
                  <w:rStyle w:val="InternetLink"/>
                  <w:rFonts w:ascii="Times New Roman;sans-serif" w:hAnsi="Times New Roman;sans-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Exclusive License Agreement, dated December 1, 2015, by and between Cend Therapeutics, Inc. (f/k/a DrugCendR, LLC) and Sanford Burnham Prebys Medical Discovery Institute (filed as Exhibit 10.18 to the Company's Registration Statement on Form S-4, filed with the SEC on June 15,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Exclusive License Agreement, dated March 8, 2016, by and between Cend Therapeutics, Inc. (f/k/a DrugCendR, LLC) and Sanford Burnham Prebys Medical Discovery Institute (filed as Exhibit 10.19 to the Company's Registration Statement on Form S-4, filed with the SEC on June 15,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Exclusive License Agreement, dated May 10, 2019, by and between Cend Therapeutics, Inc. (f/k/a DrugCendR, LLC) and Sanford Burnham Prebys Medical Discovery Institute (filed as Exhibit 10.20 to the Company's Registration Statement on Form S-4, filed with the SEC on June 15,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Exclusive License Agreement, dated September 24, 2020, by and between Cend Therapeutics, Inc. (f/k/a DrugCendR, LLC) and Sanford Burnham Prebys Medical Discovery Institute (filed as Exhibit 10.21 to the Company's Registration Statement on Form S-4, filed with the SEC on June 15,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014kuvalicenseandcoll.htm">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Exclusive License and Collaboration Agreement, dated as of November 30, 2024, by and between Lisata Therapeutics, Inc. and Kuva Labs, Inc.</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Times New Roman;sans-serif" w:hAnsi="Times New Roman;sans-serif"/>
                  <w:b w:val="false"/>
                  <w:color w:val="0000FF"/>
                  <w:sz w:val="20"/>
                  <w:u w:val="single"/>
                </w:rPr>
                <w:t>14.1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Code of Ethics for Senior Financial Officers, effective as of November 7, 2022 (filed as Exhibit 14.1 to the Company's Annual Report on Form 10-K for the year ended December 31, 2022, filed with the SEC on March 30, 2023).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Times New Roman;sans-serif" w:hAnsi="Times New Roman;sans-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Insider Trading Policy, effective as of October 30, 2015 (filed as Exhibit 19.1 on the Company's Annual Report on Form 10-K for the year ended December 31, 2023, filed with the SEC on February 29, 2024).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Incentive Recoupment Policy, effective as of March 28, 2023 (filed as Exhibit 97 to the Company's Annual Report on Form 10-K for the year ended December 31, 2023, filed with the SEC on February 29, 2024).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211to10k2024123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Subsidiaries of Lisata Therapeutics, Inc.</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2312024.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Consent of Grant Thornton LLP.</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_20241231-q4.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_20241231-q4.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_2024123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color w:val="000000"/>
              </w:rPr>
            </w:pPr>
            <w:r>
              <w:rPr>
                <w:color w:val="000000"/>
              </w:rPr>
              <w:t>†</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2_20241231.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left"/>
              <w:rPr>
                <w:color w:val="000000"/>
              </w:rPr>
            </w:pPr>
            <w:r>
              <w:rPr>
                <w:color w:val="000000"/>
              </w:rPr>
              <w:t>†</w:t>
            </w:r>
          </w:p>
        </w:tc>
        <w:tc>
          <w:tcPr>
            <w:tcW w:w="929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Section 906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316"/>
        <w:gridCol w:w="243"/>
        <w:gridCol w:w="222"/>
        <w:gridCol w:w="109"/>
        <w:gridCol w:w="109"/>
        <w:gridCol w:w="109"/>
        <w:gridCol w:w="2876"/>
        <w:gridCol w:w="2576"/>
        <w:gridCol w:w="3645"/>
      </w:tblGrid>
      <w:tr>
        <w:trPr/>
        <w:tc>
          <w:tcPr>
            <w:tcW w:w="3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540"/>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540"/>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540"/>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contract or arrangement required to be filed as an exhibit to this Form 10-K pursuant to Item 15(b) of Form 10-K.</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36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160"/>
        <w:jc w:val="left"/>
        <w:rPr/>
      </w:pPr>
      <w:hyperlink w:anchor="i2e5be98f8ca44d78a486a07137163a3a_7">
        <w:r>
          <w:rPr>
            <w:rStyle w:val="InternetLink"/>
            <w:rFonts w:ascii="Times New Roman;sans-serif" w:hAnsi="Times New Roman;sans-serif"/>
            <w:b w:val="false"/>
            <w:color w:val="0000FF"/>
            <w:sz w:val="16"/>
            <w:u w:val="single"/>
          </w:rPr>
          <w:t>Index</w:t>
        </w:r>
      </w:hyperlink>
      <w:r>
        <w:rPr>
          <w:rFonts w:ascii="Times New Roman;sans-serif" w:hAnsi="Times New Roman;sans-serif"/>
          <w:b w:val="false"/>
          <w:color w:val="000000"/>
          <w:sz w:val="16"/>
        </w:rPr>
        <w:t>'</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in Basking Ridge (Bernards Township), State of New Jersey, on February 27, 2025. </w:t>
      </w:r>
    </w:p>
    <w:tbl>
      <w:tblPr>
        <w:tblW w:w="42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53"/>
        <w:gridCol w:w="1053"/>
        <w:gridCol w:w="14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David J. Mazzo, PhD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J. Mazzo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&amp; Chief Executive Officer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685"/>
        <w:gridCol w:w="561"/>
        <w:gridCol w:w="563"/>
        <w:gridCol w:w="109"/>
        <w:gridCol w:w="109"/>
        <w:gridCol w:w="109"/>
        <w:gridCol w:w="2158"/>
        <w:gridCol w:w="2106"/>
        <w:gridCol w:w="2135"/>
        <w:gridCol w:w="109"/>
        <w:gridCol w:w="109"/>
        <w:gridCol w:w="109"/>
        <w:gridCol w:w="390"/>
        <w:gridCol w:w="390"/>
        <w:gridCol w:w="563"/>
      </w:tblGrid>
      <w:tr>
        <w:trPr/>
        <w:tc>
          <w:tcPr>
            <w:tcW w:w="68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J. Mazzo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Nisco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SVP, Finance and Treasury and Chief Accounting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Gregory B. Brown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Gregory B. Brown,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Mohammad Azab</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Mohamad Azab, MD,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Cynthia L. Flowers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Cynthia L. Flowers,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Heidi Henson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Heidi 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Steven M. Klosk</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M. Klosk,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bl>
    <w:p>
      <w:pPr>
        <w:pStyle w:val="TextBody"/>
        <w:bidi w:val="0"/>
        <w:spacing w:before="0" w:after="0"/>
        <w:jc w:val="center"/>
        <w:rPr/>
      </w:pPr>
      <w:r>
        <w:rPr/>
      </w:r>
    </w:p>
    <w:p>
      <w:pPr>
        <w:pStyle w:val="TextBody"/>
        <w:bidi w:val="0"/>
        <w:jc w:val="both"/>
        <w:rPr/>
      </w:pPr>
      <w:r>
        <w:rPr/>
      </w:r>
    </w:p>
    <w:p>
      <w:pPr>
        <w:pStyle w:val="TextBody"/>
        <w:bidi w:val="0"/>
        <w:spacing w:before="0" w:after="0"/>
        <w:jc w:val="center"/>
        <w:rPr/>
      </w:pPr>
      <w:bookmarkStart w:id="0" w:name="ex102equityplanscomplete.htm"/>
      <w:bookmarkStart w:id="1" w:name="ksex102equityplanscomplete"/>
      <w:bookmarkEnd w:id="0"/>
      <w:bookmarkEnd w:id="1"/>
      <w:r>
        <w:rPr/>
        <w:drawing>
          <wp:inline distT="0" distB="0" distL="0" distR="0">
            <wp:extent cx="10048875" cy="13001625"/>
            <wp:effectExtent l="0" t="0" r="0" b="0"/>
            <wp:docPr id="1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jc w:val="center"/>
        <w:rPr>
          <w:color w:val="FFFFFF"/>
          <w:sz w:val="2"/>
        </w:rPr>
      </w:pPr>
      <w:r>
        <w:rPr>
          <w:color w:val="FFFFFF"/>
          <w:sz w:val="2"/>
        </w:rPr>
        <w:t xml:space="preserve">A-1 EXHIBIT 10.2 CALADRIUS BIOSCIENCES, INC. 2018 EQUITY INCENTIVE COMPENSATION PLAN _____________________________ Effective as of June 20, 2018 _____________________________ 1. Purposes of the Plan. The purposes of this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Caladrius Biosciences, Inc., a Delaware corporation. “Consultant” means any person, including an advisor, engaged by the Company or a Parent or Subsidiary to render services to such entity, other than an Employee or a Director. “Deferred Share Unit” (or “DSU”) has the meaning set forth in Section 12 of the Plan.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“Restricted Stock” means an Award of Shares pursuant to Section 11 of the Plan. “Restricted Stock Unit” means an Award of Shares pursuant to Section 12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“Stock Award” means an Award of Restricted Stock pursuant to Section 11 of the Plan, an Award of Restricted Stock Units (including Deferred Share Units) pursuant to Section 12 of the Plan and an Award of Unrestricted Shares pursuant to Section 13 of the Plan. “Stock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Subject to adjustment pursuant to the provisions of Section 16(a) of the Plan, the maximum aggregate number of Shares that may be issued under the Plan is 1,500,000 Shares, all of which may be issued in respect of Incentive Stock Options. In addition there shall be added to the reserve on or after June 20, 2018, any Shares that are subject to awards under the Company’s Amended and Restated 2009 Equity Compensation Plan and 2015 Equity Compensation Plan, as amended, and not thereafter issued under such plan due to a forfeiture, cancellation, or other settlement thereof.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add or remove members of the Committee, from time to time, and to fill vacancies thereon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for preferred tax treatment under foreign tax laws. Without limiting the foregoing, the Administrator is specifically authorized to adopt rules and procedures regarding the conversion of local currency, taxes, withholding procedures, escrow accounts, sub-plans,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(x) to reduce the exercise price of any Option or Stock Appreciation Right, provided such reduction receives shareholder approval in accordance with Applicable Law;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using an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(d) Effect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connection with the Plan, and each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 6. Limitations.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A-9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(A)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A-10 (B)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decrease the number of Shares thereafter available, both for purposes of the Plan and for sale under the Option, by the number of Shares as to which the Option is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A-11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 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4"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A-13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5"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A-14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or other compensation (including the Shares deliverable pursuant to any Restricted Stock Unit Award) and in lieu thereof to have the Company credit to an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6"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A-15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7"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A-16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(a) Each Stock Appreciation Right shall relate to such number of Shares as shall be determined by the Administrator. (b) The the date of grant of a Stock Appreciation Right shall be the date specified by the Administrator, provided that that date shall not be before the date on which the Stock Appreciation Right is actually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8"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A-17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hereunder.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9"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A-18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(1)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(2)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(1)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0"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A-19 (2)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 five percent (25%) of the voting power in the resulting entity; (3) during any period of two (2) consecutive years beginning on or after the date of the approval of this Plan by the shareholders (the “Effective Date”), the persons who were members of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Date shall be deemed to be an Incumbent Director if such director was elected to the board of directors by, or on the recommendation of or with the approval of, at least two-thirds of the directors who then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(4)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1"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A-20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(c) Additional Conditions. The Administrator shall have the authority to condition the grant of any Award in such other manner that the Administrator determines to be appropriate, provided that such condition is not inconsistent with the terms of the Plan. (d) Trading Policy Restrictions. Option and or Stock Appreciation Right exercises and Shares issued in connection with any Stock Awards under the Plan shall be subject to the terms and conditions of any insider trading policy established by the Company or the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2"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A-21 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3"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A-22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policy will be an event giving rise to a right to resign for “good reason” or “constructive termination” (or similar term) under any agreement with the Company or any of its Subsidiaries or affiliates.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4"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A-23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5"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CALADRIUS BIOSCIENCES, INC. 2018 EQUITY INCENTIVE COMPENSATION PLAN, AS AMENDED _____________________________ Effective as of June 18, 2020 _____________________________ 1. Purposes of the Plan. The purposes of this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Caladrius Biosciences, Inc., a Delaware corporation. “Consultant” means any person, including an advisor, engaged by the Company or a Parent or Subsidiary to render services to such entity, other than an Employee or a Director. “Deferred Share Unit” (or “DSU”) has the meaning set forth in Section 12 of the Plan.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Amendment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6"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“Restricted Stock” means an Award of Shares pursuant to Section 11 of the Plan. “Restricted Stock Unit” means an Award of Shares pursuant to Section 12 of the Plan.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“Stock Award” means an Award of Restricted Stock pursuant to Section 11 of the Plan, an Award of Restricted Stock Units (including Deferred Share Units) pursuant to Section 12 of the Plan and an Award of Unrestricted Shares pursuant to Section 13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7"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Subject to adjustment pursuant to the provisions of Section 16(a) of the Plan, the maximum aggregate number of Shares that may be issued under the Plan is 2,500,000 Shares, all of which may be issued in respect of Incentive Stock Options. In addition there shall be added to the reserve any Shares that are subject to awards under the Company’s Amended and Restated 2009 Equity Compensation Plan and 2015 Equity Compensation Plan, as amended, and not thereafter issued under such plan due to a forfeiture, cancellation, or other settlement thereof up to a maximum of 536,590 shares, all of which may be issued in respect of Incentive Stock Options. The maximum number of Shares subject to Options and Stock Appreciation Rights which may be issued to any Participant under the Plan during the term of the Plan is fifty percent (50%) of the number of Shares determined from time to time pursuant to the first sentence of this Section.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add or remove members of the Committee, from time to time, and to fill vacancies thereon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8"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for preferred tax treatment under foreign tax laws. Without limiting the foregoing, the Administrator is specifically authorized to adopt rules and procedures regarding the conversion of local currency, taxes, withholding procedures, escrow accounts, sub- 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(x) to reduce the exercise price of any Option or Stock Appreciation Right, provided such reduction receives shareholder approval in accordance with Applicable Law;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9"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using an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Effect (d)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0"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 6. Limitations.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(1)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(2)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1"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decrease the number of Shares thereafter available, both for purposes of the Plan and for sale under the Option, by the number of Shares as to which the Option is exercised.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2"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3"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4"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or other compensation (including the Shares deliverable pursuant to any Restricted Stock Unit Award) and in lieu thereof to have the Company credit to an internal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5"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(a) Each Stock Appreciation Right shall relate to such number of Shares as shall be determined by the Administrator. (b) The date of grant of a Stock Appreciation Right shall be the date specified by the Administrator, provided that that date shall not be before the date on which the Stock Appreciation Right is actually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6"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hereunder. Except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(a)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(b)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(a)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(b)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twenty-five percent (25%) of the voting power in the resulting entity; (c) during any period of two (2) consecutive years beginning on or after the date of the approval of this Plan by the shareholders (the “Effective Date”), the persons who were members of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7"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shall be deemed to be an Incumbent Director if such director was elected to the board of directors by, or on the recommendation of or with the approval of, at least two-thirds of the directors who then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(d)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(c) Additional Conditions. The Administrator shall have the authority to condition the grant of any Award in such other manner that the Administrator determines to be appropriate, provided that such condition is not inconsistent with the terms of the Plan. (d) Trading Policy Restrictions. Option and or Stock Appreciation Right exercises and Shares issued in connection with any Stock Awards under the Plan shall be subject to the terms and conditions of any insider trading policy established by the Company or the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8"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policy will be an event giving rise to a right to resign for “good reason” or “constructive termination” (or similar term) under any agreement with the Company or any of its Subsidiaries or affiliates.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9"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0"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APPENDIX A CALADRIUS BIOSCIENCES, INC. 2018 EQUITY INCENTIVE COMPENSATION PLAN, AS AMENDED _____________________________ Effective as of June 16, 2021 _____________________________ 1. Purposes of the Plan. The purposes of this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Caladrius Biosciences, Inc., a Delaware corporation. “Consultant” means any person, including an advisor, engaged by the Company or a Parent or Subsidiary to render services to such entity, other than an Employee or a Director. Amendment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1"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“Deferred Share Unit” (or “DSU”) has the meaning set forth in Section 12 of the Plan.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2"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“Restricted Stock” means an Award of Shares pursuant to Section 11 of the Plan. “Restricted Stock Unit” means an Award of Shares pursuant to Section 12 of the Plan.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“Stock Award” means an Award of Restricted Stock pursuant to Section 11 of the Plan, an Award of Restricted Stock Units (including Deferred Share Units) pursuant to Section 12 of the Plan and an Award of Unrestricted Shares pursuant to Section 13 of the Plan. “Stock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Subject to adjustment pursuant to the provisions of Section 16(a) of the Plan, the maximum aggregate number of Shares that may be issued under the Plan is 8,500,000 Shares, all of which may be issued in respect of Incentive Stock Options. In addition there shall be added to the reserve any Shares that are subject to awards under the Company’s Amended and Restated 2009 Equity Compensation Plan and 2015 Equity Compensation Plan, as amended, and not thereafter issued under such plan due to a forfeiture, cancellation, or other settlement thereof up to a maximum of 406,904 shares, all of which may be issued in respect of Incentive Stock Options. The maximum number of Shares subject to Options and Stock Appreciation Rights which may be issued to any Participant under the Plan during the term of the Plan is fifty percent (50%) of the number of Shares determined from time to time pursuant to the first sentence of this Section.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3"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add or remove members of the Committee, from time to time, and to fill vacancies thereon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for preferred tax treatment under foreign tax laws. Without limiting the foregoing, the Administrator is specifically authorized to adopt rules and procedures regarding the conversion of local currency, taxes, withholding procedures, escrow accounts, sub- 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4"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(x) to reduce the exercise price of any Option or Stock Appreciation Right, provided such reduction receives shareholder approval in accordance with Applicable Law;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using an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Effect (d)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5"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 6. Limitations.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6"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(1)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(2)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7"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decrease the number of Shares thereafter available, both for purposes of the Plan and for sale under the Option, by the number of Shares as to which the Option is exercised.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8"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9"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or other compensation (including the Shares deliverable pursuant to any Restricted Stock Unit Award) and in lieu thereof to have the Company credit to an internal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0"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(a) Each Stock Appreciation Right shall relate to such number of Shares as shall be determined by the Administrator. (b) The date of grant of a Stock Appreciation Right shall be the date specified by the Administrator, provided that that date shall not be before the date on which the Stock Appreciation Right is actually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1"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2"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convertible into shares of stock of any class, shall affect, and no adjustment by reason thereof shall be made with respect to, the number or price of Shares subject to an Award hereunder. Except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(a)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(b)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(a)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(b)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twenty-five percent (25%) of the voting power in the resulting entity; (c) during any period of two (2) consecutive years beginning on or after the date of the approval of this Plan by the shareholders (the “Effective Date”), the persons who were members of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Date shall be deemed to be an Incumbent Director if such director was elected to the board of directors by, or on the recommendation of or with the approval of, at least two-thirds of the directors who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3"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(d)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(c) Additional Conditions. The Administrator shall have the authority to condition the grant of any Award in such other manner that the Administrator determines to be appropriate, provided that such condition is not inconsistent with the terms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 Trading Policy Restrictions. Option and or Stock Appreciation Right exercises and Shares issued in connection with any Stock Awards under the Plan shall be subject to the terms and conditions of any insider trading policy established by the Company or the Administrator. 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policy will be an event giving rise to a right to resign for “good reason” or “constructive termination” (or similar term) under any agreement with the Company or any of its Subsidiaries or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6"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LISATA THERAPEUTICS, INC. 2018 EQUITY INCENTIVE COMPENSATION PLAN, AS AMENDED Effective as of September 15, 2022 1. Purposes of the Plan. The purposes of this Lisata Therapeutics, Inc. (f/k/a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Lisata Therapeutics, Inc. (f/k/a Caladrius Biosciences, Inc.), a Delaware corporation. “Consultant” means any person, including an advisor, engaged by the Company or a Parent or Subsidiary to render services to such entity, other than an Employee or a Director. “Deferred Share Unit” (or “DSU”) has the meaning set forth in Section 12 of the Plan.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Amendment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7"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“Restricted Stock” means an Award of Shares pursuant to Section 11 of the Plan. “Restricted Stock Unit” means an Award of Shares pursuant to Section 12 of the Plan.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“Stock Award” means an Award of Restricted Stock pursuant to Section 11 of the Plan, an Award of Restricted Stock Units (including Deferred Share Units) pursuant to Section 12 of the Plan and an Award of Unrestricted Shares pursuant to Section 13 of the Plan. “Stock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Subject to adjustment pursuant to the provisions of Section 16(a) of the Plan, the maximum aggregate number of Shares that may be issued under the Plan is 900,000 Shares, all of which may be issued in respect of Incentive Stock Options. In addition there shall be added to the reserve any Shares that are subject to awards under the Company’s Amended and Restated 2009 Equity Compensation Plan and 2015 Equity Compensation Plan, as amended, and not thereafter issued under such plan due to a forfeiture, cancellation, or other settlement thereof up to a maximum of 27,126 shares, all of which may be issued in respect of Incentive Stock Options. The maximum number of Shares subject to Options and Stock Appreciation Rights which may be issued to any Participant under the Plan during the term of the Plan is fifty percent (50%) of the number of Shares determined from time to time pursuant to the first sentence of this Section.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add or remove members of the Committee, from time to time, and to fill vacancies thereon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9"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for preferred tax treatment under foreign tax laws. Without limiting the foregoing, the Administrator is specifically authorized to adopt rules and procedures regarding the conversion of local currency, taxes, withholding procedures, escrow accounts, sub-plans,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(x) to reduce the exercise price of any Option or Stock Appreciation Right, provided such reduction receives shareholder approval in accordance with Applicable Law;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using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Effect (d)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1"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that the grant of such Award shall be conditioned upon such person becoming a Service Provider at or prior to the time of the execution of the agreement evidencing such Award. 6. Limitations.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(1)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(2)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2"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decrease the number of Shares thereafter available, both for purposes of the Plan and for sale under the Option, by the number of Shares as to which the Option is exercised.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3"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4"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5"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or other compensation (including the Shares deliverable pursuant to any Restricted Stock Unit Award) and in lieu thereof to have the Company credit to an internal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(a) Each Stock Appreciation Right shall relate to such number of Shares as shall be determined by the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6"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 The date of grant of a Stock Appreciation Right shall be the date specified by the Administrator, provided that that date shall not be before the date on which the Stock Appreciation Right is actually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hereunder. Except as expressly provided herein, the issuance by the Company of shares of stock of any class, or securities convertible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7"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(a)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(b)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(a)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(b)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twenty-five percent (25%) of the voting power in the resulting entity; (c) during any period of two (2) consecutive years beginning on or after the date of the approval of this Plan by the shareholders (the “Effective Date”), the persons who were members of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Date shall be deemed to be an Incumbent Director if such director was elected to the board of directors by, or on the recommendation of or with the approval of, at least two-thirds of the directors who then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(d)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8"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(c) Additional Conditions. The Administrator shall have the authority to condition the grant of any Award in such other manner that the Administrator determines to be appropriate, provided that such condition is not inconsistent with the terms of the Plan. (d) Trading Policy Restrictions. Option and or Stock Appreciation Right exercises and Shares issued in connection with any Stock Awards under the Plan shall be subject to the terms and conditions of any insider trading policy established by the Company or the Administrator. 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9"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policy will be an event giving rise to a right to resign for “good reason” or “constructive termination” (or similar term) under any agreement with the Company or any of its Subsidiaries or affiliates.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0"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consents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1"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LISATA BIOSCIENCES, INC. 2018 EQUITY INCENTIVE COMPENSATION PLAN, AS AMENDED _____________________________ Effective as of June 14, 2023 _____________________________ 1. Purposes of the Plan. The purposes of this Lisata Therapeutics, Inc. (f/k/a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Lisata Therapeutics, Inc. (f/k/a Caladrius Biosciences, Inc.), a Delaware corporation. “Consultant” means any person, including an advisor, engaged by the Company or a Parent or Subsidiary to render services to such entity, other than an Employee or a Director. “Deferred Share Unit” (or “DSU”) has the meaning set forth in Section 12 of the Plan. Amendment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2"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“Restricted Stock” means an Award of Shares pursuant to Section 11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3"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“Restricted Stock Unit” means an Award of Shares pursuant to Section 12 of the Plan.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“Stock Award” means an Award of Restricted Stock pursuant to Section 11 of the Plan, an Award of Restricted Stock Units (including Deferred Share Units) pursuant to Section 12 of the Plan and an Award of Unrestricted Shares pursuant to Section 13 of the Plan. “Stock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Subject to adjustment pursuant to the provisions of Section 16(a) of the Plan, the maximum aggregate number of Shares that may be issued under the Plan is 1,300,000 Shares, all of which may be issued in respect of Incentive Stock Options. In addition there shall be added to the reserve any Shares that are subject to awards under the Company’s Amended and Restated 2009 Equity Compensation Plan and 2015 Equity Compensation Plan, as amended, and not thereafter issued under such plan due to a forfeiture, cancellation, or other settlement thereof up to a maximum of 27,126 shares, all of which may be issued in respect of Incentive Stock Options. The maximum number of Shares subject to Options and Stock Appreciation Rights which may be issued to any Participant under the Plan during the term of the Plan is fifty percent (50%) of the number of Shares determined from time to time pursuant to the first sentence of this Section.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add or remove members of the Committee, from time to time, and to fill vacancies thereon arising; by resignation, death, removal, or otherwise. Meetings shall be held at such times and places as shall be determined by the Committee. A majority of the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4"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for preferred tax treatment under foreign tax laws. Without limiting the foregoing, the Administrator is specifically authorized to adopt rules and procedures regarding the conversion of local currency, taxes, withholding procedures, escrow accounts, sub- 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(x) to reduce the exercise price of any Option or Stock Appreciation Right, provided such reduction receives shareholder approval in accordance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5"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using an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Effect (d)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6"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 6. Limitations.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7"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(1)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(2)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8"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decrease the number of Shares thereafter available, both for purposes of the Plan and for sale under the Option, by the number of Shares as to which the Option is exercised.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9"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0"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or other compensation (including the Shares deliverable pursuant to any Restricted Stock Unit Award) and in lieu thereof to have the Company credit to an internal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1"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(a) Each Stock Appreciation Right shall relate to such number of Shares as shall be determined by the Administrator. (b) The date of grant of a Stock Appreciation Right shall be the date specified by the Administrator, provided that that date shall not be before the date on which the Stock Appreciation Right is actually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2"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3"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convertible into shares of stock of any class, shall affect, and no adjustment by reason thereof shall be made with respect to, the number or price of Shares subject to an Award hereunder. Except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(a)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(b)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(a)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(b)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twenty-five percent (25%) of the voting power in the resulting entity; (c) during any period of two (2) consecutive years beginning on or after the date of the approval of this Plan by the shareholders (the “Effective Date”), the persons who were members of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Date shall be deemed to be an Incumbent Director if such director was elected to the board of directors by, or on the recommendation of or with the approval of, at least two-thirds of the directors who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4"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(d)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(c) Additional Conditions. The Administrator shall have the authority to condition the grant of any Award in such other manner that the Administrator determines to be appropriate, provided that such condition is not inconsistent with the terms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5"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 Trading Policy Restrictions. Option and or Stock Appreciation Right exercises and Shares issued in connection with any Stock Awards under the Plan shall be subject to the terms and conditions of any insider trading policy established by the Company or the Administrator. 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policy will be an event giving rise to a right to resign for “good reason” or “constructive termination” (or similar term) under any agreement with the Company or any of its Subsidiaries or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6"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7"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LISATA BIOSCIENCES, INC. 2018 EQUITY INCENTIVE COMPENSATION PLAN, AS AMENDED _____________________________ Effective as of June 27, 2024 _____________________________ 1. Purposes of the Plan. The purposes of this Lisata Therapeutics, Inc. (f/k/a Caladrius Biosciences, Inc.) 2018 Equity Incentive Compensation Plan (the “Plan”) are to attract and retain the best available personnel for positions of substantial responsibility, to provide additional incentives to Employees, Directors and Consultants, and to promote the success of the Company and any Parent or Subsidiary. Options granted under the Plan may be Incentive Stock Options or Nonstatutory Stock Options, as determined by the Administrator at the time of grant. Restricted Stock, Restricted Stock Units, Deferred Share Units, Unrestricted Shares and Stock Appreciation Rights may also be granted under the Plan. 2. Definitions. As used herein, the following definitions shall apply: “Administrator” means a Committee which has been delegated the responsibility of administering the Plan in accordance with Section 4 of the Plan or, if there is no such Committee, the Board. “Applicable Laws” means the requirements relating to the administration of equity compensation plans under the applicable corporate and securities laws of any of the states in the United States, U.S. federal securities laws, the Code, any stock exchange or quotation system on which the Common Stock is listed or quoted and the applicable laws of any foreign country or jurisdiction where Awards are, or will be, granted under the Plan. “Award” means the grant of an Option, Restricted Stock, Restricted Stock Units, Deferred Share Units, a Stock Appreciation Right and/or the grant of Unrestricted Shares. “Board” means the Board of Directors of the Company. “Cause”, with respect to any Service Provider, means (unless otherwise determined by the Administrator) such Service Provider’s (i) conviction of, or plea of nolo contendere to, a felony or crime involving moral turpitude; (ii) fraud on or misappropriation of any funds or property of the Company; (iii) personal dishonesty, willful misconduct, willful violation of any law, rule or regulation (other than minor traffic violations or similar offenses) or breach of fiduciary duty which involves personal profit; (iv) willful misconduct in connection with the Service Provider’s duties; (v) chronic use of alcohol, drugs or other similar substances which affects the Service Provider’s work performance; or (vi) material breach of any provision of any employment, non-disclosure, non-competition, non-solicitation or other similar agreement executed by the Service Provider for the benefit of the Company, all as reasonably determined by the Administrator, which determination will be conclusive. Notwithstanding the foregoing, if a Service Provider and the Company (or any of its Subsidiaries or affiliates) have entered into an employment agreement, consulting agreement, advisory agreement or other similar agreement that specifically defines “cause,” then with respect to such Service Provider, “Cause” shall have the meaning defined in that employment agreement, consulting agreement, advisory agreement or other agreement. “Code” means the Internal Revenue Code of 1986, as amended. “Committee” means a committee of Directors appointed by the Board in accordance with Section 4 of the Plan. “Common Stock” means the common stock, par value $.001 per share, of the Company. “Company” means Lisata Therapeutics, Inc. (f/k/a Caladrius Biosciences, Inc.), a Delaware corporation. “Consultant” means any person, including an advisor, engaged by the Company or a Parent or Subsidiary to render services to such entity, other than an Employee or a Director. “Deferred Share Unit” (or “DSU”) has the meaning set forth in Section 12 of the Plan. Amendment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8"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“Director” means a member of the Board. “Disability” means total and permanent disability as defined in Section 22(e)(3) of the Code. “Employee” means any person, including officers and Directors, serving as an employee of the Company or any Parent or Subsidiary. An individual shall not cease to be an Employee in the case of (i) any leave of absence approved by the Company or (ii) transfers between locations of the Company or between the Company, its Parent, any Subsidiary or any successor. For purposes of an Option initially granted as an Incentive Stock Option, if a leave of absence of more than three months precludes such Option from being treated as an Incentive Stock Option under the Code, such Option thereafter shall be treated as a Nonstatutory Stock Option for purposes of this Plan. Neither service as a Director nor payment of a director’s fee by the Company shall be sufficient to constitute “employment” by the Company. “Exchange Act” means the Securities Exchange Act of 1934, as amended. “Fair Market Value” means, as of any date, the value of Common Stock determined as follows: (i) if the Common Stock is listed on any established stock exchange or a national market system, including without limitation the NYSE Amex, Nasdaq National Market or The Nasdaq SmallCap Market of The Nasdaq Stock Market, or any successor to any of them, the Fair Market Value of a Share of Common Stock shall be the closing sales price of a Share of Common Stock as quoted on such exchange or system for such date (or the most recent trading day preceding such date if there were no trades on such date), as reported in The Wall Street Journal or such other source as the Administrator deems reliable, including without limitation, Yahoo! Finance; (ii) if the Common Stock is regularly quoted by a recognized securities dealer but is not listed in the manner contemplated by clause (i) above, the Fair Market Value of a Share of Common Stock shall be the mean between the high bid and low asked prices for the Common Stock for such date (or the most recent trading day preceding such date if there were no trades on such date), as reported in The Wall Street Journal or such other source as the Administrator deems reliable, including without limitation Yahoo! Finance; or (iii) if neither clause (i) above nor clause (ii) above applies, the Fair Market Value shall be determined in good faith by the Administrator based on the reasonable application of a reasonable valuation method. “Grant Agreement” means an agreement between the Company and a Participant evidencing the terms and conditions of an individual Option or Stock Appreciation Right grant. Each Grant Agreement shall be subject to the terms and conditions of the Plan. “Incentive Stock Option” means an Option intended to qualify as an incentive stock option within the meaning of Section 422 of the Code and the regulations promulgated thereunder. “Nonstatutory Stock Option” means an Option not intended to qualify as an Incentive Stock Option. “Notice of Grant” means a written or electronic notice evidencing certain terms and conditions of an individual Option grant, Stock Award grant or grant of Unrestricted Shares or Stock Appreciation Rights. The Notice of Grant applicable to Awards shall be part of the Grant Agreement or Stock Award Agreement, as applicable. “Option” means a stock option granted pursuant to the Plan. “Optioned Stock” means the Common Stock subject to an Option. “Optionee” means the holder of an outstanding Option granted under the Plan. “Parent” means a “parent corporation” of the Company (or, for purposes of Section 16(b) of the Plan, a successor to the Company), whether now or hereafter existing, as defined in Section 424(e) of the Code. “Participant” shall mean any Service Provider who holds an Option, Restricted Stock, a Restricted Stock Units, Deferred Share Units, Unrestricted Shares or a Stock Appreciation Right granted or issued pursuant to the Plan. “Restricted Stock” means an Award of Shares pursuant to Section 11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9"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“Restricted Stock Unit” means an Award of Shares pursuant to Section 12 of the Plan. “Rule 16b-3” means Rule 16b-3 of the Exchange Act or any successor to such Rule 16b-3, as such rule is in effect when discretion is being exercised with respect to the Plan. “Section 16(b)” means Section 16(b) of the Exchange Act. “Service Provider” means an Employee, Director or Consultant. “Share” means a share of the Common Stock, as adjusted in accordance with Section 16 of the Plan. “Stock Appreciation Right” means a right awarded pursuant to Section 14 of the Plan. “Stock Award” means an Award of Restricted Stock pursuant to Section 11 of the Plan, an Award of Restricted Stock Units (including Deferred Share Units) pursuant to Section 12 of the Plan and an Award of Unrestricted Shares pursuant to Section 13 of the Plan. “Stock Award Agreement” means an agreement, approved by the Administrator, providing the terms and conditions of a Stock Award. “Stock Award Shares” means Shares subject to a Stock Award. “Stock Awardee” means the holder of an outstanding Stock Award granted under the Plan. “Subsidiary” means a “subsidiary corporation” of the Company (or, for purposes of Section 16(b) of the Plan, a successor to the Company), whether now or hereafter existing, as defined in Section 424(f) of the Code. “Unrestricted Shares” means a grant of Shares made on an unrestricted basis pursuant to Section 13 of the Plan. 3. Stock Subject to the Plan. (a) Subject to adjustment pursuant to the provisions of Section 16(a) of the Plan, the maximum aggregate number of Shares that may be issued under the Plan is 1,900,000 Shares, all of which may be issued in respect of Incentive Stock Options. In addition there shall be added to the reserve any Shares that are subject to awards under the Company’s Amended and Restated 2009 Equity Compensation Plan and 2015 Equity Compensation Plan, as amended, and not thereafter issued under such plan due to a forfeiture, cancellation, or other settlement thereof up to a maximum of 27,126 shares, all of which may be issued in respect of Incentive Stock Options. (b) Notwithstanding Section 3(a), on the first day of each fiscal year of the Company during the period beginning in fiscal year 2025 and ending on the second day of fiscal year 2027, the number of Shares that may be issued from time to time pursuant to the Plan shall be increased by an amount equal to the lesser of (i) 5% of the number of outstanding shares of Common Stock on the immediately preceding December 31 and (ii) an amount determined by the Administrator. The maximum number of Shares that may be issued in respect of Incentive Stock Options shall be equal to the maximum number of shares available for issuance pursuant to Section 3(a), without taking into account any increases pursuant to this Section 3(b). (c) The maximum number of Shares subject to Options and Stock Appreciation Rights which may be issued to any Participant under the Plan during the term of the Plan is fifty percent (50%) of the number of Shares determined from time to time pursuant to the first sentence of this Section. If an Option or Stock Appreciation Right expires or becomes unexercisable without having been exercised in full or is canceled or terminated, or if any Shares of Restricted Stock or Shares underlying any other type of Stock Award are forfeited or reacquired by the Company or results in any Shares not being issued even if used to satisfy the exercise price or a tax withholding obligation, the Shares that were subject thereto shall be added back to the Shares available for issuance under the Plan. The Company, during the term of this Plan, will at all times reserve and keep available such number of Shares as shall be sufficient to satisfy the requirements of the Plan. (d) Notwithstanding anything to the contrary herein, the maximum number of Shares that may be subject to Awards granted to any non-Employee Director in any calendar year under the Plan shall not exceed an aggregate grant date fair value of $60,000, except that the foregoing limitation shall not apply to awards made (i) pursuant to an 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0"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by a non-Employee Director to receive the Award in lieu of cash for all or a portion of cash fees to be received for service on the Board or any Committee thereof or (ii) in connection with a non-Employee Director initially joining the Board. 4. Administration of the Plan. (a) Appointment. The Plan shall be administered by a Committee to be appointed by the Board, which Committee shall consist of not less than two members of the Board and shall be comprised solely of members of the Board who qualify as both non-employee directors as defined in Rule 16b-3(b)(3) of the Exchange Act. The Board shall have the power to add or remove members of the Committee, from time to time, and to fill vacancies thereon arising; by resignation, death, removal, or otherwise. Meetings shall be held at such times and places as shall be determined by the Committee. A majority of the members of the Committee shall constitute a quorum for the transaction of business, and the vote of a majority of those members present at any meeting shall decide any question brought before that meeting. (b) Powers of the Administrator. The Administrator shall have the authority, in its discretion: (i) to determine the Fair Market Value of Shares; (ii) to select the Service Providers to whom Awards may be granted hereunder; (iii) to determine the number of shares of Common Stock to be covered by each Award granted hereunder; (iv) to approve forms of agreement for use under the Plan, including but not limited to Grant Agreements and Stock Award Agreements; (v) to determine the terms and conditions, not inconsistent with the terms of the Plan or of any Award granted hereunder. Such terms and conditions include, but are not limited to, the exercise price, the time or times when Options and Stock Appreciation Rights may be exercised (which may be based on performance criteria), any vesting, acceleration or waiver of forfeiture provisions, and any restriction or limitation regarding any Option, Stock Appreciation Right or Stock Award, or the Shares of Common Stock relating thereto, based in each case on such factors as the Administrator, in its sole discretion, shall determine; (vi) to construe and interpret the terms of the Plan, Awards granted pursuant to the Plan and agreements entered into pursuant to the Plan; (vii) to prescribe, amend and rescind rules and regulations relating to the Plan, including rules and regulations relating to sub-plans established for the purpose of qualifying for preferred tax treatment under foreign tax laws. Without limiting the foregoing, the Administrator is specifically authorized to adopt rules and procedures regarding the conversion of local currency, taxes, withholding procedures, escrow accounts, sub- plans, and handling of stock certificates, making of book entries, and/or settlement of Awards in cash in lieu of Shares, in all of the foregoing instances in ways that may vary with the customs and requirements of Applicable Laws and other considerations of particular countries or jurisdictions thereof; (viii) to modify or amend each Award (subject to Section 19(c) of the Plan) in any manner that would be allowed for a new Award under the Plan, including the discretionary authority to accelerate the vesting of any Stock Award, to extend, subject to the terms of the Plan, the post-termination exercisability period of Options or Stock Appreciation Rights longer than is otherwise provided for in a Grant Agreement, and to accelerate the time at which any outstanding Option or Stock Appreciation Right may be exercised; provided, however, that, except as approved by the Company’s stockholders, for any period during which the Company is subject to the reporting requirements of the Exchange Act, the Administrator may not cancel an outstanding Option or SAR whose exercise price is greater than Fair Market Value at the time of cancellation for the purpose of reissuing the Option or SAR to the Participant at a lower exercise price, granting a replacement award of a different type, or otherwise allowing for a “repricing” within the meaning of either the federal securities laws applicable to proxy statement disclosures or other applicable governance standards;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1"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(ix) to allow grantees to satisfy withholding tax obligations by having the Company withhold from the Shares to be issued upon exercise of an Option or Stock Appreciation Right, upon vesting of a Stock Award or upon the grant of Unrestricted Shares that number of Shares having a Fair Market Value equal to the amount required to be withheld. The Fair Market Value of the Shares to be withheld shall be determined on the date that the amount of tax to be withheld is to be determined. All determinations to have Shares withheld for this purpose shall be made by the Administrator in its discretion; (x) to reduce the exercise price of any Option or Stock Appreciation Right, provided such reduction receives shareholder approval in accordance with Applicable Law; (xi) to authorize any person to execute on behalf of the Company any agreement entered into pursuant to the Plan and any instrument required to effect the grant of an Award previously granted by the Administrator; (xii) to correct any defect, omission or inconsistency in this Plan or any Grant or Stock Award Agreement, in the manner and to the extent deemed necessary or expedient to make this Plan or an Award fully effective; (xiii) to settle all controversies regarding this Plan and Awards granted hereunder; (xiv) to the extent consistent with the purposes of this Plan and without amending this Plan, to cancel or waive the Company’s rights with respect to any Awards, to adjust or to modify Grant and/or Stock Award Agreements for changes in Applicable Laws, and to recognize differences in foreign law, tax policies or customs; (xv) to require, as a condition precedent to the grant, vesting, exercise, settlement and/or issuance of Shares pursuant to any Award, that a Participant agree to execute a general release of claims (in any form that the Administrator may require, in its sole and absolute discretion, which form may include any other provisions, e.g., confidentiality and restrictions on competition, that are found in general claims release agreements that the Company utilizes or expects to utilize); (xvi) in the event that the Company establishes, for itself or through using the services of a third party, an automated system for the documentation, granting, settlement, or exercise of Awards, such as a system using an internet website or interactive voice response, to implement paperless documentation, granting, settlement, or exercise of Awards by Participants, to permit or to unilaterally require the future use of such an automated system (for all Awards, whenever granted); and (xvii) to make all other determinations deemed necessary or advisable for administering the Plan. (c) Action by Administrator. Unless otherwise established by the Board or in any charter of the Committee or the Administrator, or by the terms of this Plan,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 officer or other Employee of the Company or any of its Subsidiaries affiliates, the Company’s independent certified public accountants or independent registered public accounting firm, or any executive compensation Consultant or other professional retained by the Administrator or the Company to assist in the administration of this Plan. (d) Effect of Administrator’s Decision. The Administrator’s decisions, determinations findings of fact, and interpretations shall be final and binding on all holders of Awards. The validity of any such decisions, determinations, findings of fact, or interpretations shall not be given de novo review if challenged in court, by arbitration or in any other forum, and shall be upheld unless clearly and convincingly shown to have been made in bad faith or materially affected by fraud. None of the Board, the Committee or the Administrator, nor any member or delegate thereof, shall be liable for any act, omission, interpretation, construction or determination made in good faith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2"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connection with the Plan, and each of the foregoing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(e) Delegation of Grant Authority. Notwithstanding any other provision in the Plan, the Board may, to the full extent allowable under Applicable Laws, authorize the Company’s Chief Executive Officer or another executive officer of the Company or a committee of such officers (“Authorized Officers”) to grant Awards under the Plan; provided, however, that in no event shall the Authorized Officers be permitted to grant Awards to (i) any Director, (ii) any person who is identified by the Company as an executive officer of the Company or who is subject to the restrictions imposed under Section 16 of the Exchange Act, (iii) any person who is not an employee of the Company or any Subsidiary, or (iv) such other person or persons as may be designated from time to time by the Board. If such authority is provided by the Board, the Board shall establish and adopt written guidelines setting forth the maximum number of shares for which the Authorized Officers may grant Awards to any individual during a specified period of time and such other terms and conditions as the Board deems appropriate for such grants. Such guidelines may be amended by the Board prospectively at any time. Subject to the foregoing, the Authorized Officers shall have the same authority as the Administrator under this Section 4 with respect to the grant of Awards under the Plan. (f) Claims Limitations Period. Any Participant who believes he or she is being denied any benefit or right under this Plan or under any Award may file a written claim with the Administrator. Any claim must be delivered to the Administrator (care of the Company’s President and Chief Financial Officer) within forty-five (45) days of the specific event giving rise to the claim. Untimely claims will not be processed and shall be deemed denied. The Administrator, or its designee, will notify the Participant of its decision in writing as soon as administratively practicable. Claims not responded to by the Administrator in writing within one hundred and twenty (120) days of the date the written claim is delivered to the Administrator shall be deemed denied. No lawsuit relating to this Plan or any Award(s) may be filed before a written claim is filed with the Administrator and is denied or deemed denied, and any lawsuit must be filed within one year of such denial or deemed denial or be forever barred. (g) Expenses. The expenses of administering this Plan (including the settlement of Awards) shall be borne by the Company. 5. Eligibility. Nonstatutory Stock Options, Stock Awards and Stock Appreciation Rights may be granted to Service Providers. Incentive Stock Options may be granted only to Employees. Notwithstanding anything contained herein to the contrary, an Award may be granted to a person who is not then a Service Provider; provided, however, that the grant of such Award shall be conditioned upon such person becoming a Service Provider at or prior to the time of the execution of the agreement evidencing such Award. 6. Limitations. (a) Each Option shall be designated in the Grant Agreement as either an Incentive Stock Option or a Nonstatutory Stock Option. However, notwithstanding such designation, if a single Employee becomes eligible in any given year to exercise Incentive Stock Options for Shares having a Fair Market Value in excess of $100,000, those Options representing the excess shall be treated as Nonstatutory Stock Options. In the previous sentence, “Incentive Stock Options” include Incentive Stock Options granted under any plan of the Company or any Parent or any Subsidiary. For the purpose of deciding which Options apply to Shares that “exceed” the $100,000 limit, Incentive Stock Options shall be taken into account in the same order as granted. The Fair Market Value of the Shares shall be determined as of the time the Option with respect to such Shares is granted. (b) Neither the Plan nor any Award nor any agreement entered into pursuant to the Plan shall confer upon a Participant any right with respect to continuing the Participant’s relationship as a Service Provider with the Company, nor shall they interfere in any way with the Participant’s right or the Company’s right to terminate such relationship at any time, with or without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3"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Term of the Plan. The Plan shall continue in effect until April 23, 2028 unless terminated earlier under Section 19 of the Plan. 8. Term of Options. Unless otherwise provided in the applicable Grant Agreement, the term of each Option granted to anyone other than a Consultant shall be ten (10) years from the date of grant and the term of each Option granted to any Consultant shall be three (3) years from the date of grant. In the case of an Incentive Stock Option, the term shall be ten (10) years from the date of grant or such shorter term as may be provided in the applicable Grant Agreement. However, in the case of an Incentive Stock Option granted to an Optionee who, at the time the Incentive Stock Option is granted, owns, directly or indirectly, stock representing more than ten percent (10%) of the total combined voting power of all classes of stock of the Company or any Parent or Subsidiary, the term of the Incentive Stock Option shall be five (5) years from the date of grant or such shorter term as may be provided in the applicable Grant Agreement. 9. Option Exercise Price; Exercisability. (a) Exercise Price. The per share exercise price for the Shares to be issued pursuant to exercise of an Option shall be determined by the Administrator, subject to the following: (i) In the case of an Incentive Stock Option (1) 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 or (2) granted to any Employee other than an Employee described in paragraph (A) immediately above, the per Share exercise price shall be no less than 100% of the Fair Market Value per Share on the date of grant. (ii) In the case of a Nonstatutory Stock Option, the per Share exercise price shall be no less than 100% of the Fair Market Value per Share on the date of grant, as determined by the Administrator in good faith. (b) Exercise Period and Conditions. At the time that an Option is granted, the Administrator shall fix the period within which the Option may be exercised and shall determine any conditions that must be satisfied before the Option may be exercised. (c) Prohibition on Repricing. Except as otherwise provided in Section 16, but notwithstanding any other provision of the Plan, without the prior approval of the shareholders of the Company: (i) the exercise price of an Option or Stock Appreciation Right may not be reduced, directly or indirectly, (ii) no Option or Stock Appreciation Right may be cancelled in exchange for cash, other Awards, or Options or Stock Appreciation Rights with an exercise price that is less than the exercise price of the original Option or Stock Appreciation Right, or otherwise, and (iii) the Company may not repurchase an Option or Stock Appreciation Right for value (in cash, substitutions, cash buyouts, or otherwise) from a Participant if the current Fair Market Value of the Shares underlying the Option or Stock Appreciation Right is lower than its exercise price per Share. 10. Exercise of Options; Consideration. (a) Procedure for Exercise; Rights as a Shareholder. Any Option granted hereunder shall be exercisable according to the terms of the Plan and at such times and under such conditions as determined by the Administrator and set forth in the Grant Agreement. Unless the Administrator provides otherwise, vesting of Options granted hereunder shall be tolled during any unpaid leave of absence. An Option may not be exercised for a fraction of a Share. An Option shall be deemed exercised when the Company receives: (i) written or electronic notice of exercise (in accordance with the Grant Agreement) from the person entitled to exercise the Option, and (ii) full payment for the Shares with respect to which the Option is exercised. Full payment may consist of any consideration and method of payment authorized by the Administrator and permitted by the Grant Agreement and Section 10(f) of the Plan. Shares issued upon exercise of an Option shall be issued in the name of the Optionee. Until the Shares are issued (as evidenced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4"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16 of the Plan. Exercising an Option in any manner shall decrease the number of Shares thereafter available, both for purposes of the Plan and for sale under the Option, by the number of Shares as to which the Option is exercised. (b) Termination of Relationship as a Service Provider. Unless otherwise specified in the Grant Agreement or provided by the Administrator, if an Optionee ceases to be a Service Provider, other than as a result of (x) the Optionee’s death or Disability, or (y) termination of such Optionee’s employment or relationship with the Company with Cause, the Optionee may exercise his or her Option for up to ninety (90) days following the date on which the Optionee ceases to be a Service Provider to the extent that the Option is vested on the date of termination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date that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Notwithstanding the foregoing, if there is a blackout period under the Company’s insider trading policy or Applicable Law (or an Administrator-imposed blackout period) that prohibits the buying or selling of Shares during any part of the ten-day period before the expiration of any Option based on the termination of a Participant’s employment for any reason other than Cause, the period for exercising the Option shall be extended until the earlier of ten days beyond when such blackout period ends and the expiration date of its original term as set forth in the applicable Grant Agreement. An Optionee who changes his or her status as a Service Provider (e.g., from being an Employee to being a Consultant) shall not be deemed to have ceased being a Service Provider for purposes of this Section 10(b), nor shall a transfer of employment among the Company and any Subsidiary be considered a termination of employment; however, if an Optionee holding Incentive Stock Options ceases being an Employee but continues as a Service Provider, such Incentive Stock Options shall be deemed to be Nonstatutory Stock Options three months after the date of such cessation. (c) Disability of an Optionee. Unless otherwise specified in the Grant Agreement, if an Optionee ceases to be a Service Provider as a result of the Optionee’s Disability, the Optionee may exercise his or her Option, to the extent the Option is vested on the date that the Optionee ceases to be a Service Provider, up until the one-year anniversary of the date on which the Optionee ceases to be a Service Provider (but in no event later than the expiration of the term of such Option as set forth in the Grant Agreement). If, on the date that the Optionee ceases to be a Service Provider, the Optionee is not vested as to his or her entire Option, the Shares covered by the unvested portion of the Option shall revert to the Plan. If, after the Optionee ceases to be a Service Provider, the Optionee does not exercise his or her Option in full within the time set forth herein or the Grant Agreement, as applicable, the unexercised portion of the Option shall terminate, and the Shares covered by such unexercised portion of the Option shall revert to the Plan. (d) Death of an Optionee. Unless otherwise specified in the Grant Agreement, if an Optionee dies while a Service Provider, the Option may be exercised, to the extent that the Option is vested on the date of death, by the Optionee’s estate or by a person who acquires the right to exercise the Option by bequest or inheritance up until the one-year anniversary of the Optionee’s death (but in no event later than the expiration of the term of such Option as set forth in the Notice of Grant). If, at the time of death, the Optionee is not vested as to his or her entire Option, the Shares covered by the unvested portion of the Option shall revert to the Plan. If the Option is not so exercised in full within the time set forth herein or the Grant Agreement, as applicable, the unexercised portion of the Option shall terminate, and the Shares covered by the unexercised portion of such Option shall revert to the Plan. (e) Termination for Cause or Voluntary Termination. If a Service Provider’s relationship with the Company is terminated for Cause (or the Service Provider resigns or is terminated at a time when the Company had Cause for such termination), then, unless otherwise provided in such Service Provider’s Grant Agreement or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5"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Administrator, such Service Provider shall have no right to exercise any of such Service Provider’s Options at any time on or after the effective date of such termination. (f) 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 (i) cash; (ii) check; (iii) other Shares which (A) in the case of Shares acquired upon exercise of an option at a time when the Company is subject to Section 16(b) of the Exchange Act, have been owned by the Optionee for more than six months on the date of surrender, and (B) have a Fair Market Value on the date of surrender equal to the aggregate exercise price of the Shares as to which said Option shall be exercised; (iv) consideration received by the Company under a cashless exercise program implemented by the Company in connection with the Plan; (v) a reduction in the number of Shares otherwise issuable by a number of Shares having a Fair Market Value equal to the exercise price of the Option being exercised; (vi) any combination of the foregoing methods of payment; or (vii) such other consideration and method of payment for the issuance of Shares to the extent permitted by Applicable Laws. Notwithstanding any other provision of this Plan to the contrary, no Participant who is a Director or an “executive officer” of the Company within the meaning of Section 13(k) of the Exchange Act shall be permitted to make payment with respect to any Awards granted under this Plan, or continue any extension of credit with respect to such payment with a loan from the Company or a loan arranged by the Company in violation of Section 13(k) of the Exchange Act. (g) Non-Exempt Employees. If an Option or SAR is granted to an Employee who is a non-exempt employee for purposes of the Fair Labor Standards Act of 1938, as amended, the Option or SAR will not be first exercisable for any Shares until at least six (6) months following the Grant Date of the Option or Stock Appreciation Right (although the Award may vest prior to such date). Consistent with the provisions of the Worker Economic Opportunity Act, (i) if such non-exempt Employee dies or becomes Disabled, or (ii) upon a Change in Control in which such Option or Stock Appreciation Right is not assumed, continued or substituted, the vested portion of any Options and SARs may be exercised earlier than six months following the Grant Date. The foregoing provision is intended to operate so that any income derived by a non-exempt employee in connection with the exercise or vesting of an Option or Stock Appreciation Right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will apply to all Awards and are hereby incorporated by reference into such applicable Award Agreements. 11. Stock Awards. The Administrator may, in its sole discretion, grant (or sell at par value or such higher purchase price as it determines) Shares to any Service Provider subject to such terms and conditions as the Administrator sets forth in a Stock Award Agreement evidencing such grant. Stock Awards may be granted or sold in respect of past services or other valid consideration or in lieu of any cash compensation otherwise payable to such individual. The grant of Stock Awards under this Section 11 shall be subject to the following provisions: (a) At the time a Stock Award under this Section 11 is made, the Administrator shall establish a vesting period (the “Restricted Period”) applicable to the Stock Award Shares subject to such Stock Award. The Administrator may, in its sole discretion, at the time a grant is made, prescribe restrictions in addition to the expiration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6"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of the Restricted Period, including the satisfaction of corporate or individual performance objectives. None of the Stock Award Shares may be sold, transferred, assigned, pledged or otherwise encumbered or disposed of during the Restricted Period applicable to such Stock Award Shares or prior to the satisfaction of any other restrictions prescribed by the Administrator with respect to such Stock Award Shares. (b) The Company shall issue, in the name of each Service Provider to whom Stock Award Shares have been granted, stock certificates representing the total number of Stock Award Shares granted to such person, as soon as reasonably practicable after the grant. The Company, at the direction of the Administrator, shall hold such certificates, properly endorsed for transfer, for the Stock Awardee’s benefit until such time as the Stock Award Shares are forfeited to the Company, or the restrictions lapse. (c) Unless otherwise provided by the Administrator, holders of Stock Award Shares shall have the right to vote such Shares and cash dividends may accrue with respect to such Shares but shall not be paid prior to the time, and may be paid only to the extent that the Restricted Period applicable to the Stock Award Shares subject to such Stock Award have lapsed or the corporate or individual performance objectives have been achieved. All distributions, if any, received by a Stock Awardee with respect to Stock Award Shares as a result of any stock split, stock distribution, combination of shares, or other similar transaction shall be subject to the restrictions of this Section 11. (d) Unless otherwise provided by the Stock Award Agreement or determined by the Administrator in its sole discretion, any unvested Stock Award Shares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Award. (e) Upon the expiration or termination of the Restricted Period and the satisfaction of any other conditions prescribed by the Administrator, the restrictions applicable to the Stock Award Shares shall lapse and, at the Stock Awardee’s request, a stock certificate for the number of Stock Award Shares with respect to which the restrictions have lapsed shall be delivered, free of all such restrictions, to the Stock Awardee or his beneficiary or estate, as the case may be. 12. Restricted Stock Units. The Administrator may, in its sole discretion, grant Restricted Stock Units to a Service Provider subject to such terms and conditions as the Administrator sets forth in a Stock Award Agreement evidencing such grant. “Restricted Stock Units” are Awards denominated in units evidencing the right to receive Shares, which may vest over such period of time and/or upon satisfaction of such performance criteria or objectives as is determined by the Administrator at the time of grant and set forth in the applicable Stock Award Agreement, without payment of any amounts by the Stock Awardee thereof (except to the extent required by law). Prior to delivery of Shares with respect to an award of Restricted Stock Units, the Stock Awardee shall have no rights as a shareholder of the Company. Upon satisfaction and/or achievement of the applicable vesting requirements relating to an Award of Restricted Stock Units, the Stock Awardee shall be entitled to receive a number of Shares that are equal to the number of Restricted Stock Units that became vested. To the extent, if any, set forth in the applicable Stock Award Agreement, cash dividend equivalents may be accumulated and paid at the end of, the applicable vesting period or achievement of the performance conditions only to the extent that the Stock Awardee receives the Shares issuable pursuant to the Restricted Stock Units. Unless otherwise provided by the Stock Award Agreement or determined by the Administrator in its sole discretion, any Restricted Stock Units granted to a Service Provider pursuant to the Plan shall be forfeited if the Stock Awardee’s employment or service with the Company or its Subsidiaries terminates for any reason prior to the expiration or termination of the applicable vesting period and/or the achievement of such other vesting conditions applicable to the Restricted Stock Units. Notwithstanding the foregoing provisions for the settlement of Restricted Stock Units at the time of vesting, the Administrator may pursuant to Stock Award Agreements permit Stock Awardees who are Directors or members of a select group of management or “highly compensated employees” (within the meaning of ERISA) to irrevocably elect, on a form provided by and acceptable to the Administrator (the “Election Form”), to forego the receipt of cash or other compensation (including the Shares deliverable pursuant to any Restricted Stock Unit Award) and in lieu thereof to have the Company credit to an internal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7"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Plan account a number of Deferred Share Units having a Fair Market Value equal to the Shares and other compensation deferred. These credits will be made at the end of each calendar year (or other period determined by the Administrator) during which compensation is deferred. A Participant’s Election Form will in no event be effective with respect to any compensation that the Participant earns before the date on which the Election Form takes effect. For any Participant who is subject to U.S. income taxation, the Administrator shall only authorize deferral elections under this Section pursuant to written procedures, and using written Election Forms, that satisfy the requirements of Code Section 409A. In all cases, DSUs shall be subject to the following terms and conditions: (a) Vesting. Unless a Stock Award Agreement expressly provides otherwise, each Participant shall be 100% vested at all times in any Shares subject to DSUs. (b) Issuances of Shares. Unless a Stock Award Agreement expressly provides otherwise, the Company shall settle a Participant’s DSUs by delivering one Share for each DSU, in five substantially equal annual installments that are issued before the last day of each of the five calendar years that end after the date on which the Participant’s Continuous Service ends for any reason, subject to: (i) the Participant’s right to elect a different form of distribution, only on a form provided by and acceptable to the Administrator, that permits the Participant to select any combination of a lump sum and annual installments that are triggered by, and completed within ten years following, the last day of the Participant’s Continuous Service; and (ii) the Company’s acceptance of the Participant’s distribution election form executed at the time the Participant elects to defer the receipt of cash or other compensation pursuant to this Section; provided that the Participant may change a distribution election through any subsequent election that (A) the Participant delivers to the Company at least one year before the date on which distributions are otherwise scheduled to commence pursuant to the Participant’s initial distribution election, and (B) defers the commencement of distributions by at least five years from the originally scheduled distribution commencement date. Fractional shares shall not be issued, and instead shall be paid out in cash. (c) Termination of Service. For purposes of this Section, a Participant’s employment shall be considered to have terminated only when the Participant incurs a “separation from service” within the meaning of Treasury Regulations Section 1.409A-1(h). A Participant shall be considered to have experienced a Separation from Service when the facts and circumstances indicate that either (i) no further services will be performed for the Company or any of its Subsidiaries or affiliates after a certain date, or (ii) the level of bona fide services the Participant will perform after such date (whether as an Employee, Director or Consultant) are reasonably expected to permanently decrease to no more than 50% of the average level of bona fide services performed by such Participant (whether as an Employee, Director or Consultant) over the immediately preceding 36-month period (or full period of services to the Company and its Subsidiaries and affiliates if the Participant has been providing such services for less than 36 months). 13. Unrestricted Shares. The Administrator may grant Unrestricted Shares in accordance with the following provisions: (a) The Administrator may cause the Company to grant Unrestricted Shares to Service Providers at such time or times, in such amounts and for such reasons as the Administrator, in its sole discretion, shall determine. No payment shall be required for Unrestricted Shares. (b) The Company shall issue, in the name of each Service Provider to whom Unrestricted Shares have been granted, stock certificates representing the total number of Unrestricted Shares granted to such individual, and shall deliver such certificates to such Service Provider as soon as reasonably practicable after the date of grant or on such later date as the Administrator shall determine at the time of grant. 14. Stock Appreciation Rights. A Stock Appreciation Right may be granted by the Administrator either alone, in addition to, or in tandem with other Awards granted under the Plan. Each Stock Appreciation Right granted under the Plan shall be subject to the following terms and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8"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 Each Stock Appreciation Right shall relate to such number of Shares as shall be determined by the Administrator. (b) The date of grant of a Stock Appreciation Right shall be the date specified by the Administrator, provided that that date shall not be before the date on which the Stock Appreciation Right is actually granted and shall not be prior to the date on which the recipient commences providing services as a Service Provider. The term of each Stock Appreciation Right shall be determined by the Administrator, but shall not exceed ten years from the date of grant. Each Stock Appreciation Right shall become exercisable at such time or times and in such amount or amounts during its term as shall be determined by the Administrator. Unless otherwise specified by the Administrator, once a Stock Appreciation Right becomes exercisable, whether in full or in part, it shall remain so exercisable until its expiration, forfeiture, termination or cancellation. Notwithstanding the foregoing, if there is a blackout period under the Company’s insider trading policy or Applicable Law (or an Administrator-imposed blackout period) that prohibits the buying or selling of Shares during any part of the ten-day period before the expiration of any Stock Appreciation Right based on the termination of a Participant’s employment without Cause, the period for exercising the Stock Appreciation Right shall be extended until the earlier of ten days beyond when such blackout period ends and the expiration date of its original term as set forth in the applicable Grant Agreement. (c) A Stock Appreciation Right may be exercised, in whole or in part, by giving written notice to the Administrator. As soon as practicable after receipt of the written notice, the Company shall deliver to the person exercising the Stock Appreciation Right stock certificates for the Shares to which that person is entitled under Section 14(d) hereof, subject however to prior satisfaction of applicable withholding requirements in accordance with any method consistent with those set forth in Section 10(f) above. (d) A Stock Appreciation Right shall be exercisable for Shares only. The number of Shares issuable upon the exercise of the Stock Appreciation Right shall be determined by dividing: (i) the number of Shares for which the Stock Appreciation Right is exercised multiplied by the amount of the appreciation per Share (for this purpose, the “appreciation per Share” shall be the amount by which the Fair Market Value of a Share on the exercise date exceeds (x) in the case of a Stock Appreciation Right granted in tandem with an Option, the exercise price or (y) in the case of a Stock Appreciation Right granted alone without reference to an Option, the Fair Market Value of a Share on the Award Date of the Stock Appreciation Right); by (ii) the Fair Market Value of a Share on the exercise date. 15. Non-Transferability. Awards other than Unrestricted Shares shall not be transferable by the Participant other than (i) by will or by the laws of descent and distribution, or (ii) as approved by the Administrator in its discretion and set forth in the applicable Agreement provided that no Award may be transferred by a Participant for value. Notwithstanding the foregoing, an ISO transferred except in compliance with clause (i) above shall no longer qualify as an ISO. If the Administrator makes an Option or Stock Appreciation Right transferable, such Option or Stock Appreciation Right shall contain such additional terms and conditions as the Administrator deems appropriate. Notwithstanding the foregoing, the Administrator, in its sole discretion, may provide in the Grant Agreement regarding a given Option that the Optionee may transfer, without consideration for the transfer, his or her Nonstatutory Stock Options to members of his or her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Option. 16. Adjustments Upon Changes in Capitalization; Change in Control Provisions. (a) Changes in Capitalization. Subject to any required action by the shareholders of the Company, the number of Shares covered by each outstanding Award, and the number of Shares which have been authorized for issuance under the Plan but as to which no Awards have yet been granted or which have been returned to the Plan upon cancellation or expiration of any Awards, as well as the price per Share covered by each such outstanding Option or Stock Appreciation Right and the share limitations set forth in Section 3, shall be proportionately and equitably adjusted for any increase or decrease in the number of issued Shares resulting from a stock split, reverse stock split,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9"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stock dividend, combination or reclassification of the Common Stock, or any other increase or decrease in the number of issued Shares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hereunder. Except as expressly provided herein, the issuance by the Company of shares of stock of any class, or securities convertible into shares of stock of any class, for cash or property, or for labor or services either upon direct sale or upon the exercise of rights or warrants to subscribe therefor, or upon conversion of shares or obligations of the Company convertible into sub-shares or other securities, shall not affect, and no adjustment by reason thereof shall be made with respect to, the number of Shares then subject to Awards (or the price of Shares then subject to outstanding Options and Stock Appreciation Rights). (i) Change in Control Provisions. (ii) Benefits. In the event of a Change in Control of the Company (as defined below) and either (i) the failure of the Company’s successor to assume a Participant’s Awards or (ii) such assumption of Awards followed by the Participant’s termination without Cause on or within the one-year period following the Change in Control, then, except as otherwise provided by the Administrator in a Participant’s Grant or Stock Award Agreement, the Participant shall be entitled to the following benefits: (a) All outstanding Options and Stock Appreciation Rights of such Participant, if any, granted prior to the Change in Control shall be fully vested and immediately exercisable in their entirety upon such Change in Control (or upon later termination of the Participant’s employment without Cause, if applicable). (b) All unvested Stock Awards, performance-based Awards, and other Awards shall become fully vested, including without limitation, the following: (i) the restrictions to which any Stock Award granted prior to the Change in Control are subject shall lapse as if the applicable Restriction Period had ended upon such Change in Control (or upon later termination of the Participant’s employment without Cause, if applicable), and the conditions required for vesting of any unvested performance-based Awards shall be deemed to be satisfied, at their maximum performance level, upon such Change in Control (or upon later termination of the Participant’s employment without Cause, if applicable). (iii) Change in Control. A “Change in Control” shall mean the occurrence of any of the following: (a) any person (as defined in Section 3(a)(9) of the Exchange Act and as used in Sections 13(d) and 14(d) thereof), excluding the Company, any subsidiary of the Company and any employee benefit plan sponsored or maintained by the Company or any subsidiary of the Company (including any trustee of any such plan acting in his capacity as trustee), becoming the “beneficial owner” (as defined in Rule 13d-3 under the Exchange Act) of securities of the Company representing thirty percent (30%) of the total combined voting power of the Company’s then outstanding securities; (b) the merger, consolidation or other business combination of the Company (a “Transaction”), other than (A) a Transaction involving only the Company and one or more of its subsidiaries, or (B) a Transaction immediately following which the shareholders of the Company immediately prior to the Transaction continue to have a majority of the voting power in the resulting entity and no person (other than those covered by the exceptions in (1) above) becomes the beneficial owner of securities of the resulting entity representing more than twenty-five percent (25%) of the voting power in the resulting entity; (c) during any period of two (2) consecutive years beginning on or after the date of the approval of this Plan by the shareholders (the “Effective Date”), the persons who were members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0"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Board immediately before the beginning of such period (the “Incumbent Directors”) ceasing (for any reason other than death) to constitute at least a majority of the Board or the board of directors of any successor to the Company, provided that, any director who was not a director as of the Effective Date shall be deemed to be an Incumbent Director if such director was elected to the board of directors by, or on the recommendation of or with the approval of, at least two-thirds of the directors who then qualified as Incumbent Directors either actually or by prior operation of the foregoing unless such election, recommendation or approval occurs as a result of an actual or threatened election contest (as such terms are used in Rule 14a-11 of Regulation 14A promulgated under the Exchange Act or any successor provision) or other actual or threatened solicitation of proxies or contests by or on behalf of a person other than a member of the Board; or (d) the approval by the shareholders of the Company of any plan of complete liquidation of the Company or an agreement for the sale of all or substantially all of the Company’s assets other than the sale of all or substantially all of the assets of the Company to a person or persons who beneficially own, directly or indirectly, at least fifty percent (50%) or more of the combined voting power of the outstanding voting securities of the Company at the time of such sale. 17. Substitute Options. In the event that the Company, directly or indirectly, acquires another entity, the Board may authorize the issuance of stock options (“Substitute Options”) to the individuals performing services for the acquired entity in substitution of stock options previously granted to those individuals in connection with their performance of services for such entity upon such terms and conditions as the Board shall determine, taking into account the conditions of Code Section 424(a), as from time to time amended or superseded, in the case of a Substitute Option that is intended to be an Incentive Stock Option. Shares of capital stock underlying Substitute Stock Options shall not constitute Shares issued pursuant to the Plan for any purpose. 18. Date of Grant. The date of grant of an Award shall be, for all purposes, the date on which the Administrator makes the determination granting such Award, or such other later date as is determined by the Administrator. Notice of the determination shall be provided to each Participant within a reasonable time after the date of such grant. 19. Amendment and Termination of the Plan. (a) Amendment and Termination. The Board may at any time amend, alter, suspend or terminate the Plan. (b) Shareholder Approval. The Company shall obtain shareholder approval of any Plan amendment to the extent necessary to comply with Applicable Laws. (c) Effect of Amendment or Termination. No amendment, alteration, suspension or termination of the Plan shall materially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20. Conditions Upon Issuance of Shares. (a) Legal Compliance. Shares shall not be issued in connection with the grant or vesting of any Stock Award or Unrestricted Share or the exercise of any Option or Stock Appreciation Right unless such grant or the exercise of such Option or Stock Appreciation Right and the issuance and delivery of such Shares shall comply with Applicable Laws and shall be further subject to the approval of counsel for the Company with respect to such compliance. (b) Investment Representations. As a condition to the grant of any Stock Award or the exercise of any Option or Stock Appreciation Right, the Company may require the person receiving such Award or exercising such Option or Stock Appreciation Right to represent and warrant at the time of any such exercise or grant that the Shares are being purchased only for investment and without any present intention to sell or distribute such Shares if, in the opinion of counsel for the Company, such a representation is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1"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 Additional Conditions. The Administrator shall have the authority to condition the grant of any Award in such other manner that the Administrator determines to be appropriate, provided that such condition is not inconsistent with the terms of the Plan. (d) Trading Policy Restrictions. Option and or Stock Appreciation Right exercises and Shares issued in connection with any Stock Awards under the Plan shall be subject to the terms and conditions of any insider trading policy established by the Company or the Administrator. 21. 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22. Withholding; Notice of Sale. The Company shall be entitled to withhold from any amounts payable to an Employee or other Service Provider any amounts which the Company determines, in its discretion, are required to be withheld under any Applicable Law as a result of any action taken by a holder of an Award. Furthermore, prior to the delivery of any Shares in connection with any Award, the Company shall be entitled to require as a condition of delivery that the Participant shall pay or make adequate provision acceptable to the Company for the satisfaction of the statutory minimum prescribed amount of federal and state income tax and other withholding obligations of the Company, including, if permitted by the Administrator, by having the Company withhold from the number of Shares otherwise deliverable in connection with the Award, a number of Shares having a Fair Market Value equal to an amount sufficient to satisfy such tax withholding obligations. 23. Recoupment of Awards. (a) Unless otherwise specifically provided in a Grant or Stock Award Agreement, and to the extent permitted by Applicable Law, the Administrator may, in its sole and absolute discretion, without obtaining the approval or consent of the Company’s shareholders or of any Participant, require that any Participant forfeit or reimburse the Company for all or any portion of any previously-settled Awards granted under this Plan (“Reimbursement”), if and to the extent: (i) the granting, vesting or payment of such Award was predicated upon the achievement of certain financial results that were subsequently the subject of a material financial restatement; (ii) in the Administrator’s view the Participant either benefited from a calculation that later proves to be materially inaccurate, or engaged in fraud or misconduct that caused or partially caused the need for a material financial restatement by the Company or any of its Subsidiaries and affiliates; and (iii) a lower granting, vesting, or payment of such Award would have occurred based upon the conduct described in subsection (ii) above. In each instance, the Administrator may, to the extent practicable and allowable or required under Applicable Law, require forfeiture or Reimbursement of any such Award granted to a Participant; provided that the Company will not seek forfeiture or Reimbursement of any such Awards that were paid or vested more than three years prior to the first date of the applicable restatement period. (b) Notwithstanding any other provision of this Plan, all Awards will be subject to recoupment in accordance with any clawback policy that the Company is required to adopt pursuant to the listing standards of any securities exchange, trading market or automated quotation system on which the Company’s securities are listed, quoted or traded or as is otherwise required by the Dodd-Frank Wall Street Reform and Consumer Protection Act of 2010, including but not limited to Section 10D of the Exchange Act, or any other Applicable Law. In addition, the Administrator, in its sole and absolute discretion, may impose such other clawback, recovery or recoupment provisions in a Grant or Stock Award Agreement as the Administrator determines is necessary, advisable or appropriate, including but not limited to a reacquisition right in respect of previously acquired Shares or other cash or property upon the occurrence of a termination for Cause and/or violation of any post-employment covenants, including but not limited to ones relating to noncompetition, nonsolicitation, and trade secrets. No recovery of compensation under such a clawback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2"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policy will be an event giving rise to a right to resign for “good reason” or “constructive termination” (or similar term) under any agreement with the Company or any of its Subsidiaries or affiliates.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Awards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Awards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Personal Data, in electronic or other form, for the purposes of assisting the Company in the implementation, administration and management of this Plan and Awards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Awards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and in the Administrator’s sole and absolute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25. Relationship to other Benefits. No Award, Share issuance, or other payment pursuant to this Plan shall be taken into account in determining any benefits under any pension, retirement, savings, profit sharing, group insurance, welfare or other benefit plan of the Company or any of its Subsidiaries except to the extent otherwise expressly provided in writing in such other plan or an agreement thereunder. 26. Section 409A. If a Participant is a “specified employee” as defined in Section 409A of the Code (and as applied according to procedures of the Company) as of his or her “separation from service” within the meaning of Treasury Regulations Section 1.409A-1(h) to the extent any payment under this Plan or pursuant to the grant of Restricted Stock Units or DSUs constitutes deferred compensation (after taking into account any applicable exemptions from Section 409A of the Code), and to the extent required by Section 409A of the Code, no payments due under this Plan or pursuant to such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 The Administrator shall administer the Plan with a view toward ensuring that all Restricted Stock Units and DSUs issued under the Plan that are subject to Section 409A of the Code comply with the requirements thereof and that Options and Stock Appreciation Rights under the Plan be exempt from the requirements of Section 409A of the Code, but neither the Administrator nor any member of the Board, nor the Company nor any other person acting hereunder on behalf of the Company, the Administrator or the Board shall be liable to a Participant by reason of the acceleration of any income, or the imposition of any additional tax or penalty, with respect to an Award, whether by reason of a failure to satisfy the requirements of Section 409A of the Code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3"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27. Governing Law. This Plan shall be governed by the laws of the State of Delaware, without regard to conflict of law principles.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5esppplancompleteex.htm"/>
      <w:bookmarkStart w:id="3" w:name="ksex105esppplancompleteex"/>
      <w:bookmarkEnd w:id="2"/>
      <w:bookmarkEnd w:id="3"/>
      <w:r>
        <w:rPr/>
        <w:drawing>
          <wp:inline distT="0" distB="0" distL="0" distR="0">
            <wp:extent cx="10048875" cy="13001625"/>
            <wp:effectExtent l="0" t="0" r="0" b="0"/>
            <wp:docPr id="2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4"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CALADRIUS BIOSCIENCES, INC. 2017 EMPLOYEE STOCK PURCHASE PLAN (formerly the NeoStem, Inc. 2012 Employee Stock Purchase Plan) 1. Purpose. The purpose of the Caladrius Biosciences, Inc. 2017 Employee Stock Purchase Plan (the “Plan”) is to amend and restate the NeoStem, Inc. 2012 Employee Stock Purchase Plan in order to further promote the interest of Caladrius Biosciences, Inc., a Delaware corporation (the “Company”) and its stockholders by providing employees of the Company and its Designated Subsidiaries with an opportunity to purchase Common Stock of the Company through accumulated payroll deductions. By encouraging stock ownership, the Company seeks to attract, retain and motivate employees and to encourage them to devote their best efforts to the business and financial success of the Company. It is the intention of the Company to have the Plan qualify as an “Employee Stock Purchase Plan” under Section 423 of the Code. The provisions of the Plan, accordingly, shall be construed in a manner consistent with the requirements of that section of the Code. 2. Definitions. For purposes of the Plan, the following capitalized terms shall have the following meanings: 2.1 “Account” means an account referred to in Section 6.2 of the Plan. 2.1 “Board of Directors” or “Board” means the Board of Directors of the Company. 2.2 “Code” means the Internal Revenue Code of 1986, as amended. 2.3 “Committee” means the Compensation Committee of the Board of Directors, or such other committee of members of the Board appointed by the Board, authorized under Section 14 to administer the Plan and to perform the functions assigned to the Committee under the Plan. 2.4 “Common Stock” means the common stock, $0.001 par value, of the Company. 2.5 “Company” means Caladrius Biosciences, Inc. 2.6 “Compensation” means, for any pay period, the gross cash compensation payable to an Employee for such period, including base salary, commissions, bonuses and incentive payments, but excluding severance and non-cash compensation. Any pre-tax contributions made to a Company 401(k) plan or “cafeteria plan” pursuant to Section 125 of the Code shall be treated as Compensation for purposes of the Plan. 2.7 “Designated Subsidiary” means any Subsidiary that has been designated by the Board from time to time in its sole discretion as eligible to participate in the Plan. 2.8 “Employee” means any individual who is an employee of the Employer; provided, however, Employees who have been employed less than ninety days by the Employer, Employees whose customary employment with the Employer is twenty (20) hours or less per week, and Employees whose customary employment with the Employer is for not more than five (5) months in any calendar year shall not be deemed Employees for the purposes of EXHIBIT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5"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Plan. For purposes of the Plan, the employment relationship shall be treated as continuing intact while the individual is on sick leave or other leave of absence approved by the Employer. Where the period of leave exceeds 90 days and the individual's right to reemployment is not guaranteed either by statute or by contract, the employment relationship shall be deemed to have terminated on the 91st day of such leave. 2.9 “Employer” means the Company and any Designated Subsidiary. 2.9 “Enrollment Date” means the first Trading Day of each Offering Period. 2.10 “Exercise Date” means the last Trading Day of each Offering Period. 2.11 “Fair Market Value” means, as of any date, the value of Common Stock determined as follows: 2.11.1 If the principal market for the Common Stock is the New York Stock Exchange, The NASDAQ Global Market, the NYSE MKT or another national securities exchange (an “Exchange”), then the “Fair Market Value” as of that date shall be the closing price of a share of Common Stock on the Exchange on such date or, if no closing price is reported on such date, the closing price of a share of Common Stock on the nearest preceding date on which the Exchange is open for trading. 2.11.2 If the principal market for the Common Stock is not an Exchange, but the Common Stock is traded on an over-the-counter, bulletin board or comparable service, then the “Fair Market Value” as of that date shall be the closing price of a share of Common Stock for such day as reported by such service, or if no closing price is reported on such date, the closing price of a share of Common Stock on the nearest preceding date on which trades occurred. 2.11.3 If paragraphs 2.11.1 and 2.11.2 above are inapplicable, then the “Fair Market Value” of the Common Stock shall be as determined in good faith by the Committee. 2.12 “Highly Compensated Employee” has the same meaning as the term is used in Section 414(q) of the Code. 2.13 “Offering Periods” means the period of approximately six (6) months during which an Option shall be granted and may be exercised pursuant to the Plan, commencing on the first Trading Day on or after January 1st and July 1st of each year and terminating on the last Trading Day before the commencement of the next Offering Period. Subject to the approval of the Plan by the stockholders of the Company, the first Offering Period shall commence on January 1, 2017 and continue until June 30, 2017. The duration and timing of Offering Periods may be changed pursuant to Section 4 of this Plan. 2.15 “Option” means an Option to purchase shares of Common Stock under the Plan, as set forth in Section 7 of the Plan. 2.16 “Participant” means an eligible employee who becomes a participant of the Plan in accordance with Section 5.1 of the Plan. 2.14 “Plan” means this Caladrius Biosciences, Inc. 2017 Employee Stock Purchase Plan. 2.15 “Purchase Price” for each Offering Period means 85% of the Fair Market Value of a share of Common Stock on the Enrollment Date of such Offering Period or on the Exercise Date of such Offering Period, whichever is lower; provided , however , that the Purchase Price may be adjusted by the Board pursuant to Section 20. 2.16 “Reserves” means the number of shares of Common Stock covered by each Option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6"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Plan that have not yet been exercised and the number of shares of Common Stock that have been authorized for issuance under the Plan but not yet placed under Option. 2.17 “Subsidiary” has the meaning set forth for “subsidiary corporation” in Section 424(f) of the Code, whereby a Subsidiary means any corporation (other than the employer corporation) in an unbroken chain of corporations beginning with the employer corporation if, at the time of the granting of the Option, each of the corporations other than the last corporation in the unbroken chain owns stock possessing 50 percent or more of the total combined voting power of all classes of stock in one of the other corporations in such chain. 2.18 “Trading Day” means a day on which the NYSE MKT is open for trading. 3. Eligibility. 3.1 Any Employee who shall be employed by the Company on a given Enrollment Date shall be eligible to participate in the Plan. 3.2 Notwithstanding any provision of the Plan to the contrary, no Employee shall be granted an Option under the Plan: (i) to the extent that, immediately after the grant, such Employee (or any other person whose stock would be attributed to such Employee pursuant to section 424(d) of the Code) would own stock of the Company and/or hold outstanding Options to purchase such stock possessing five percent (5%) or more of the total combined voting power or value of all classes of the stock of the Company or of any Subsidiary; (ii) to the extent that his or her rights to purchase stock under all employee stock purchase plans of the Company and its Subsidiaries accrues at a rate which exceeds Twenty-Five Thousand Dollars ($25,000) of fair market value of such stock (determined at the time such Option is granted) for each calendar year in which such Option is outstanding at any time; or (iii) if he or she has received a hardship withdrawal from the Company's 401(k) plan within the preceding six (6) months. 4. Offering Periods. The Plan shall be implemented by consecutive Offering Periods with a new Offering Period commencing and ending as set forth in Section 2.13, or on such other date as the Board shall determine, and continuing thereafter until terminated in accordance with Section 20 hereof. The Board shall have the power to change the duration of Offering Periods (including the commencement dates thereof) with respect to future offerings without shareholder approval if such change is announced at least five (5) days prior to the scheduled beginning of the first Offering Period to be affected thereafter. 5. Participation. 5.1 An eligible Employee may become a Participant in the Plan by completing a Subscription Agreement authorizing payroll deductions in the form of Exhibit A to this Plan and filing it with the Company's payroll office prior to the applicable Enrollment Date. 5.2 Payroll deductions for a Participant shall commence on the first payroll date following the Enrollment Date (provided that the Company has received the Participant's Subscription Agreement) and shall end on the last payroll in the Offering Period to which such Subscription Agreement is applicable, unless sooner terminated by the Participant as provided in Section 10 hereof. 6. Payroll Deductions. 6.1 At the time a Participant files his or her Subscription Agreement, he or she shall elect to have payroll deductions made on each payday during the Offering Period in an amount equal to any whole percentage (not exceeding fifteen percent (15%)) of the Compensation that he or she receives on each payday during the Offering Period. 6.2 All payroll deductions made for a Participant shall be credited to his or her Account under the Plan. A Participant may not make any additional payments into such Account. Accounts shall be mere bookkeeping entries on the Company's books and records. Amounts credited to Accounts shall not be trust funds and may be commingled with the Company's general assets and applied to general corporate purposes. No interest or other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7"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paid or credited with respect to payroll deductions or any amounts accumulated in or credited to a Participant's Account. 6.3 A Participant may discontinue his or her participation in the Plan as provided in Section 10 hereof, or may increase or decrease the rate of his or her payroll deductions during the Offering Period by completing and filing with the Company a new Subscription Agreement authorizing a change in payroll deduction rate. The Committee may, in its discretion, limit the number of participation rate changes during any Offering Period. The change in rate shall be effective with the first full payroll period following five (5) business days after the Company's receipt of the new Subscription Agreement. A Participant's Subscription Agreement shall remain in effect for successive Offering Periods unless a new Subscription Agreement is filed by the Participant prior to the commencement of such Offering Period or the then existing Subscription Agreement is terminated as provided in Section 10 hereof. 6.4 Notwithstanding the foregoing, to the extent necessary to comply with Section 423(b)(8) of the Code and Section 3.2 hereof, a Participant's payroll deductions may be decreased to zero percent (0%) at any time during an Offering Period. Payroll deductions shall recommence at the rate provided in such Participant's Subscription Agreement at the beginning of the first Offering Period which is scheduled to end in the following calendar year, unless terminated by the Participant as provided in Section 10 hereof. 6.5 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or other remuneration payable to the Participant the amount necessary for the Company to meet applicable withholding obligations, including any withholding required to make available to the Company any tax deductions or benefits attributable to sale or early disposition of Common Stock by the Employee. 7. Grant of Option. On the Enrollment Date of each Offering Period, each eligible Employee participating in such Offering Period shall be granted an Option to purchase on the Exercise Date during such Offering Period (at the applicable Purchase Price) up to a number of shares of the Company's Common Stock determined by dividing such Participant's Account as of the Exercise Date by the applicable Purchase Price; provided that such purchase shall be subject to the limitations set forth in Sections 3.2 and 13 hereof.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Exercise of the Option shall occur as provided in Section 8 hereof, unless the Participant has withdrawn pursuant to Section 10 hereof. The Option shall expire on the last day of the Offering Period. 8. Exercise of Option. 8.1 Unless a Participant withdraws from the Plan as provided in Section 10 hereof, his or her Option with respect to an Offering Period shall be exercised automatically on the Exercise Date of such Offering Period, and the maximum number of full shares subject to Option shall be purchased for such Participant at the applicable Purchase Price with the accumulated payroll deductions credited to his or her Account.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 8.2 If the Board or the Committee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8"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available for sale under the Plan on such Exercise Date, the Board may in its sole discretion: (x)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and continue all Offering Periods then in effect; or (y) provide that the Company shall make a pro rata allocation of the shares available for purchase on such Enrollment Date or Exercise Date, as applicable, in as uniform a manner as shall be practicable and as it shall determine in its sole discretion to be equitable among all Participants, and terminate any or all Offering Periods then in effect pursuant to Section 20 hereof.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9. Delivery. Shares purchased under the Plan by a Participant will be credited to and held under a stock purchase account in the Participant's name maintained by such brokerage or other third-party firm as is designated by the Committee. Any and all stock dividends with respect to shares of Common Stock credited to a Participant's stock purchase account shall be paid directly to each Participant. A Participant may, by notice to the Company's applicable human resources location (or such other designee as established by the Committee) elect to have such cash dividends reinvested in shares of Common Stock. Any shares purchased with such dividend proceeds shall be purchased on the open market by such brokerage firm on the Participant's behalf (subject to applicable Company policies) and such shares shall not count in determining the maximum number of shares of Common Stock available for issuance under the Plan under Section 13, nor shall such shares count against the maximum number of shares that may be purchased by a Participant under Section 8. Subject to such restrictions, limitations and procedures as may be prescribed by the Committee, a Participant may withdraw shares in his or her stock purchase account from time to time. As soon as administratively practicable following termination of participation pursuant to Section 11, all shares credited to the Participant's stock purchase account shall be delivered to the Participant (or to the Participant's beneficiary or estate in the event of Participant's death), except to the extent that the Participant (or the Participant's beneficiary or estate in the event of Participant's death) elects to have such stock purchase account paid in cash. 10. Withdrawal. 10.1 A Participant may withdraw all but not less than all the payroll deductions credited to his or her Account and not yet used to exercise his or her Option under the Plan at any time by giving written notice to the Company in the form of Exhibit B to this Plan or in such other manner prescribed by the Committee. All of the Participant's 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by such Participant. If a Participant withdraws from an Offering Period, payroll deductions shall not resume at the beginning of the succeeding Offering Period unless the Participant delivers to the Company a new Subscription Agreement. 10.2 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 11. Termination of Employment. 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15 hereof, and such Participant's Option shall be automatically terminated. 12. Interest. No interest or other earnings shall accrue on the payroll deductions of a Participant in the Plan. 13. Stock. 13.1 Subject to adjustment upon changes in capitalization of the Company as provided in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9"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hereof, the maximum number of shares of the Company's Common Stock which shall be made available for sale under the Plan shall be 100,000 shares. 13.2 A Participant shall have no ownership interest or voting right in shares covered by his or her Option until such Option has been exercised and the shares purchased as a result thereof have been delivered. 13.3 Shares to be delivered to a Participant under the Plan shall be registered in the name of the Participant or in the name of the Participant and his or her spouse jointly with the right of survivorship. 14. Administration. 14.1 The Plan shall be administered by the Committee. The Committee shall have full and exclusive discretionary authority to construe, interpret and apply the terms of the Plan, to determine eligibility and to adjudicate all disputed claims filed under the Plan. Every finding, decision and determination made by the Committee shall, to the full extent permitted by law, be final and binding upon all parties. The Committee may retain the services of an outside firm to serve as its agent in administering the Plan on a day-to-day basis. No member of the Board or the Committee shall be liable for any act done or omitted to be done by such member or by any other member of the Board or the Committee in connection with the Plan, except for such member's own willful misconduct or as expressly provided by statute. 14.2 Any Participant who believes he or she is being denied any benefit or right under this Plan may file a written claim with the Committee. Any claim must be delivered to the Committee (care of the Company’s President and Chief Financial Officer) within forty-five (45) days of the specific event giving rise to the claim. Untimely claims will not be processed and shall be deemed denied. The Committee, or its designee, will notify the Participant of its decision in writing as soon as administratively practicable. Claims not responded to by the Committee in writing within one hundred and twenty (120) days of the date the written claim is delivered to the Committee shall be deemed denied. No lawsuit relating to this Plan may be filed before a written claim is filed with the Committee and is denied or deemed denied, and any lawsuit must be filed within one year of such denial or deemed denial or be forever barred. 15. Designation of Beneficiary. 15.1 A Participant, in its Subscription Agreement, may designate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 15.2 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Committee of the estate of the Participant, or if no such executor or Committee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0"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from an Offering Period in accordance with Section 10 hereof. 17. Use of Funds. All payroll deductions received or held by the Company under the Plan may be used by the Company for any corporate purpose, and the Company shall not be obligated to segregate such payroll deductions. 18. Reports.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19. Adjustments Upon Changes in Capitalization, Dissolution, Liquidation, Merger or Asset Sale. 19.1 Changes in Capitalization. Subject to any required action by the shareholders of the Company, the Reserves, the maximum number of shares each Participant may purchase each Purchase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 however ,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19.2 Dissolution or Liquidation. Unless provided otherwise by the Board, in the event of the proposed dissolution or liquidation of the Company, the Offering Period then in progress shall terminate immediately prior to the consummation of such proposed dissolution or liquidation and a cash amount shall be paid to each Participant that is equal to the amount of his or her Account. 19.3 Merger or Asset Sale.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the Board may terminate any Offering Period then in progress by setting a new Exercise Date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 20. Amendment or Termination. 20.1 The Board may at any time and for any reason terminate or amend the Plan. Except as provided in Section 19 hereof, no such termination can affect Options previously granted, provided that an Offering Period may be terminated by the Board on any Exercise Date if the Board determines that the termination of the Offering Period or the Plan is in the best interests of the Company and its shareholders. Except as provided in Section 19 and this Section 20 hereof, no amendment may make any change in any Option theretofore granted which adversely affects the rights of any Participant. To the extent necessary to comply with Section 423 of the Code (or any successor rule or provision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1"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other applicable law, regulation or stock exchange rule), the Company shall obtain shareholder approval in such a manner and to such a degree as required. 20.2 Without shareholder consent and without regard to whether any Participant rights may be considered to have been “adversely affected,” the Board (or the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its Committee) determines in its sole discretion advisable which are consistent with the Plan. 20.3 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 20.3.1 Altering the Purchase Price for any Offering Period including an Offering Period underway at the time of the change in Purchase Price; 20.3.2 Shortening any Offering Period so that Offering Period ends on a new Exercise Date, including an Offering Period underway at the time of the Board action; and 20.3.3 Allocating shares. Such modifications or amendments shall not require stockholder approval or the consent of any Plan Participants. 21. 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22. Term of Plan. The Plan, as amended and restated hereby, shall become effective on January 1, 2017, subject to approval of the Plan by the stockholders of the Company. It shall continue in effect for a term of ten (10) years unless sooner terminated under Section 20 hereof. If the Company’s stockholders do not approve the amended and restated Plan at their annual meeting in 2017, then the Plan and the Offering Period that commenced on January 1, 2017 shall automatically terminate without any issuance of any shares of Common Stock, and a cash amount shall be paid to each Participant that is equal to the amount of his or her Account. 23. No Employment Rights. The Plan does not, directly or indirectly, create any right for the benefit of any employee or class of employees to purchase any shares of Common Stock under the Plan, or create in any employee or class of employees any right with respect to continuation of employment by the Company, and it shall not be deemed to interfere in any way with the Company's right to terminate, or otherwise modify, an employee's employment at any time.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2"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administering and managing this Plan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enrolling in the Plan for any Offering Period, each Participant authorizes such recipients to receive, possess, use, retain and transfer the Personal Data, in electronic or other form, for the purposes of assisting the Company in the implementation, administration and management of this Plan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if the Participant refuses or withdraws the consents described herein. For more information on the consequences of refusal to consent or withdrawal of consent, Participants may contact their local human resources representative. 25. No Effect Upon Benefits. Neither the grant nor the exercise of any Option hereunder will affect the benefits under any benefit plan of the Employer, and no amount or benefit granted or received hereunder shall be considered compensation for any purposes of any other benefit plan or program of the Employer. 26. Trading Policy Restrictions. Option exercises under the Plan shall be subject to the terms and conditions of any insider trading policy established by the Company. 27.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28. Equal Rights and Privileges. All eligible employees shall have equal rights and privileges with respect to the Plan so that the Plan qualifies as an “employee stock purchase plan” within the meaning of Section 423 or any successor provision of the Code and the related regulations. Any provision of the Plan which is inconsistent with Section 423 or any successor provision of the Code shall, without further act or amendment by the Company or the Committee, be reformed to comply with the requirements of Section 423. This Section 27 shall take precedence over all other provisions in the Plan. 29. Governing Law.Without regard to conflict of law principles, the laws of the State of Delaware will govern all matters relating to this Plan except to the extent it is superseded by the laws of the United States. 30 Effective as of March 28, 2017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3"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CALADRIUS BIOSCIENCES, INC. 2017 EMPLOYEE STOCK PURCHASE PLAN (formerly the NeoStem, Inc. 2012 Employee Stock Purchase Plan) (amended by stockholders as of June 20, 2018) 1. Purpose. The purpose of the Caladrius Biosciences, Inc. 2017 Employee Stock Purchase Plan (the “Plan”) is to amend and restate the NeoStem, Inc. 2012 Employee Stock Purchase Plan in order to further promote the interest of Caladrius Biosciences, Inc., a Delaware corporation (the “Company”) and its stockholders by providing employees of the Company and its Designated Subsidiaries with an opportunity to purchase Common Stock of the Company through accumulated payroll deductions. By encouraging stock ownership, the Company seeks to attract, retain and motivate employees and to encourage them to devote their best efforts to the business and financial success of the Company. It is the intention of the Company to have the Plan qualify as an “Employee Stock Purchase Plan” under Section 423 of the Code. The provisions of the Plan, accordingly, shall be construed in a manner consistent with the requirements of that section of the Code. 2. Definitions. For purposes of the Plan, the following capitalized terms shall have the following meanings: 2.1 “Account” means an account referred to in Section 6.2 of the Plan. 2.2 “Board of Directors” or “Board” means the Board of Directors of the Company. 2.3 “Code” means the Internal Revenue Code of 1986, as amended. 2.4 “Committee” means the Compensation Committee of the Board of Directors, or such other committee of members of the Board appointed by the Board, authorized under Section 14 to administer the Plan and to perform the functions assigned to the Committee under the Plan. 2.5 “Common Stock” means the common stock, $0.001 par value, of the Company. 2.6 “Company” means Caladrius Biosciences, Inc. 2.7 “Compensation” means, for any pay period, the gross cash compensation payable to an Employee for such period, including base salary, commissions, bonuses and incentive payments, but excluding severance and non-cash compensation. Any pre-tax contributions made to a Company 401(k) plan or “cafeteria plan” pursuant to Section 125 of the Code shall be treated as Compensation for purposes of the Plan. 2.8 “Designated Subsidiary” means any Subsidiary that has been designated by the Board from time to time in its sole discretion as eligible to participate in the Plan. AMENDMENT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4"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2.9 “Employee” means any individual who is an employee of the Employer; provided, however, Employees who have been employed less than ninety days by the Employer, Employees whose customary employment with the Employer is twenty (20) hours or less per week, and Employees whose customary employment with the Employer is for not more than five (5) months in any calendar year shall not be deemed Employees for the purposes of this Plan. For purposes of the Plan, the employment relationship shall be treated as continuing intact while the individual is on sick leave or other leave of absence approved by the Employer. Where the period of leave exceeds 90 days and the individual's right to reemployment is not guaranteed either by statute or by contract, the employment relationship shall be deemed to have terminated on the 91st day of such leave. 2.10 “Employer” means the Company and any Designated Subsidiary. 2.11 “Enrollment Date” means the first Trading Day of each Offering Period. 2.12 “Exercise Date” means the last Trading Day of each Offering Period. 2.13 “Fair Market Value” means, as of any date, the value of Common Stock determined as follows: 2.13.1 If the principal market for the Common Stock is the New York Stock Exchange, The Nasdaq Global Market, the NYSE MKT or another national securities exchange (an “Exchange”), then the “Fair Market Value” as of that date shall be the closing price of a share of Common Stock on the Exchange on such date or, if no closing price is reported on such date, the closing price of a share of Common Stock on the nearest preceding date on which the Exchange is open for trading. 2.13.2 If the principal market for the Common Stock is not an Exchange, but the Common Stock is traded on an over-the-counter, bulletin board or comparable service, then the “Fair Market Value” as of that date shall be the closing price of a share of Common Stock for such day as reported by such service, or if no closing price is reported on such date, the closing price of a share of Common Stock on the nearest preceding date on which trades occurred. 2.13.3 If paragraphs 2.13.1 and 2.13.2 above are inapplicable, then the “Fair Market Value” of the Common Stock shall be as determined in good faith by the Committee. 2.14 “Highly Compensated Employee” has the same meaning as the term is used in Section 414(q) of the Code. 2.15 “Offering Periods” means the period of approximately six (6) months during which an Option shall be granted and may be exercised pursuant to the Plan, commencing on the first Trading Day on or after January 1st and July 1st of each year and terminating on the last Trading Day before the commencement of the next Offering Period. Subject to the approval of the Plan by the stockholders of the Company, the first Offering Period shall commence on January 1, 2017 and continue until June 30, 2017. The duration and timing of Offering Periods may be changed pursuant to Section 4 of this Plan. 2.16 “Option” means an Option to purchase shares of Common Stock under the Plan, as set forth in Section 7 of the Plan. 2.17 “Participant” means an eligible employee who becomes a participant of the Plan in accordance with Section 5.1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5"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2.18 “Plan” means this Caladrius Biosciences, Inc. 2017 Employee Stock Purchase Plan. 2.19 “Purchase Price” for each Offering Period means 85% of the Fair Market Value of a share of Common Stock on the Enrollment Date of such Offering Period or on the Exercise Date of such Offering Period, whichever is lower; provided , however , that the Purchase Price may be adjusted by the Board pursuant to Section 20. 2.20 “Reserves” means the number of shares of Common Stock covered by each Option under the Plan that have not yet been exercised and the number of shares of Common Stock that have been authorized for issuance under the Plan but not yet placed under Option. 2.21 “Subsidiary” has the meaning set forth for “subsidiary corporation” in Section 424(f) of the Code, whereby a Subsidiary means any corporation (other than the employer corporation) in an unbroken chain of corporations beginning with the employer corporation if, at the time of the granting of the Option, each of the corporations other than the last corporation in the unbroken chain owns stock possessing 50 percent or more of the total combined voting power of all classes of stock in one of the other corporations in such chain. 2.22 “Trading Day” means a day on which the NYSE MKT is open for trading. 3. Eligibility. 3.1 Any Employee who shall be employed by the Company on a given Enrollment Date shall be eligible to participate in the Plan. 3.2 Notwithstanding any provision of the Plan to the contrary, no Employee shall be granted an Option under the Plan: (i) to the extent that, immediately after the grant, such Employee (or any other person whose stock would be attributed to such Employee pursuant to section 424(d) of the Code) would own stock of the Company and/or hold outstanding Options to purchase such stock possessing five percent (5%) or more of the total combined voting power or value of all classes of the stock of the Company or of any Subsidiary; (ii) to the extent that his or her rights to purchase stock under all employee stock purchase plans of the Company and its Subsidiaries accrues at a rate which exceeds Twenty-Five Thousand Dollars ($25,000) of fair market value of such stock (determined at the time such Option is granted) for each calendar year in which such Option is outstanding at any time; or (iii) if he or she has received a hardship withdrawal from the Company's 401(k) plan within the preceding six (6) months. 4. Offering Periods. The Plan shall be implemented by consecutive Offering Periods with a new Offering Period commencing and ending as set forth in Section 2.15, or on such other date as the Board shall determine, and continuing thereafter until terminated in accordance with Section 20 hereof. The Board shall have the power to change the duration of Offering Periods (including the commencement dates thereof) with respect to future offerings without shareholder approval if such change is announced at least five (5) days prior to the scheduled beginning of the first Offering Period to be affected thereafter. 5. Participation. 5.1 An eligible Employee may become a Participant in the Plan by completing a Subscription Agreement authorizing payroll deductions in the form of Exhibit A to this Plan and filing it with the Company's payroll office prior to the applicable Enrollment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6"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5.2 Payroll deductions for a Participant shall commence on the first payroll date following the Enrollment Date (provided that the Company has received the Participant's Subscription Agreement) and shall end on the last payroll in the Offering Period to which such Subscription Agreement is applicable, unless sooner terminated by the Participant as provided in Section 10 hereof. 6. Payroll Deductions. 6.1 At the time a Participant files his or her Subscription Agreement, he or she shall elect to have payroll deductions made on each payday during the Offering Period in an amount equal to any whole percentage (not exceeding fifteen percent (15%)) of the Compensation that he or she receives on each payday during the Offering Period. 6.2 All payroll deductions made for a Participant shall be credited to his or her Account under the Plan. A Participant may not make any additional payments into such Account. Accounts shall be mere bookkeeping entries on the Company's books and records. Amounts credited to Accounts shall not be trust funds and may be commingled with the Company's general assets and applied to general corporate purposes. No interest or other earnings shall be paid or credited with respect to payroll deductions or any amounts accumulated in or credited to a Participant's Account. 6.3 A Participant may discontinue his or her participation in the Plan as provided in Section 10 hereof, or may increase or decrease the rate of his or her payroll deductions during the Offering Period by completing and filing with the Company a new Subscription Agreement authorizing a change in payroll deduction rate. The Committee may, in its discretion, limit the number of participation rate changes during any Offering Period. The change in rate shall be effective with the first full payroll period following five (5) business days after the Company's receipt of the new Subscription Agreement. A Participant's Subscription Agreement shall remain in effect for successive Offering Periods unless a new Subscription Agreement is filed by the Participant prior to the commencement of such Offering Period or the then existing Subscription Agreement is terminated as provided in Section 10 hereof. 6.4 Notwithstanding the foregoing, to the extent necessary to comply with Section 423(b)(8) of the Code and Section 3.2 hereof, a Participant's payroll deductions may be decreased to zero percent (0%) at any time during an Offering Period. Payroll deductions shall recommence at the rate provided in such Participant's Subscription Agreement at the beginning of the first Offering Period which is scheduled to end in the following calendar year, unless terminated by the Participant as provided in Section 10 hereof. 6.5 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or other remuneration payable to the Participant the amount necessary for the Company to meet applicable withholding obligations, including any withholding required to make available to the Company any tax deductions or benefits attributable to sale or early disposition of Common Stock by the Employee. 7. Grant of Option. On the Enrollment Date of each Offering Period, each eligible Employee participating in such Offering Period shall be granted an Option to purchase on the Exercise Date during such Offering Period (at the applicable Purchase Price) up to a number of shares of the Company's Common Stock determined by dividing such Participant's Account as of the Exercise Date by the applicable Purchase Price; provided that such purchase shall be subject to the limitations set forth in Sections 3.2 and 13 hereof. No fractional shares shall be purchased;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7"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B-5 payroll deductions accumulated in a Participant's Account which are not sufficient to purchase a full share shall be retained in the Participant's Account for the subsequent Offering Period, subject to earlier withdrawal by the Participant as provided in Section 10 hereof. Exercise of the Option shall occur as provided in Section 8 hereof, unless the Participant has withdrawn pursuant to Section 10 hereof. The Option shall expire on the last day of the Offering Period. 8. Exercise of Option. 8.1 Unless a Participant withdraws from the Plan as provided in Section 10 hereof, his or her Option with respect to an Offering Period shall be exercised automatically on the Exercise Date of such Offering Period, and the maximum number of full shares subject to Option shall be purchased for such Participant at the applicable Purchase Price with the accumulated payroll deductions credited to his or her Account.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 8.2 If the Board or the Committee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shares available for sale under the Plan on such Exercise Date, the Board may in its sole discretion: (x)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and continue all Offering Periods then in effect; or (y) provide that the Company shall make a pro rata allocation of the shares available for purchase on such Enrollment Date or Exercise Date, as applicable, in as uniform a manner as shall be practicable and as it shall determine in its sole discretion to be equitable among all Participants, and terminate any or all Offering Periods then in effect pursuant to Section 20 hereof.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9. Delivery. Shares purchased under the Plan by a Participant will be credited to and held under a stock purchase account in the Participant's name maintained by such brokerage or other third-party firm as is designated by the Committee. Any and all stock dividends with respect to shares of Common Stock credited to a Participant's stock purchase account shall be paid directly to each Participant. A Participant may, by notice to the Company's applicable human resources location (or such other designee as established by the Committee) elect to have such cash dividends reinvested in shares of Common Stock. Any shares purchased with such dividend proceeds shall be purchased on the open market by such brokerage firm on the Participant's behalf (subject to applicable Company policies) and such shares shall not count in determining the maximum number of shares of Common Stock available for issuance under the Plan under Section 13, nor shall such shares count against the maximum number of shares that may be purchased by a Participant under Section 8. Subject to such restrictions, limitations and procedures as may be prescribed by the Committee, a Participant may withdraw shares in his or her stock purchase account from time to time. As soon as administratively practicable following termination of participation pursuant to Section 11, all shares credited to the Participant's stock purchase account shall be delivered to the Participant (or to the Participant's beneficiary or estate in the event of Participant's death), except to the extent that the Participant (or the Participant's beneficiary or estate in the event of Participant's death) elects to have such stock purchase account paid in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8"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B-6 10. Withdrawal. 10.1 A Participant may withdraw all but not less than all the payroll deductions credited to his or her Account and not yet used to exercise his or her Option under the Plan at any time by giving written notice to the Company in the form of Exhibit B to this Plan or in such other manner prescribed by the Committee. All of the Participant's 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by such Participant. If a Participant withdraws from an Offering Period, payroll deductions shall not resume at the beginning of the succeeding Offering Period unless the Participant delivers to the Company a new Subscription Agreement. 10.2 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 11. Termination of Employment. 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15 hereof, and such Participant's Option shall be automatically terminated. 12. Interest. No interest or other earnings shall accrue on the payroll deductions of a Participant in the Plan. 13. Stock. 13.1 Subject to adjustment upon changes in capitalization of the Company as provided in Section 19 hereof, the maximum number of shares of the Company's Common Stock which shall be made available for sale under the Plan shall be 500,000 shares. 13.2 A Participant shall have no ownership interest or voting right in shares covered by his or her Option until such Option has been exercised and the shares purchased as a result thereof have been delivered. 13.3 Shares to be delivered to a Participant under the Plan shall be registered in the name of the Participant or in the name of the Participant and his or her spouse jointly with the right of survivorship. 14. Administration. 14.1 The Plan shall be administered by the Committee. The Committee shall have full and exclusive discretionary authority to construe, interpret and apply the terms of the Plan, to determine eligibility and to adjudicate all disputed claims filed under the Plan. Every finding, decision and determination made by the Committee shall, to the full extent permitted by law, be final and binding upon all parties. The Committee may retain the services of an outside firm to serve as its agent in administering the Plan on a day-to-day basis. No member of the Board or the Committee shall be liable for any act done or omitted to be done by such member or by any other member of the Board or the Committee in connection with the Plan, except for such member's own willful misconduct or as expressly provided by statute. 14.2 Any Participant who believes he or she is being denied any benefit or right under this Plan may file a written claim with the Committee. Any claim must be delivered to the Committee (care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9"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B-7 Company’s President and Chief Financial Officer) within forty-five (45) days of the specific event giving rise to the claim. Untimely claims will not be processed and shall be deemed denied. The Committee, or its designee, will notify the Participant of its decision in writing as soon as administratively practicable. Claims not responded to by the Committee in writing within one hundred and twenty (120) days of the date the written claim is delivered to the Committee shall be deemed denied. No lawsuit relating to this Plan may be filed before a written claim is filed with the Committee and is denied or deemed denied, and any lawsuit must be filed within one year of such denial or deemed denial or be forever barred. 15. Designation of Beneficiary. 15.1 A Participant, in its Subscription Agreement, may designate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 15.2 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Committee of the estate of the Participant, or if no such executor or Committee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16. 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from an Offering Period in accordance with Section 10 hereof. 17. Use of Funds. All payroll deductions received or held by the Company under the Plan may be used by the Company for any corporate purpose, and the Company shall not be obligated to segregate such payroll deductions. 18. Reports.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19. Adjustments Upon Changes in Capitalization, Dissolution, Liquidation, Merger or Asset Sale. 19.1 Changes in Capitalization. Subject to any required action by the shareholders of the Company, the Reserves, the maximum number of shares each Participant may purchase each Purchase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0"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B-8 shares of Common Stock effected without receipt of consideration by the Company; provided , however ,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19.2 Dissolution or Liquidation. Unless provided otherwise by the Board, in the event of the proposed dissolution or liquidation of the Company, the Offering Period then in progress shall terminate immediately prior to the consummation of such proposed dissolution or liquidation and a cash amount shall be paid to each Participant that is equal to the amount of his or her Account. 19.3 Merger or Asset Sale.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the Board may terminate any Offering Period then in progress by setting a new Exercise Date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 20. Amendment or Termination. 20.1 The Board may at any time and for any reason terminate or amend the Plan. Except as provided in Section 19 hereof, no such termination can affect Options previously granted, provided that an Offering Period may be terminated by the Board on any Exercise Date if the Board determines that the termination of the Offering Period or the Plan is in the best interests of the Company and its shareholders. Except as provided in Section 19 and this Section 20 hereof, no amendment may make any change in any Option theretofore granted which adversely affects the rights of any Participant. To the extent necessary to comply with Section 423 of the Code (or any successor rule or provision or any other applicable law, regulation or stock exchange rule), the Company shall obtain shareholder approval in such a manner and to such a degree as required. 20.2 Without shareholder consent and without regard to whether any Participant rights may be considered to have been “adversely affected,” the Board (or the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its Committee) determines in its sole discretion advisable which are consistent with the Plan. 20.3 In the event the Board determines that the ongoing operation of the Plan may result in unfavorable financial accounting consequences, the Board may, in its discretion and, to the extent necessary or AMENDMENT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1"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B-9 desirable, modify or amend the Plan to reduce or eliminate such accounting consequence including, but not limited to: 20.3.1 Altering the Purchase Price for any Offering Period including an Offering Period underway at the time of the change in Purchase Price; 20.3.2 Shortening any Offering Period so that Offering Period ends on a new Exercise Date, including an Offering Period underway at the time of the Board action; and 20.3.3 Allocating shares. Such modifications or amendments shall not require stockholder approval or the consent of any Plan Participants. 21. 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22. Term of Plan. The Plan, as amended and restated hereby, shall become effective on January 1, 2017, subject to approval of the Plan by the stockholders of the Company. It shall continue in effect for a term of ten (10) years unless sooner terminated under Section 20 hereof. If the Company’s stockholders do not approve the amended and restated Plan at their annual meeting in 2017, then the Plan and the Offering Period that commenced on January 1, 2017 shall automatically terminate without any issuance of any shares of Common Stock, and a cash amount shall be paid to each Participant that is equal to the amount of his or her Account. 23. No Employment Rights. The Plan does not, directly or indirectly, create any right for the benefit of any employee or class of employees to purchase any shares of Common Stock under the Plan, or create in any employee or class of employees any right with respect to continuation of employment by the Company, and it shall not be deemed to interfere in any way with the Company's right to terminate, or otherwise modify, an employee's employment at any time.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the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2"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B-10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enrolling in the Plan for any Offering Period, each Participant authorizes such recipients to receive, possess, use, retain and transfer the Personal Data, in electronic or other form, for the purposes of assisting the Company in the implementation, administration and management of this Plan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if the Participant refuses or withdraws the consents described herein. For more information on the consequences of refusal to consent or withdrawal of consent, Participants may contact their local human resources representative. 25. No Effect Upon Benefits. Neither the grant nor the exercise of any Option hereunder will affect the benefits under any benefit plan of the Employer, and no amount or benefit granted or received hereunder shall be considered compensation for any purposes of any other benefit plan or program of the Employer. 26. Trading Policy Restrictions. Option exercises under the Plan shall be subject to the terms and conditions of any insider trading policy established by the Company. 27.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28. Equal Rights and Privileges. All eligible employees shall have equal rights and privileges with respect to the Plan so that the Plan qualifies as an “employee stock purchase plan” within the meaning of Section 423 or any successor provision of the Code and the related regulations. Any provision of the Plan which is inconsistent with Section 423 or any successor provision of the Code shall, without further act or amendment by the Company or the Committee, be reformed to comply with the requirements of Section 423. This Section 27 shall take precedence over all other provisions in the Plan. 29. Governing Law. Without regard to conflict of law principles, the laws of the State of Delaware will govern all matters relating to this Plan except to the extent it is superseded by the laws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3"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LISATA THERAPEUTICS, INC. 2017 EMPLOYEE STOCK PURCHASE PLAN (formerly the NeoStem, Inc. 2012 Employee Stock Purchase Plan) (amended by stockholders as of June 14, 2023) 1. Purpose. The purpose of the Lisata Therapeutics, Inc. 2017 Employee Stock Purchase Plan (the “Plan”) is to amend and restate the NeoStem, Inc. 2012 Employee Stock Purchase Plan in order to further promote the interest of Lisata Therapeutics, Inc., a Delaware corporation (the “Company”) and its stockholders by providing employees of the Company and its Designated Subsidiaries with an opportunity to purchase Common Stock of the Company through accumulated payroll deductions. By encouraging stock ownership, the Company seeks to attract, retain and motivate employees and to encourage them to devote their best efforts to the business and financial success of the Company. It is the intention of the Company to have the Plan qualify as an “Employee Stock Purchase Plan” under Section 423 of the Code. The provisions of the Plan, accordingly, shall be construed in a manner consistent with the requirements of that section of the Code. 2. Definitions. For purposes of the Plan, the following capitalized terms shall have the following meanings: 2.1 “Account” means an account referred to in Section 6.2 of the Plan. 2.2 “Board of Directors” or “Board” means the Board of Directors of the Company. 2.3 “Code” means the Internal Revenue Code of 1986, as amended. 2.4 “Committee” means the Compensation Committee of the Board of Directors, or such other committee of members of the Board appointed by the Board, authorized under Section 14 to administer the Plan and to perform the functions assigned to the Committee under the Plan. 2.5 “Common Stock” means the common stock, $0.001 par value, of the Company. 2.6 “Company” means Lisata Therapeutics, Inc. 2.7 “Compensation” means, for any pay period, the gross cash compensation payable to an Employee for such period, including base salary, commissions, bonuses and incentive payments, but excluding severance and non-cash compensation. Any pre-tax contributions made to a Company 401(k) plan or “cafeteria plan” pursuant to Section 125 of the Code shall be treated as Compensation for purposes of the Plan. 2.8 “Designated Subsidiary” means any Subsidiary that has been designated by the Board from time to time in its sole discretion as eligible to participate in the Plan. 2.9 “Employee” means any individual who is an employee of the Employer; provided, however, Employees who have been employed less than ninety days by the Employer, Employees whose customary employment with the Employer is twenty (20) hours or less per week, and Employees whose customary employment with the Employer is for not more than five (5) months in any calendar year shall not be deemed Employees for the purposes of this Plan. For purposes of the Plan, the employment relationship shall be treated as continuing intact while the individual is on sick leave or other leave of absence approved by the Employer. Where the period of leave exceeds 90 days and the individual's right to reemployment is not guaranteed either by statute or by contract, the employment relationship shall be deemed to have terminated on the 91st day of such leave. AMENDMENT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4"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2.10 “Employer” means the Company and any Designated Subsidiary. 2.11 “Enrollment Date” means the first Trading Day of each Offering Period. 2.12 “Exercise Date” means the last Trading Day of each Offering Period. 2.13 “Fair Market Value” means, as of any date, the value of Common Stock determined as follows: 2.13.1 If the principal market for the Common Stock is the New York Stock Exchange, The Nasdaq Global Market, the NYSE MKT or another national securities exchange (an “Exchange”), then the “Fair Market Value” as of that date shall be the closing price of a share of Common Stock on the Exchange on such date or, if no closing price is reported on such date, the closing price of a share of Common Stock on the nearest preceding date on which the Exchange is open for trading. 2.13.2 If the principal market for the Common Stock is not an Exchange, but the Common Stock is traded on an over-the-counter, bulletin board or comparable service, then the “Fair Market Value” as of that date shall be the closing price of a share of Common Stock for such day as reported by such service, or if no closing price is reported on such date, the closing price of a share of Common Stock on the nearest preceding date on which trades occurred. 2.13.3 If paragraphs 2.13.1 and 2.13.2 above are inapplicable, then the “Fair Market Value” of the Common Stock shall be as determined in good faith by the Committee. 2.14 “Highly Compensated Employee” has the same meaning as the term is used in Section 414(q) of the Code. 2.15 “Offering Periods” means the period of approximately six (6) months during which an Option shall be granted and may be exercised pursuant to the Plan, commencing on the first Trading Day on or after January 1st and July 1st of each year and terminating on the last Trading Day before the commencement of the next Offering Period. Subject to the approval of the Plan by the stockholders of the Company, the first Offering Period shall commence on January 1, 2017 and continue until June 30, 2017. The duration and timing of Offering Periods may be changed pursuant to Section 4 of this Plan. 2.16 “Option” means an Option to purchase shares of Common Stock under the Plan, as set forth in Section 7 of the Plan. 2.17 “Participant” means an eligible employee who becomes a participant of the Plan in accordance with Section 5.1 of the Plan. 2.18 “Plan” means this Lisata Therapeutics, Inc. 2017 Employee Stock Purchase Plan. 2.19 “Purchase Price” for each Offering Period means 85% of the Fair Market Value of a share of Common Stock on the Enrollment Date of such Offering Period or on the Exercise Date of such Offering Period, whichever is lower; provided, however, that the Purchase Price may be adjusted by the Board pursuant to Section 20. 2.20 “Reserves” means the number of shares of Common Stock covered by each Option under the Plan that have not yet been exercised and the number of shares of Common Stock that have been authorized for issuance under the Plan but not yet placed under Option. 2.21 “Subsidiary” has the meaning set forth for “subsidiary corporation” in Section 424(f) of the Code, whereby a Subsidiary means any corporation (other than the employer corporation) in an unbroken chain of corporations beginning with the employer corporation if, at the time of the granting of the Option, each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5"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corporations other than the last corporation in the unbroken chain owns stock possessing 50 percent or more of the total combined voting power of all classes of stock in one of the other corporations in such chain. 2.22 “Trading Day” means a day on which the NYSE MKT is open for trading. 3. Eligibility. 3.1 Any Employee who shall be employed by the Company on a given Enrollment Date shall be eligible to participate in the Plan. 3.2 Notwithstanding any provision of the Plan to the contrary, no Employee shall be granted an Option under the Plan: (i) to the extent that, immediately after the grant, such Employee (or any other person whose stock would be attributed to such Employee pursuant to section 424(d) of the Code) would own stock of the Company and/or hold outstanding Options to purchase such stock possessing five percent (5%) or more of the total combined voting power or value of all classes of the stock of the Company or of any Subsidiary; (ii) to the extent that his or her rights to purchase stock under all employee stock purchase plans of the Company and its Subsidiaries accrues at a rate which exceeds Twenty-Five Thousand Dollars ($25,000) of fair market value of such stock (determined at the time such Option is granted) for each calendar year in which such Option is outstanding at any time; or (iii) if he or she has received a hardship withdrawal from the Company's 401(k) plan within the preceding six (6) months. 4. Offering Periods. The Plan shall be implemented by consecutive Offering Periods with a new Offering Period commencing and ending as set forth in Section 2.15, or on such other date as the Board shall determine, and continuing thereafter until terminated in accordance with Section 20 hereof. The Board shall have the power to change the duration of Offering Periods (including the commencement dates thereof) with respect to future offerings without shareholder approval if such change is announced at least five (5) days prior to the scheduled beginning of the first Offering Period to be affected thereafter. 5. Participation. 5.1 An eligible Employee may become a Participant in the Plan by completing a Subscription Agreement authorizing payroll deductions in the form of Exhibit A to this Plan and filing it with the Company's payroll office prior to the applicable Enrollment Date. 5.2 Payroll deductions for a Participant shall commence on the first payroll date following the Enrollment Date (provided that the Company has received the Participant's Subscription Agreement) and shall end on the last payroll in the Offering Period to which such Subscription Agreement is applicable, unless sooner terminated by the Participant as provided in Section 10 hereof. 6. Payroll Deductions. 6.1 At the time a Participant files his or her Subscription Agreement, he or she shall elect to have payroll deductions made on each payday during the Offering Period in an amount equal to any whole percentage (not exceeding fifteen percent (15%)) of the Compensation that he or she receives on each payday during the Offering Period. 6.2 All payroll deductions made for a Participant shall be credited to his or her Account under the Plan. A Participant may not make any additional payments into such Account. Accounts shall be mere bookkeeping entries on the Company's books and records. Amounts credited to Accounts shall not be trust funds and may be commingled with the Company's general assets and applied to general corporate purposes. No interest or other earnings shall be paid or credited with respect to payroll deductions or any amounts accumulated in or credited to a Participant's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6"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6.3 A Participant may discontinue his or her participation in the Plan as provided in Section 10 hereof, or may increase or decrease the rate of his or her payroll deductions during the Offering Period by completing and filing with the Company a new Subscription Agreement authorizing a change in payroll deduction rate. The Committee may, in its discretion, limit the number of participation rate changes during any Offering Period. The change in rate shall be effective with the first full payroll period following five (5) business days after the Company's receipt of the new Subscription Agreement. A Participant's Subscription Agreement shall remain in effect for successive Offering Periods unless a new Subscription Agreement is filed by the Participant prior to the commencement of such Offering Period or the then existing Subscription Agreement is terminated as provided in Section 10 hereof. 6.4 Notwithstanding the foregoing, to the extent necessary to comply with Section 423(b)(8) of the Code and Section 3.2 hereof, a Participant's payroll deductions may be decreased to zero percent (0%) at any time during an Offering Period. Payroll deductions shall recommence at the rate provided in such Participant's Subscription Agreement at the beginning of the first Offering Period which is scheduled to end in the following calendar year, unless terminated by the Participant as provided in Section 10 hereof. 6.5 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or other remuneration payable to the Participant the amount necessary for the Company to meet applicable withholding obligations, including any withholding required to make available to the Company any tax deductions or benefits attributable to sale or early disposition of Common Stock by the Employee. 7. Grant of Option. On the Enrollment Date of each Offering Period, each eligible Employee participating in such Offering Period shall be granted an Option to purchase on the Exercise Date during such Offering Period (at the applicable Purchase Price) up to a number of shares of the Company's Common Stock determined by dividing such Participant's Account as of the Exercise Date by the applicable Purchase Price; provided that such purchase shall be subject to the limitations set forth in Sections 3.2 and 13 hereof.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Exercise of the Option shall occur as provided in Section 8 hereof, unless the Participant has withdrawn pursuant to Section 10 hereof. The Option shall expire on the last day of the Offering Period. 8. Exercise of Option. 8.1 Unless a Participant withdraws from the Plan as provided in Section 10 hereof, his or her Option with respect to an Offering Period shall be exercised automatically on the Exercise Date of such Offering Period, and the maximum number of full shares subject to Option shall be purchased for such Participant at the applicable Purchase Price with the accumulated payroll deductions credited to his or her Account.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 8.2 If the Board or the Committee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7"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shares available for sale under the Plan on such Exercise Date, the Board may in its sole discretion: (x)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and continue all Offering Periods then in effect; or (y) provide that the Company shall make a pro rata allocation of the shares available for purchase on such Enrollment Date or Exercise Date, as applicable, in as uniform a manner as shall be practicable and as it shall determine in its sole discretion to be equitable among all Participants, and terminate any or all Offering Periods then in effect pursuant to Section 20 hereof.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9. Delivery. Shares purchased under the Plan by a Participant will be credited to and held under a stock purchase account in the Participant's name maintained by such brokerage or other third-party firm as is designated by the Committee. Any and all stock dividends with respect to shares of Common Stock credited to a Participant's stock purchase account shall be paid directly to each Participant. A Participant may, by notice to the Company's applicable human resources location (or such other designee as established by the Committee) elect to have such cash dividends reinvested in shares of Common Stock. Any shares purchased with such dividend proceeds shall be purchased on the open market by such brokerage firm on the Participant's behalf (subject to applicable Company policies) and such shares shall not count in determining the maximum number of shares of Common Stock available for issuance under the Plan under Section 13, nor shall such shares count against the maximum number of shares that may be purchased by a Participant under Section 8. Subject to such restrictions, limitations and procedures as may be prescribed by the Committee, a Participant may withdraw shares in his or her stock purchase account from time to time. As soon as administratively practicable following termination of participation pursuant to Section 11, all shares credited to the Participant's stock purchase account shall be delivered to the Participant (or to the Participant's beneficiary or estate in the event of Participant's death), except to the extent that the Participant (or the Participant's beneficiary or estate in the event of Participant's death) elects to have such stock purchase account paid in cash. 10. Withdrawal. 10.1 A Participant may withdraw all but not less than all the payroll deductions credited to his or her Account and not yet used to exercise his or her Option under the Plan at any time by giving written notice to the Company in the form of Exhibit B to this Plan or in such other manner prescribed by the Committee. All of the Participant's 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by such Participant. If a Participant withdraws from an Offering Period, payroll deductions shall not resume at the beginning of the succeeding Offering Period unless the Participant delivers to the Company a new Subscription Agreement. 10.2 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 11. Termination of Employment. 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15 hereof, and such Participant's Option shall be automatically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8"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12. Interest. No interest or other earnings shall accrue on the payroll deductions of a Participant in the Plan. 13. Stock. 13.1 Subject to adjustment upon changes in capitalization of the Company as provided in Section 19 hereof, the maximum number of shares of the Company's Common Stock which shall be made available for sale under the Plan shall be 68,333 shares. 13.2 A Participant shall have no ownership interest or voting right in shares covered by his or her Option until such Option has been exercised and the shares purchased as a result thereof have been delivered. 13.3 Shares to be delivered to a Participant under the Plan shall be registered in the name of the Participant or in the name of the Participant and his or her spouse jointly with the right of survivorship. 14. Administration. 14.1 The Plan shall be administered by the Committee. The Committee shall have full and exclusive discretionary authority to construe, interpret and apply the terms of the Plan, to determine eligibility and to adjudicate all disputed claims filed under the Plan. Every finding, decision and determination made by the Committee shall, to the full extent permitted by law, be final and binding upon all parties. The Committee may retain the services of an outside firm to serve as its agent in administering the Plan on a day-to-day basis. No member of the Board or the Committee shall be liable for any act done or omitted to be done by such member or by any other member of the Board or the Committee in connection with the Plan, except for such member's own willful misconduct or as expressly provided by statute. 14.2 Any Participant who believes he or she is being denied any benefit or right under this Plan may file a written claim with the Committee. Any claim must be delivered to the Committee (care of the Company’s Chief Executive Officer and Vice President, Finance &amp; Treasury) within forty-five (45) days of the specific event giving rise to the claim. Untimely claims will not be processed and shall be deemed denied. The Committee, or its designee, will notify the Participant of its decision in writing as soon as administratively practicable. Claims not responded to by the Committee in writing within one hundred and twenty (120) days of the date the written claim is delivered to the Committee shall be deemed denied. No lawsuit relating to this Plan may be filed before a written claim is filed with the Committee and is denied or deemed denied, and any lawsuit must be filed within one year of such denial or deemed denial or be forever barred. 15. Designation of Beneficiary. 15.1 A Participant, in its Subscription Agreement, may designate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 15.2 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Committee of the estate of the Participant, or if no such executor or Committee has been appointed (to the knowledge of the Company), the Company, in its discretion, may deliver such shares and/or cash to the spouse or to AMENDMENT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9"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any one or more dependents or relatives of the Participant, or if no spouse, dependent or relative is known to the Company, then to such other person as the Company may designate. 16. 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from an Offering Period in accordance with Section 10 hereof. 17. Use of Funds. All payroll deductions received or held by the Company under the Plan may be used by the Company for any corporate purpose, and the Company shall not be obligated to segregate such payroll deductions. 18. Reports.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19. Adjustments Upon Changes in Capitalization, Dissolution, Liquidation, Merger or Asset Sale. 19.1 Changes in Capitalization. Subject to any required action by the shareholders of the Company, the Reserves, the maximum number of shares each Participant may purchase each Purchase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19.2 Dissolution or Liquidation. Unless provided otherwise by the Board, in the event of the proposed dissolution or liquidation of the Company, the Offering Period then in progress shall terminate immediately prior to the consummation of such proposed dissolution or liquidation and a cash amount shall be paid to each Participant that is equal to the amount of his or her Account. 19.3 Merger or Asset Sale.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the Board may terminate any Offering Period then in progress by setting a new Exercise Date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 20. Amendment or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30"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20.1 The Board may at any time and for any reason terminate or amend the Plan. Except as provided in Section 19 hereof, no such termination can affect Options previously granted, provided that an Offering Period may be terminated by the Board on any Exercise Date if the Board determines that the termination of the Offering Period or the Plan is in the best interests of the Company and its shareholders. Except as provided in Section 19 and this Section 20 hereof, no amendment may make any change in any Option theretofore granted which adversely affects the rights of any Participant. To the extent necessary to comply with Section 423 of the Code (or any successor rule or provision or any other applicable law, regulation or stock exchange rule), the Company shall obtain shareholder approval in such a manner and to such a degree as required. 20.2 Without shareholder consent and without regard to whether any Participant rights may be considered to have been “adversely affected,” the Board (or the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its Committee) determines in its sole discretion advisable which are consistent with the Plan. 20.3 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 20.3.1 Altering the Purchase Price for any Offering Period including an Offering Period underway at the time of the change in Purchase Price; 20.3.2 Shortening any Offering Period so that Offering Period ends on a new Exercise Date, including an Offering Period underway at the time of the Board action; and 20.3.3 Allocating shares. Such modifications or amendments shall not require stockholder approval or the consent of any Plan Participants. 21. 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22. Term of Plan. The Plan, as amended and restated hereby, shall become effective on January 1, 2017, subject to approval of the Plan by the stockholders of the Company. It shall continue in effect for a term of ten (10) years unless sooner terminated under Section 20 hereof. If the Company’s stockholders do not approve the amended and restated Plan at their annual meeting in 2017, then the Plan and the Offering Period that commenced on January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1"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 2017 shall automatically terminate without any issuance of any shares of Common Stock, and a cash amount shall be paid to each Participant that is equal to the amount of his or her Account. 23. No Employment Rights. The Plan does not, directly or indirectly, create any right for the benefit of any employee or class of employees to purchase any shares of Common Stock under the Plan, or create in any employee or class of employees any right with respect to continuation of employment by the Company, and it shall not be deemed to interfere in any way with the Company's right to terminate, or otherwise modify, an employee's employment at any time.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enrolling in the Plan for any Offering Period, each Participant authorizes such recipients to receive, possess, use, retain and transfer the Personal Data, in electronic or other form, for the purposes of assisting the Company in the implementation, administration and management of this Plan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if the Participant refuses or withdraws the consents described herein. For more information on the consequences of refusal to consent or withdrawal of consent, Participants may contact their local human resources representative. 25. No Effect Upon Benefits. Neither the grant nor the exercise of any Option hereunder will affect the benefits under any benefit plan of the Employer, and no amount or benefit granted or received hereunder shall be considered compensation for any purposes of any other benefit plan or program of the Employer. 26. Trading Policy Restrictions. Option exercises under the Plan shall be subject to the terms and conditions of any insider trading policy established by the Company. 27.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2"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28. Equal Rights and Privileges. All eligible employees shall have equal rights and privileges with respect to the Plan so that the Plan qualifies as an “employee stock purchase plan” within the meaning of Section 423 or any successor provision of the Code and the related regulations. Any provision of the Plan which is inconsistent with Section 423 or any successor provision of the Code shall, without further act or amendment by the Company or the Committee, be reformed to comply with the requirements of Section 423. This Section 27 shall take precedence over all other provisions in the Plan. 29. Governing Law. Without regard to conflict of law principles, the laws of the State of Delaware will govern all matters relating to this Plan except to the extent it is superseded by the laws of the United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3"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LISATA THERAPEUTICS, INC. 2017 EMPLOYEE STOCK PURCHASE PLAN (formerly the NeoStem, Inc. 2012 Employee Stock Purchase Plan) (amended by stockholders as of June 27, 2024) 1. Purpose. The purpose of the Lisata Therapeutics, Inc. 2017 Employee Stock Purchase Plan (the “Plan”) is to amend and restate the NeoStem, Inc. 2012 Employee Stock Purchase Plan in order to further promote the interest of Lisata Therapeutics, Inc., a Delaware corporation (the “Company”) and its stockholders by providing employees of the Company and its Designated Subsidiaries with an opportunity to purchase Common Stock of the Company through accumulated payroll deductions. By encouraging stock ownership, the Company seeks to attract, retain and motivate employees and to encourage them to devote their best efforts to the business and financial success of the Company. It is the intention of the Company to have the Plan qualify as an “Employee Stock Purchase Plan” under Section 423 of the Code. The provisions of the Plan, accordingly, shall be construed in a manner consistent with the requirements of that section of the Code. 2. Definitions. For purposes of the Plan, the following capitalized terms shall have the following meanings: 2.1 “Account” means an account referred to in Section 6.2 of the Plan. 2.2 “Board of Directors” or “Board” means the Board of Directors of the Company. 2.3 “Code” means the Internal Revenue Code of 1986, as amended. 2.4 “Committee” means the Compensation Committee of the Board of Directors, or such other committee of members of the Board appointed by the Board, authorized under Section 14 to administer the Plan and to perform the functions assigned to the Committee under the Plan. 2.5 “Common Stock” means the common stock, $0.001 par value, of the Company. 2.6 “Company” means Lisata Therapeutics, Inc. 2.7 “Compensation” means, for any pay period, the gross cash compensation payable to an Employee for such period, including base salary, commissions, bonuses and incentive payments, but excluding severance and non-cash compensation. Any pre-tax contributions made to a Company 401(k) plan or “cafeteria plan” pursuant to Section 125 of the Code shall be treated as Compensation for purposes of the Plan. 2.8 “Designated Subsidiary” means any Subsidiary that has been designated by the Board from time to time in its sole discretion as eligible to participate in the Plan. 2.9 “Employee” means any individual who is an employee of the Employer; provided, however, Employees who have been employed less than ninety days by the Employer, Employees whose customary employment with the Employer is twenty (20) hours or less per week, and Employees whose customary employment with the Employer is for not more than five (5) months in any calendar year shall not be deemed Employees for the purposes of this Plan. For purposes of the Plan, the employment relationship shall be treated as continuing intact while the individual is on sick leave or other leave of absence approved by the Employer. Where the period of leave exceeds 90 days and the individual's right to reemployment is not guaranteed either by statute or by contract, the employment relationship shall be deemed to have terminated on the 91st day of such leave. 2.10 “Employer” means the Company and any Designated Subsidiary. 2.11 “Enrollment Date” means the first Trading Day of each Offering Period. 2.12 “Exercise Date” means the last Trading Day of each Offering Period. 2.13 “Fair Market Value” means, as of any date, the value of Common Stock determined as follows: 2.13.1 If the principal market for the Common Stock is the New York Stock Exchange, The Nasdaq Global Market, the NYSE MKT or another national securities exchange (an “Exchange”), then the “Fair Market Value” as of that AMENDMENT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4"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date shall be the closing price of a share of Common Stock on the Exchange on such date or, if no closing price is reported on such date, the closing price of a share of Common Stock on the nearest preceding date on which the Exchange is open for trading. 2.13.2 If the principal market for the Common Stock is not an Exchange, but the Common Stock is traded on an over-the-counter, bulletin board or comparable service, then the “Fair Market Value” as of that date shall be the closing price of a share of Common Stock for such day as reported by such service, or if no closing price is reported on such date, the closing price of a share of Common Stock on the nearest preceding date on which trades occurred. 2.13.3 If paragraphs 2.13.1 and 2.13.2 above are inapplicable, then the “Fair Market Value” of the Common Stock shall be as determined in good faith by the Committee. 2.14 “Highly Compensated Employee” has the same meaning as the term is used in Section 414(q) of the Code. 2.15 “Offering Periods” means the period of approximately six (6) months during which an Option shall be granted and may be exercised pursuant to the Plan, commencing on the first Trading Day on or after January 1st and July 1st of each year and terminating on the last Trading Day before the commencement of the next Offering Period. Subject to the approval of the Plan by the stockholders of the Company, the first Offering Period shall commence on January 1, 2017 and continue until June 30, 2017. The duration and timing of Offering Periods may be changed pursuant to Section 4 of this Plan. 2.16 “Option” means an Option to purchase shares of Common Stock under the Plan, as set forth in Section 7 of the Plan. 2.17 “Participant” means an eligible employee who becomes a participant of the Plan in accordance with Section 5.1 of the Plan. 2.18 “Plan” means this Lisata Therapeutics, Inc. 2017 Employee Stock Purchase Plan. 2.19 “Purchase Price” for each Offering Period means 85% of the Fair Market Value of a share of Common Stock on the Enrollment Date of such Offering Period or on the Exercise Date of such Offering Period, whichever is lower; provided, however, that the Purchase Price may be adjusted by the Board pursuant to Section 20. 2.20 “Reserves” means the number of shares of Common Stock covered by each Option under the Plan that have not yet been exercised and the number of shares of Common Stock that have been authorized for issuance under the Plan but not yet placed under Option. 2.21 “Subsidiary” has the meaning set forth for “subsidiary corporation” in Section 424(f) of the Code, whereby a Subsidiary means any corporation (other than the employer corporation) in an unbroken chain of corporations beginning with the employer corporation if, at the time of the granting of the Option, each of the corporations other than the last corporation in the unbroken chain owns stock possessing 50 percent or more of the total combined voting power of all classes of stock in one of the other corporations in such chain. 2.22 “Trading Day” means a day on which the NYSE MKT is open for trading. 3. Eligibility. 3.1 Any Employee who shall be employed by the Company on a given Enrollment Date shall be eligible to participate in the Plan. 3.2 Notwithstanding any provision of the Plan to the contrary, no Employee shall be granted an Option under the Plan: (i) to the extent that, immediately after the grant, such Employee (or any other person whose stock would be attributed to such Employee pursuant to section 424(d) of the Code) would own stock of the Company and/or hold outstanding Options to purchase such stock possessing five percent (5%) or more of the total combined voting power or value of all classes of the stock of the Company or of any Subsidiary; (ii) to the extent that his or her rights to purchase stock under all employee stock purchase plans of the Company and its Subsidiaries accrues at a rate which exceeds Twenty-Five Thousand Dollars ($25,000) of fair market value of such stock (determined at the time such Option is granted) for each calendar year in which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5"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Option is outstanding at any time; or (iii) if he or she has received a hardship withdrawal from the Company's 401(k) plan within the preceding six (6) months. 4. Offering Periods. The Plan shall be implemented by consecutive Offering Periods with a new Offering Period commencing and ending as set forth in Section 2.15, or on such other date as the Board shall determine, and continuing thereafter until terminated in accordance with Section 20 hereof. The Board shall have the power to change the duration of Offering Periods (including the commencement dates thereof) with respect to future offerings without shareholder approval if such change is announced at least five (5) days prior to the scheduled beginning of the first Offering Period to be affected thereafter. 5. Participation. 5.1 An eligible Employee may become a Participant in the Plan by completing a Subscription Agreement authorizing payroll deductions in the form of Exhibit A to this Plan and filing it with the Company's payroll office prior to the applicable Enrollment Date. 5.2 Payroll deductions for a Participant shall commence on the first payroll date following the Enrollment Date (provided that the Company has received the Participant's Subscription Agreement) and shall end on the last payroll in the Offering Period to which such Subscription Agreement is applicable, unless sooner terminated by the Participant as provided in Section 10 hereof. 6. Payroll Deductions. 6.1 At the time a Participant files his or her Subscription Agreement, he or she shall elect to have payroll deductions made on each payday during the Offering Period in an amount equal to any whole percentage (not exceeding fifteen percent (15%)) of the Compensation that he or she receives on each payday during the Offering Period. 6.2 All payroll deductions made for a Participant shall be credited to his or her Account under the Plan. A Participant may not make any additional payments into such Account. Accounts shall be mere bookkeeping entries on the Company's books and records. Amounts credited to Accounts shall not be trust funds and may be commingled with the Company's general assets and applied to general corporate purposes. No interest or other earnings shall be paid or credited with respect to payroll deductions or any amounts accumulated in or credited to a Participant's Account. 6.3 A Participant may discontinue his or her participation in the Plan as provided in Section 10 hereof, or may increase or decrease the rate of his or her payroll deductions during the Offering Period by completing and filing with the Company a new Subscription Agreement authorizing a change in payroll deduction rate. The Committee may, in its discretion, limit the number of participation rate changes during any Offering Period. The change in rate shall be effective with the first full payroll period following five (5) business days after the Company's receipt of the new Subscription Agreement. A Participant's Subscription Agreement shall remain in effect for successive Offering Periods unless a new Subscription Agreement is filed by the Participant prior to the commencement of such Offering Period or the then existing Subscription Agreement is terminated as provided in Section 10 hereof. 6.4 Notwithstanding the foregoing, to the extent necessary to comply with Section 423(b)(8) of the Code and Section 3.2 hereof, a Participant's payroll deductions may be decreased to zero percent (0%) at any time during an Offering Period. Payroll deductions shall recommence at the rate provided in such Participant's Subscription Agreement at the beginning of the first Offering Period which is scheduled to end in the following calendar year, unless terminated by the Participant as provided in Section 10 hereof. 6.5 At the time the Option is exercised, in whole or in part, or at the time some or all of the Company's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or other remuneration payable to the Participant the amount necessary for the Company to meet applicable withholding obligations, including any withholding required to make available to the Company any tax deductions or benefits attributable to sale or early disposition of Common Stock by the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6"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7. Grant of Option. On the Enrollment Date of each Offering Period, each eligible Employee participating in such Offering Period shall be granted an Option to purchase on the Exercise Date during such Offering Period (at the applicable Purchase Price) up to a number of shares of the Company's Common Stock determined by dividing such Participant's Account as of the Exercise Date by the applicable Purchase Price; provided that such purchase shall be subject to the limitations set forth in Sections 3.2 and 13 hereof.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Exercise of the Option shall occur as provided in Section 8 hereof, unless the Participant has withdrawn pursuant to Section 10 hereof. The Option shall expire on the last day of the Offering Period. 8. Exercise of Option. 8.1 Unless a Participant withdraws from the Plan as provided in Section 10 hereof, his or her Option with respect to an Offering Period shall be exercised automatically on the Exercise Date of such Offering Period, and the maximum number of full shares subject to Option shall be purchased for such Participant at the applicable Purchase Price with the accumulated payroll deductions credited to his or her Account. No fractional shares shall be purchased; any payroll deductions accumulated in a Participant's Account which are not sufficient to purchase a full share shall be retained in the Participant's Account for the subsequent Offering Period, subject to earlier withdrawal by the Participant as provided in Section 10 hereof. Any other monies left over in a Participant's Account after the Exercise Date shall be returned to the Participant. During a Participant's lifetime, a Participant's Option to purchase shares hereunder is exercisable only by him or her. 8.2 If the Board or the Committee determines that, on a given Exercise Date, the number of shares with respect to which Options are to be exercised may exceed: (i) the number of shares of Common Stock that were available for sale under the Plan on the Enrollment Date of the applicable Offering Period; or (ii) the number of shares available for sale under the Plan on such Exercise Date, the Board may in its sole discretion: (x) provide that the Company shall make a pro rata allocation of the shares of Common Stock available for purchase on such Enrollment Date or Exercise Date, as applicable, in as uniform a manner as shall be practicable and as it shall determine in its sole discretion to be equitable among all Participants, and continue all Offering Periods then in effect; or (y) provide that the Company shall make a pro rata allocation of the shares available for purchase on such Enrollment Date or Exercise Date, as applicable, in as uniform a manner as shall be practicable and as it shall determine in its sole discretion to be equitable among all Participants, and terminate any or all Offering Periods then in effect pursuant to Section 20 hereof.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 9. Delivery. Shares purchased under the Plan by a Participant will be credited to and held under a stock purchase account in the Participant's name maintained by such brokerage or other third-party firm as is designated by the Committee. Any and all stock dividends with respect to shares of Common Stock credited to a Participant's stock purchase account shall be paid directly to each Participant. A Participant may, by notice to the Company's applicable human resources location (or such other designee as established by the Committee) elect to have such cash dividends reinvested in shares of Common Stock. Any shares purchased with such dividend proceeds shall be purchased on the open market by such brokerage firm on the Participant's behalf (subject to applicable Company policies) and such shares shall not count in determining the maximum number of shares of Common Stock available for issuance under the Plan under Section 13, nor shall such shares count against the maximum number of shares that may be purchased by a Participant under Section 8. Subject to such restrictions, limitations and procedures as may be prescribed by the Committee, a Participant may withdraw shares in his or her stock purchase account from time to time. As soon as administratively practicable following termination of participation pursuant to Section 11, all shares credited to the Participant's stock purchase account shall be delivered to the Participant (or to the Participant's beneficiary or estate in the event of Participant's death), except to the extent that the Participant (or the Participant's beneficiary or estate in the event of Participant's death) elects to have such stock purchase account paid in cash. 10. Withdrawal. 10.1 A Participant may withdraw all but not less than all the payroll deductions credited to his or her Account and not yet used to exercise his or her Option under the Plan at any time by giving written notice to the Company in the form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7"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B to this Plan or in such other manner prescribed by the Committee. All of the Participant's 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by such Participant. If a Participant withdraws from an Offering Period, payroll deductions shall not resume at the beginning of the succeeding Offering Period unless the Participant delivers to the Company a new Subscription Agreement. 10.2 A Participant's withdrawal from an Offering Period shall not have any effect upon his or her eligibility to participate in any similar plan which may hereafter be adopted by the Company or in succeeding Offering Periods which commence after the termination of the Offering Period from which the Participant withdraws. 11. Termination of Employment. 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15 hereof, and such Participant's Option shall be automatically terminated. 12. Interest. No interest or other earnings shall accrue on the payroll deductions of a Participant in the Plan. 13. Stock. 13.1 Subject to adjustment upon changes in capitalization of the Company as provided in Section 19 hereof, the maximum number of shares of the Company's Common Stock which shall be made available for sale under the Plan shall be 68,333 shares. 13.2 A Participant shall have no ownership interest or voting right in shares covered by his or her Option until such Option has been exercised and the shares purchased as a result thereof have been delivered. 13.3 Shares to be delivered to a Participant under the Plan shall be registered in the name of the Participant or in the name of the Participant and his or her spouse jointly with the right of survivorship. 14. Administration. 14.1 The Plan shall be administered by the Committee. The Committee shall have full and exclusive discretionary authority to construe, interpret and apply the terms of the Plan, to determine eligibility and to adjudicate all disputed claims filed under the Plan. Every finding, decision and determination made by the Committee shall, to the full extent permitted by law, be final and binding upon all parties. The Committee may retain the services of an outside firm to serve as its agent in administering the Plan on a day-to-day basis. No member of the Board or the Committee shall be liable for any act done or omitted to be done by such member or by any other member of the Board or the Committee in connection with the Plan, except for such member's own willful misconduct or as expressly provided by statute. 14.2 Any Participant who believes he or she is being denied any benefit or right under this Plan may file a written claim with the Committee. Any claim must be delivered to the Committee (care of the Company’s Chief Executive Officer and Vice President, Finance &amp; Treasury) within forty-five (45) days of the specific event giving rise to the claim. Untimely claims will not be processed and shall be deemed denied. The Committee, or its designee, will notify the Participant of its decision in writing as soon as administratively practicable. Claims not responded to by the Committee in writing within one hundred and twenty (120) days of the date the written claim is delivered to the Committee shall be deemed denied. No lawsuit relating to this Plan may be filed before a written claim is filed with the Committee and is denied or deemed denied, and any lawsuit must be filed within one year of such denial or deemed denial or be forever barred. 15. Designation of Beneficiary. 15.1 A Participant, in its Subscription Agreement, may designate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8"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event of such Participant's death prior to exercise of the Option. If a Participant is married and the designated beneficiary is not the spouse, spousal consent shall be required for such designation to be effective. 15.2 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Committee of the estate of the Participant, or if no such executor or Committee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16. 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shall be without effect, except that the Company may treat such act as an election to withdraw funds from an Offering Period in accordance with Section 10 hereof. 17. Use of Funds. All payroll deductions received or held by the Company under the Plan may be used by the Company for any corporate purpose, and the Company shall not be obligated to segregate such payroll deductions. 18. Reports. Individual accounts shall be maintained for each Participant in the Plan. Statements of account shall be given to Participants at least annually, which statements shall set forth the amounts of payroll deductions, the Purchase Price, the number of shares purchased and the remaining cash balance, if any. 19. Adjustments Upon Changes in Capitalization, Dissolution, Liquidation, Merger or Asset Sale. 19.1 Changes in Capitalization. Subject to any required action by the shareholders of the Company, the Reserves, the maximum number of shares each Participant may purchase each Purchase Period (pursuant to Section 7),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19.2 Dissolution or Liquidation. Unless provided otherwise by the Board, in the event of the proposed dissolution or liquidation of the Company, the Offering Period then in progress shall terminate immediately prior to the consummation of such proposed dissolution or liquidation and a cash amount shall be paid to each Participant that is equal to the amount of his or her Account. 19.3 Merger or Asset Sale.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In the event that the successor corporation refuses to assume or substitute for the Option, the Board may terminate any Offering Period then in progress by setting a new Exercise Date (the “New Exercise Date”). The New Exercise Date shall be before the date of the Company's proposed sale or merger. The Board shall notify each Participant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 20. Amendment or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9"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20.1 The Board may at any time and for any reason terminate or amend the Plan. Except as provided in Section 19 hereof, no such termination can affect Options previously granted, provided that an Offering Period may be terminated by the Board on any Exercise Date if the Board determines that the termination of the Offering Period or the Plan is in the best interests of the Company and its shareholders. Except as provided in Section 19 and this Section 20 hereof, no amendment may make any change in any Option theretofore granted which adversely affects the rights of any Participant. To the extent necessary to comply with Section 423 of the Code (or any successor rule or provision or any other applicable law, regulation or stock exchange rule), the Company shall obtain shareholder approval in such a manner and to such a degree as required. 20.2 Without shareholder consent and without regard to whether any Participant rights may be considered to have been “adversely affected,” the Board (or the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(or its Committee) determines in its sole discretion advisable which are consistent with the Plan. 20.3 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 20.3.1 Altering the Purchase Price for any Offering Period including an Offering Period underway at the time of the change in Purchase Price; 20.3.2 Shortening any Offering Period so that Offering Period ends on a new Exercise Date, including an Offering Period underway at the time of the Board action; and 20.3.3 Allocating shares. Such modifications or amendments shall not require stockholder approval or the consent of any Plan Participants. 21. 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22. Term of Plan. The Plan, as amended and restated hereby, shall become effective on January 1, 2017, subject to approval of the Plan by the stockholders of the Company. It shall continue in effect for a term of ten (10) years unless sooner terminated under Section 20 hereof. If the Company’s stockholders do not approve the amended and restated Plan at their annual meeting in 2017, then the Plan and the Offering Period that commenced on January 1, 2017 shall automatically terminate without any issuance of any shares of Common Stock, and a cash amount shall be paid to each Participant that is equal to the amount of his or her Account. 23. No Employment Rights. The Plan does not, directly or indirectly, create any right for the benefit of any employee or class of employees to purchase any shares of Common Stock under the Plan, or create in any employee or class of employees any right with respect to continuation of employment by the Company, and it shall not be deemed to interfere in any way with the Company's right to terminate, or otherwise modify, an employee's employment at any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40"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24. Data Privacy. As a condition of receipt of any Award, each Participant explicitly and unambiguously consents to the collection, use and transfer, in electronic or other form, of personal data as described in this Section by and among, as applicable, the Company and its Subsidiaries and affiliates for the exclusive purpose of implementing, administering and managing this Plan and the Participant’s participation in this Plan. In furtherance of such implementation, administration, and management, the Company and its Subsidiaries and affiliates may hold certain personal information about a Participant, including, but not limited to, the Participant’s name, home address, telephone number, date of birth, social insurance or security number or other identification number, salary, nationality, job title(s), information regarding any securities of the Company or any of its Subsidiaries or affiliates, and details of all Awards (the “Personal Data”). In addition to transferring the Personal Data amongst themselves as necessary for the purpose of implementation, administration and management of this Plan and the Participant’s participation in this Plan, the Company and its Subsidiaries and affiliates may each transfer the Personal Data to any third parties assisting the Company in the implementation, administration and management of this Plan and Awards and the Participant’s participation in this Plan. Recipients of the Personal Data may be located in the Participant’s country or elsewhere, and the Participant’s country and any given recipient’s country may have different data privacy laws and protections. By enrolling in the Plan for any Offering Period, each Participant authorizes such recipients to receive, possess, use, retain and transfer the Personal Data, in electronic or other form, for the purposes of assisting the Company in the implementation, administration and management of this Plan and the Participant’s participation in this Plan, including any requisite transfer of such Personal Data as may be required to a broker or other third party with whom the Company or the Participant may elect to deposit any shares of capital stock of the Company. The Personal Data related to a Participant will be held only as long as is necessary to implement, administer and manage this Plan and the Participant’s participation in this Plan. A Participant may, at any time, view the Personal Data held by the Company with respect to such Participant, request additional information about the storage and processing of the Personal Data with respect to such Participant, recommend any necessary corrections to the Personal Data with respect to the Participant, or refuse or withdraw the consents herein in writing, in any case without cost, by contacting the Participant’s local human resources representative. The Company may cancel the Participant’s eligibility to participate in this Plan if the Participant refuses or withdraws the consents described herein. For more information on the consequences of refusal to consent or withdrawal of consent, Participants may contact their local human resources representative. 25. No Effect Upon Benefits. Neither the grant nor the exercise of any Option hereunder will affect the benefits under any benefit plan of the Employer, and no amount or benefit granted or received hereunder shall be considered compensation for any purposes of any other benefit plan or program of the Employer. 26. Trading Policy Restrictions. Option exercises under the Plan shall be subject to the terms and conditions of any insider trading policy established by the Company. 27. 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28. Equal Rights and Privileges. All eligible employees shall have equal rights and privileges with respect to the Plan so that the Plan qualifies as an “employee stock purchase plan” within the meaning of Section 423 or any successor provision of the Code and the related regulations. Any provision of the Plan which is inconsistent with Section 423 or any successor provision of the Code shall, without further act or amendment by the Company or the Committee, be reformed to comply with the requirements of Section 423. This Section 27 shall take precedence over all other provisions in the Plan. 29. Governing Law. Without regard to conflict of law principles, the laws of the State of Delaware will govern all matters relating to this Plan except to the extent it is superseded by the laws of the United States.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14kuvalicenseandcoll.htm"/>
      <w:bookmarkStart w:id="5" w:name="ksex1014kuvalicenseandcoll"/>
      <w:bookmarkEnd w:id="4"/>
      <w:bookmarkEnd w:id="5"/>
      <w:r>
        <w:rPr/>
        <w:drawing>
          <wp:inline distT="0" distB="0" distL="0" distR="0">
            <wp:extent cx="10048875" cy="13001625"/>
            <wp:effectExtent l="0" t="0" r="0" b="0"/>
            <wp:docPr id="24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1"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2"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3"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4"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5"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6"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7"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8"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9"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50"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1"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2"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3"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4"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5"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6"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7"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8"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9"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60"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1"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2"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3"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4"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5"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6"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7"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8"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9"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70"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71"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2"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3"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4"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5"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6"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7"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8"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79"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80"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1"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2"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3"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David J. Mazzo, PhD President &amp; CEO Mark Land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4"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5"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6"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7"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David J. Mazzo, PhD President &amp; CEO Mark Land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88"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89"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0"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91"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2"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p>
    <w:p>
      <w:pPr>
        <w:pStyle w:val="TextBody"/>
        <w:bidi w:val="0"/>
        <w:spacing w:before="0" w:after="0"/>
        <w:jc w:val="right"/>
        <w:rPr/>
      </w:pPr>
      <w:r>
        <w:rPr/>
      </w:r>
    </w:p>
    <w:p>
      <w:pPr>
        <w:pStyle w:val="TextBody"/>
        <w:bidi w:val="0"/>
        <w:spacing w:before="0" w:after="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4"/>
        </w:rPr>
      </w:pPr>
      <w:r>
        <w:rPr>
          <w:rFonts w:ascii="Times New Roman;sans-serif" w:hAnsi="Times New Roman;sans-serif"/>
          <w:b/>
          <w:color w:val="000000"/>
          <w:sz w:val="24"/>
        </w:rPr>
        <w:t>Subsidiaries of Lisata Therapeutics, Inc.</w:t>
      </w:r>
    </w:p>
    <w:tbl>
      <w:tblPr>
        <w:tblW w:w="8061" w:type="dxa"/>
        <w:jc w:val="center"/>
        <w:tblInd w:w="0" w:type="dxa"/>
        <w:tblLayout w:type="fixed"/>
        <w:tblCellMar>
          <w:top w:w="28" w:type="dxa"/>
          <w:left w:w="28" w:type="dxa"/>
          <w:bottom w:w="28" w:type="dxa"/>
          <w:right w:w="28" w:type="dxa"/>
        </w:tblCellMar>
      </w:tblPr>
      <w:tblGrid>
        <w:gridCol w:w="1131"/>
        <w:gridCol w:w="995"/>
        <w:gridCol w:w="1008"/>
        <w:gridCol w:w="109"/>
        <w:gridCol w:w="109"/>
        <w:gridCol w:w="109"/>
        <w:gridCol w:w="704"/>
        <w:gridCol w:w="704"/>
        <w:gridCol w:w="706"/>
        <w:gridCol w:w="109"/>
        <w:gridCol w:w="109"/>
        <w:gridCol w:w="109"/>
        <w:gridCol w:w="631"/>
        <w:gridCol w:w="631"/>
        <w:gridCol w:w="897"/>
      </w:tblGrid>
      <w:tr>
        <w:trPr/>
        <w:tc>
          <w:tcPr>
            <w:tcW w:w="113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Entity</w:t>
            </w:r>
            <w:r>
              <w:rPr>
                <w:color w:val="000000"/>
              </w:rPr>
              <w:t xml:space="preserv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Location</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Athelos Corporation</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Therapeutics Australia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Therapeutics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Therapeutics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Lisata Therapeutics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Subsidiaries listed are as of the Company's filing date of February 27, 2025.</w:t>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As of December 31, 2024, Becton Dickinson's ownership interest in Athelos Corporation was 1.0%.</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0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23.1</w:t>
      </w:r>
    </w:p>
    <w:p>
      <w:pPr>
        <w:pStyle w:val="TextBody"/>
        <w:bidi w:val="0"/>
        <w:spacing w:before="0" w:after="0"/>
        <w:jc w:val="right"/>
        <w:rPr/>
      </w:pPr>
      <w:r>
        <w:rPr/>
      </w:r>
    </w:p>
    <w:p>
      <w:pPr>
        <w:pStyle w:val="TextBody"/>
        <w:bidi w:val="0"/>
        <w:spacing w:before="0" w:after="160"/>
        <w:jc w:val="righ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16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February 27, 2025, with respect to the consolidated financial statements included in the Annual Report of Lisata Therapeutics, Inc. on Form 10-K for the year ended December 31, 2024. We consent to the incorporation by reference of said report in the Registration Statements of Lisata Therapeutics, Inc. on Form S-1 (File No 333-239302), Forms S-3 (File No. 333-210664, File No. 333-214607, File No. 333-220354, File No. 333-248100, File No. 333-252560, and File No. 333-279034) and on Forms S-8 (File No. 333-159282, File No. 333-162733, File No. 333-173854, File No. 333-181365, File No. 333-184927, File No. 333-191572, File No. 333-205662, File No. 333-212202, File No. 333-215455, File No. 333-218642, File No. 333-222410, File No. 333-225743, File No. 333-225744, File No. 333-248101, File No. 333-257560, File No. 333-267909, File No. 333-273229, and File No. 333-280812).</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/s/GRANT THORNTON LLP</w:t>
      </w:r>
    </w:p>
    <w:p>
      <w:pPr>
        <w:pStyle w:val="TextBody"/>
        <w:bidi w:val="0"/>
        <w:spacing w:before="0" w:after="16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0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I have reviewed this annual report on Form 10-K of Lisata Therapeutics, Inc.;</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J. Mazzo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extBody"/>
        <w:bidi w:val="0"/>
        <w:spacing w:lineRule="auto" w:line="288"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I have reviewed this annual report on Form 10-K of Lisata Therapeutics, Inc.;</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both"/>
        <w:rPr>
          <w:color w:val="000000"/>
        </w:rPr>
      </w:pPr>
      <w:r>
        <w:rPr>
          <w:color w:val="000000"/>
        </w:rPr>
        <w:t>    </w:t>
      </w:r>
      <w:r>
        <w:rPr>
          <w:rFonts w:ascii="Times New Roman;sans-serif" w:hAnsi="Times New Roman;sans-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20"/>
        <w:ind w:left="0" w:right="0" w:firstLine="720"/>
        <w:jc w:val="both"/>
        <w:rPr>
          <w:color w:val="000000"/>
        </w:rPr>
      </w:pPr>
      <w:r>
        <w:rPr>
          <w:color w:val="000000"/>
        </w:rPr>
        <w:t>    </w:t>
      </w:r>
      <w:r>
        <w:rPr>
          <w:rFonts w:ascii="Times New Roman;sans-serif" w:hAnsi="Times New Roman;sans-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Finance and Treasury and Chief Accounting Officer</w:t>
      </w:r>
    </w:p>
    <w:p>
      <w:pPr>
        <w:pStyle w:val="TextBody"/>
        <w:bidi w:val="0"/>
        <w:spacing w:lineRule="auto" w:line="288" w:before="0" w:after="0"/>
        <w:jc w:val="both"/>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906</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120"/>
        <w:jc w:val="both"/>
        <w:rPr>
          <w:color w:val="000000"/>
        </w:rPr>
      </w:pPr>
      <w:r>
        <w:rPr>
          <w:color w:val="000000"/>
        </w:rPr>
        <w:t>    </w:t>
      </w:r>
      <w:r>
        <w:rPr>
          <w:rFonts w:ascii="Times New Roman;sans-serif" w:hAnsi="Times New Roman;sans-serif"/>
          <w:b w:val="false"/>
          <w:color w:val="000000"/>
          <w:sz w:val="20"/>
        </w:rPr>
        <w:t>Pursuant to section 906 of the Sarbanes-Oxley Act of 2002 (subsections (a) and (b) of section 1350, chapter 63 of title 18, United States Code), I, David J. Mazzo, PhD, President and Chief Executive Officer of Lisata Therapeutics, Inc., a Delaware corporation (the “Company”), do hereby certify, to my knowledge, that: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left"/>
        <w:rPr/>
      </w:pPr>
      <w:r>
        <w:rPr/>
      </w:r>
    </w:p>
    <w:tbl>
      <w:tblPr>
        <w:tblW w:w="5308"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892"/>
        <w:gridCol w:w="892"/>
        <w:gridCol w:w="127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J. Mazzo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906</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120"/>
        <w:jc w:val="both"/>
        <w:rPr>
          <w:color w:val="000000"/>
        </w:rPr>
      </w:pPr>
      <w:r>
        <w:rPr>
          <w:color w:val="000000"/>
        </w:rPr>
        <w:t>    </w:t>
      </w:r>
      <w:r>
        <w:rPr>
          <w:rFonts w:ascii="Times New Roman;sans-serif" w:hAnsi="Times New Roman;sans-serif"/>
          <w:b w:val="false"/>
          <w:color w:val="000000"/>
          <w:sz w:val="20"/>
        </w:rPr>
        <w:t>Pursuant to section 906 of the Sarbanes-Oxley Act of 2002 (subsections (a) and (b) of section 1350, chapter 63 of title 18, United States Code), I, James Nisco, Senior Vice President, Finance and Treasury and Chief Accounting Officer of Lisata Therapeutics, Inc., a Delaware corporation (the “Company”), do hereby certify, to my knowledge, that: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left"/>
        <w:rPr/>
      </w:pPr>
      <w:r>
        <w:rPr/>
      </w:r>
    </w:p>
    <w:tbl>
      <w:tblPr>
        <w:tblW w:w="8413"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801"/>
        <w:gridCol w:w="1801"/>
        <w:gridCol w:w="256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Nisco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Treasury and Chief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20017/000114036122033411/brhc10041800_ex3-1.htm" TargetMode="External"/><Relationship Id="rId4" Type="http://schemas.openxmlformats.org/officeDocument/2006/relationships/hyperlink" Target="https://www.sec.gov/Archives/edgar/data/320017/000114036122033411/brhc10041800_ex3-2.htm" TargetMode="External"/><Relationship Id="rId5" Type="http://schemas.openxmlformats.org/officeDocument/2006/relationships/hyperlink" Target="https://www.sec.gov/Archives/edgar/data/320017/000032001716000143/exhibit31arcertofincorpeff.htm" TargetMode="External"/><Relationship Id="rId6" Type="http://schemas.openxmlformats.org/officeDocument/2006/relationships/hyperlink" Target="https://www.sec.gov/Archives/edgar/data/320017/000032001716000143/exhibit32arbylawseff072720.htm" TargetMode="External"/><Relationship Id="rId7" Type="http://schemas.openxmlformats.org/officeDocument/2006/relationships/hyperlink" Target="https://www.sec.gov/Archives/edgar/data/320017/000032001717000082/exhibit31092017.htm" TargetMode="External"/><Relationship Id="rId8" Type="http://schemas.openxmlformats.org/officeDocument/2006/relationships/hyperlink" Target="https://www.sec.gov/Archives/edgar/data/320017/000032001720000016/exh43.htm" TargetMode="External"/><Relationship Id="rId9" Type="http://schemas.openxmlformats.org/officeDocument/2006/relationships/hyperlink" Target="https://www.sec.gov/Archives/edgar/data/320017/000032001720000022/ex41.htm" TargetMode="External"/><Relationship Id="rId10" Type="http://schemas.openxmlformats.org/officeDocument/2006/relationships/hyperlink" Target="https://www.sec.gov/Archives/edgar/data/320017/000032001720000039/ex41.htm" TargetMode="External"/><Relationship Id="rId11" Type="http://schemas.openxmlformats.org/officeDocument/2006/relationships/hyperlink" Target="https://www.sec.gov/Archives/edgar/data/320017/000032001720000060/pipe20200710ex41.htm" TargetMode="External"/><Relationship Id="rId12" Type="http://schemas.openxmlformats.org/officeDocument/2006/relationships/hyperlink" Target="https://www.sec.gov/Archives/edgar/data/320017/000032001721000006/a20210121ex41formofwarrant.htm" TargetMode="External"/><Relationship Id="rId13" Type="http://schemas.openxmlformats.org/officeDocument/2006/relationships/hyperlink" Target="https://www.sec.gov/Archives/edgar/data/320017/000032001723000011/ex101to10-k20222131.htm" TargetMode="External"/><Relationship Id="rId14" Type="http://schemas.openxmlformats.org/officeDocument/2006/relationships/hyperlink" Target="https://www.sec.gov/Archives/edgar/data/320017/000032001723000011/ex104-2015equitycompensa.htm" TargetMode="External"/><Relationship Id="rId15" Type="http://schemas.openxmlformats.org/officeDocument/2006/relationships/hyperlink" Target="https://www.sec.gov/Archives/edgar/data/320017/000032001723000011/ex105-amendedrestated200.htm" TargetMode="External"/><Relationship Id="rId16" Type="http://schemas.openxmlformats.org/officeDocument/2006/relationships/hyperlink" Target="https://www.sec.gov/Archives/edgar/data/320017/000114036122033411/brhc10041800_ex10-2.htm" TargetMode="External"/><Relationship Id="rId17" Type="http://schemas.openxmlformats.org/officeDocument/2006/relationships/hyperlink" Target="https://www.sec.gov/Archives/edgar/data/320017/000032001721000046/ex101to8-kcomplete.htm" TargetMode="External"/><Relationship Id="rId18" Type="http://schemas.openxmlformats.org/officeDocument/2006/relationships/hyperlink" Target="https://www.sec.gov/Archives/edgar/data/320017/000114036122037387/brhc10042829_ex99-1.htm" TargetMode="External"/><Relationship Id="rId19" Type="http://schemas.openxmlformats.org/officeDocument/2006/relationships/hyperlink" Target="https://www.sec.gov/Archives/edgar/data/320017/000032001721000075/exhibit101atmagreementju.htm" TargetMode="External"/><Relationship Id="rId20" Type="http://schemas.openxmlformats.org/officeDocument/2006/relationships/hyperlink" Target="https://www.sec.gov/Archives/edgar/data/320017/000114036122023089/ny20004343x1_ex10-18.htm" TargetMode="External"/><Relationship Id="rId21" Type="http://schemas.openxmlformats.org/officeDocument/2006/relationships/hyperlink" Target="https://www.sec.gov/Archives/edgar/data/320017/000114036122023089/ny20004343x1_ex10-18.htm" TargetMode="External"/><Relationship Id="rId22" Type="http://schemas.openxmlformats.org/officeDocument/2006/relationships/hyperlink" Target="https://www.sec.gov/Archives/edgar/data/320017/000114036122023089/ny20004343x1_ex10-19.htm" TargetMode="External"/><Relationship Id="rId23" Type="http://schemas.openxmlformats.org/officeDocument/2006/relationships/hyperlink" Target="https://www.sec.gov/Archives/edgar/data/320017/000114036122023089/ny20004343x1_ex10-20.htm" TargetMode="External"/><Relationship Id="rId24" Type="http://schemas.openxmlformats.org/officeDocument/2006/relationships/hyperlink" Target="https://www.sec.gov/Archives/edgar/data/320017/000114036122023089/ny20004343x1_ex10-21.htm" TargetMode="External"/><Relationship Id="rId25" Type="http://schemas.openxmlformats.org/officeDocument/2006/relationships/hyperlink" Target="https://www.sec.gov/Archives/edgar/data/320017/000032001723000011/ex14110-k20221231.htm" TargetMode="External"/><Relationship Id="rId26" Type="http://schemas.openxmlformats.org/officeDocument/2006/relationships/hyperlink" Target="https://www.sec.gov/Archives/edgar/data/320017/000032001724000007/ex191policyoninsidertrad.htm" TargetMode="External"/><Relationship Id="rId27" Type="http://schemas.openxmlformats.org/officeDocument/2006/relationships/hyperlink" Target="https://www.sec.gov/Archives/edgar/data/320017/000032001724000007/ex97incentiverecoupmentp.htm" TargetMode="External"/><Relationship Id="rId28" Type="http://schemas.openxmlformats.org/officeDocument/2006/relationships/image" Target="media/image2.jpeg"/><Relationship Id="rId29" Type="http://schemas.openxmlformats.org/officeDocument/2006/relationships/image" Target="media/image3.jpeg"/><Relationship Id="rId30" Type="http://schemas.openxmlformats.org/officeDocument/2006/relationships/image" Target="media/image4.jpeg"/><Relationship Id="rId31" Type="http://schemas.openxmlformats.org/officeDocument/2006/relationships/image" Target="media/image5.jpeg"/><Relationship Id="rId32" Type="http://schemas.openxmlformats.org/officeDocument/2006/relationships/image" Target="media/image6.jpeg"/><Relationship Id="rId33" Type="http://schemas.openxmlformats.org/officeDocument/2006/relationships/image" Target="media/image7.jpeg"/><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10.jpeg"/><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image" Target="media/image13.jpeg"/><Relationship Id="rId40" Type="http://schemas.openxmlformats.org/officeDocument/2006/relationships/image" Target="media/image14.jpeg"/><Relationship Id="rId41" Type="http://schemas.openxmlformats.org/officeDocument/2006/relationships/image" Target="media/image15.jpeg"/><Relationship Id="rId42" Type="http://schemas.openxmlformats.org/officeDocument/2006/relationships/image" Target="media/image16.jpeg"/><Relationship Id="rId43" Type="http://schemas.openxmlformats.org/officeDocument/2006/relationships/image" Target="media/image17.jpeg"/><Relationship Id="rId44" Type="http://schemas.openxmlformats.org/officeDocument/2006/relationships/image" Target="media/image18.jpeg"/><Relationship Id="rId45" Type="http://schemas.openxmlformats.org/officeDocument/2006/relationships/image" Target="media/image19.jpeg"/><Relationship Id="rId46" Type="http://schemas.openxmlformats.org/officeDocument/2006/relationships/image" Target="media/image20.jpeg"/><Relationship Id="rId47" Type="http://schemas.openxmlformats.org/officeDocument/2006/relationships/image" Target="media/image21.jpeg"/><Relationship Id="rId48" Type="http://schemas.openxmlformats.org/officeDocument/2006/relationships/image" Target="media/image22.jpeg"/><Relationship Id="rId49" Type="http://schemas.openxmlformats.org/officeDocument/2006/relationships/image" Target="media/image23.jpeg"/><Relationship Id="rId50" Type="http://schemas.openxmlformats.org/officeDocument/2006/relationships/image" Target="media/image24.jpeg"/><Relationship Id="rId51" Type="http://schemas.openxmlformats.org/officeDocument/2006/relationships/image" Target="media/image25.jpeg"/><Relationship Id="rId52" Type="http://schemas.openxmlformats.org/officeDocument/2006/relationships/image" Target="media/image26.jpeg"/><Relationship Id="rId53" Type="http://schemas.openxmlformats.org/officeDocument/2006/relationships/image" Target="media/image27.jpeg"/><Relationship Id="rId54" Type="http://schemas.openxmlformats.org/officeDocument/2006/relationships/image" Target="media/image28.jpeg"/><Relationship Id="rId55" Type="http://schemas.openxmlformats.org/officeDocument/2006/relationships/image" Target="media/image29.jpeg"/><Relationship Id="rId56" Type="http://schemas.openxmlformats.org/officeDocument/2006/relationships/image" Target="media/image30.jpeg"/><Relationship Id="rId57" Type="http://schemas.openxmlformats.org/officeDocument/2006/relationships/image" Target="media/image31.jpeg"/><Relationship Id="rId58" Type="http://schemas.openxmlformats.org/officeDocument/2006/relationships/image" Target="media/image32.jpeg"/><Relationship Id="rId59" Type="http://schemas.openxmlformats.org/officeDocument/2006/relationships/image" Target="media/image33.jpeg"/><Relationship Id="rId60" Type="http://schemas.openxmlformats.org/officeDocument/2006/relationships/image" Target="media/image34.jpeg"/><Relationship Id="rId61" Type="http://schemas.openxmlformats.org/officeDocument/2006/relationships/image" Target="media/image35.jpeg"/><Relationship Id="rId62" Type="http://schemas.openxmlformats.org/officeDocument/2006/relationships/image" Target="media/image36.jpeg"/><Relationship Id="rId63" Type="http://schemas.openxmlformats.org/officeDocument/2006/relationships/image" Target="media/image37.jpeg"/><Relationship Id="rId64" Type="http://schemas.openxmlformats.org/officeDocument/2006/relationships/image" Target="media/image38.jpeg"/><Relationship Id="rId65" Type="http://schemas.openxmlformats.org/officeDocument/2006/relationships/image" Target="media/image39.jpeg"/><Relationship Id="rId66" Type="http://schemas.openxmlformats.org/officeDocument/2006/relationships/image" Target="media/image40.jpeg"/><Relationship Id="rId67" Type="http://schemas.openxmlformats.org/officeDocument/2006/relationships/image" Target="media/image41.jpeg"/><Relationship Id="rId68" Type="http://schemas.openxmlformats.org/officeDocument/2006/relationships/image" Target="media/image42.jpeg"/><Relationship Id="rId69" Type="http://schemas.openxmlformats.org/officeDocument/2006/relationships/image" Target="media/image43.jpeg"/><Relationship Id="rId70" Type="http://schemas.openxmlformats.org/officeDocument/2006/relationships/image" Target="media/image44.jpeg"/><Relationship Id="rId71" Type="http://schemas.openxmlformats.org/officeDocument/2006/relationships/image" Target="media/image45.jpeg"/><Relationship Id="rId72" Type="http://schemas.openxmlformats.org/officeDocument/2006/relationships/image" Target="media/image46.jpeg"/><Relationship Id="rId73" Type="http://schemas.openxmlformats.org/officeDocument/2006/relationships/image" Target="media/image47.jpeg"/><Relationship Id="rId74" Type="http://schemas.openxmlformats.org/officeDocument/2006/relationships/image" Target="media/image48.jpeg"/><Relationship Id="rId75" Type="http://schemas.openxmlformats.org/officeDocument/2006/relationships/image" Target="media/image49.jpeg"/><Relationship Id="rId76" Type="http://schemas.openxmlformats.org/officeDocument/2006/relationships/image" Target="media/image50.jpeg"/><Relationship Id="rId77" Type="http://schemas.openxmlformats.org/officeDocument/2006/relationships/image" Target="media/image51.jpeg"/><Relationship Id="rId78" Type="http://schemas.openxmlformats.org/officeDocument/2006/relationships/image" Target="media/image52.jpeg"/><Relationship Id="rId79" Type="http://schemas.openxmlformats.org/officeDocument/2006/relationships/image" Target="media/image53.jpeg"/><Relationship Id="rId80" Type="http://schemas.openxmlformats.org/officeDocument/2006/relationships/image" Target="media/image54.jpeg"/><Relationship Id="rId81" Type="http://schemas.openxmlformats.org/officeDocument/2006/relationships/image" Target="media/image55.jpeg"/><Relationship Id="rId82" Type="http://schemas.openxmlformats.org/officeDocument/2006/relationships/image" Target="media/image56.jpeg"/><Relationship Id="rId83" Type="http://schemas.openxmlformats.org/officeDocument/2006/relationships/image" Target="media/image57.jpeg"/><Relationship Id="rId84" Type="http://schemas.openxmlformats.org/officeDocument/2006/relationships/image" Target="media/image58.jpeg"/><Relationship Id="rId85" Type="http://schemas.openxmlformats.org/officeDocument/2006/relationships/image" Target="media/image59.jpeg"/><Relationship Id="rId86" Type="http://schemas.openxmlformats.org/officeDocument/2006/relationships/image" Target="media/image60.jpeg"/><Relationship Id="rId87" Type="http://schemas.openxmlformats.org/officeDocument/2006/relationships/image" Target="media/image61.jpeg"/><Relationship Id="rId88" Type="http://schemas.openxmlformats.org/officeDocument/2006/relationships/image" Target="media/image62.jpeg"/><Relationship Id="rId89" Type="http://schemas.openxmlformats.org/officeDocument/2006/relationships/image" Target="media/image63.jpeg"/><Relationship Id="rId90" Type="http://schemas.openxmlformats.org/officeDocument/2006/relationships/image" Target="media/image64.jpeg"/><Relationship Id="rId91" Type="http://schemas.openxmlformats.org/officeDocument/2006/relationships/image" Target="media/image65.jpeg"/><Relationship Id="rId92" Type="http://schemas.openxmlformats.org/officeDocument/2006/relationships/image" Target="media/image66.jpeg"/><Relationship Id="rId93" Type="http://schemas.openxmlformats.org/officeDocument/2006/relationships/image" Target="media/image67.jpeg"/><Relationship Id="rId94" Type="http://schemas.openxmlformats.org/officeDocument/2006/relationships/image" Target="media/image68.jpeg"/><Relationship Id="rId95" Type="http://schemas.openxmlformats.org/officeDocument/2006/relationships/image" Target="media/image69.jpeg"/><Relationship Id="rId96" Type="http://schemas.openxmlformats.org/officeDocument/2006/relationships/image" Target="media/image70.jpeg"/><Relationship Id="rId97" Type="http://schemas.openxmlformats.org/officeDocument/2006/relationships/image" Target="media/image71.jpeg"/><Relationship Id="rId98" Type="http://schemas.openxmlformats.org/officeDocument/2006/relationships/image" Target="media/image72.jpeg"/><Relationship Id="rId99" Type="http://schemas.openxmlformats.org/officeDocument/2006/relationships/image" Target="media/image73.jpeg"/><Relationship Id="rId100" Type="http://schemas.openxmlformats.org/officeDocument/2006/relationships/image" Target="media/image74.jpeg"/><Relationship Id="rId101" Type="http://schemas.openxmlformats.org/officeDocument/2006/relationships/image" Target="media/image75.jpeg"/><Relationship Id="rId102" Type="http://schemas.openxmlformats.org/officeDocument/2006/relationships/image" Target="media/image76.jpeg"/><Relationship Id="rId103" Type="http://schemas.openxmlformats.org/officeDocument/2006/relationships/image" Target="media/image77.jpeg"/><Relationship Id="rId104" Type="http://schemas.openxmlformats.org/officeDocument/2006/relationships/image" Target="media/image78.jpeg"/><Relationship Id="rId105" Type="http://schemas.openxmlformats.org/officeDocument/2006/relationships/image" Target="media/image79.jpeg"/><Relationship Id="rId106" Type="http://schemas.openxmlformats.org/officeDocument/2006/relationships/image" Target="media/image80.jpeg"/><Relationship Id="rId107" Type="http://schemas.openxmlformats.org/officeDocument/2006/relationships/image" Target="media/image81.jpeg"/><Relationship Id="rId108" Type="http://schemas.openxmlformats.org/officeDocument/2006/relationships/image" Target="media/image82.jpeg"/><Relationship Id="rId109" Type="http://schemas.openxmlformats.org/officeDocument/2006/relationships/image" Target="media/image83.jpeg"/><Relationship Id="rId110" Type="http://schemas.openxmlformats.org/officeDocument/2006/relationships/image" Target="media/image84.jpeg"/><Relationship Id="rId111" Type="http://schemas.openxmlformats.org/officeDocument/2006/relationships/image" Target="media/image85.jpeg"/><Relationship Id="rId112" Type="http://schemas.openxmlformats.org/officeDocument/2006/relationships/image" Target="media/image86.jpeg"/><Relationship Id="rId113" Type="http://schemas.openxmlformats.org/officeDocument/2006/relationships/image" Target="media/image87.jpeg"/><Relationship Id="rId114" Type="http://schemas.openxmlformats.org/officeDocument/2006/relationships/image" Target="media/image88.jpeg"/><Relationship Id="rId115" Type="http://schemas.openxmlformats.org/officeDocument/2006/relationships/image" Target="media/image89.jpeg"/><Relationship Id="rId116" Type="http://schemas.openxmlformats.org/officeDocument/2006/relationships/image" Target="media/image90.jpeg"/><Relationship Id="rId117" Type="http://schemas.openxmlformats.org/officeDocument/2006/relationships/image" Target="media/image91.jpeg"/><Relationship Id="rId118" Type="http://schemas.openxmlformats.org/officeDocument/2006/relationships/image" Target="media/image92.jpeg"/><Relationship Id="rId119" Type="http://schemas.openxmlformats.org/officeDocument/2006/relationships/image" Target="media/image93.jpeg"/><Relationship Id="rId120" Type="http://schemas.openxmlformats.org/officeDocument/2006/relationships/image" Target="media/image94.jpeg"/><Relationship Id="rId121" Type="http://schemas.openxmlformats.org/officeDocument/2006/relationships/image" Target="media/image95.jpeg"/><Relationship Id="rId122" Type="http://schemas.openxmlformats.org/officeDocument/2006/relationships/image" Target="media/image96.jpeg"/><Relationship Id="rId123" Type="http://schemas.openxmlformats.org/officeDocument/2006/relationships/image" Target="media/image97.jpeg"/><Relationship Id="rId124" Type="http://schemas.openxmlformats.org/officeDocument/2006/relationships/image" Target="media/image98.jpeg"/><Relationship Id="rId125" Type="http://schemas.openxmlformats.org/officeDocument/2006/relationships/image" Target="media/image99.jpeg"/><Relationship Id="rId126" Type="http://schemas.openxmlformats.org/officeDocument/2006/relationships/image" Target="media/image100.jpeg"/><Relationship Id="rId127" Type="http://schemas.openxmlformats.org/officeDocument/2006/relationships/image" Target="media/image101.jpeg"/><Relationship Id="rId128" Type="http://schemas.openxmlformats.org/officeDocument/2006/relationships/image" Target="media/image102.jpeg"/><Relationship Id="rId129" Type="http://schemas.openxmlformats.org/officeDocument/2006/relationships/image" Target="media/image103.jpeg"/><Relationship Id="rId130" Type="http://schemas.openxmlformats.org/officeDocument/2006/relationships/image" Target="media/image104.jpeg"/><Relationship Id="rId131" Type="http://schemas.openxmlformats.org/officeDocument/2006/relationships/image" Target="media/image105.jpeg"/><Relationship Id="rId132" Type="http://schemas.openxmlformats.org/officeDocument/2006/relationships/image" Target="media/image106.jpeg"/><Relationship Id="rId133" Type="http://schemas.openxmlformats.org/officeDocument/2006/relationships/image" Target="media/image107.jpeg"/><Relationship Id="rId134" Type="http://schemas.openxmlformats.org/officeDocument/2006/relationships/image" Target="media/image108.jpeg"/><Relationship Id="rId135" Type="http://schemas.openxmlformats.org/officeDocument/2006/relationships/image" Target="media/image109.jpeg"/><Relationship Id="rId136" Type="http://schemas.openxmlformats.org/officeDocument/2006/relationships/image" Target="media/image110.jpeg"/><Relationship Id="rId137" Type="http://schemas.openxmlformats.org/officeDocument/2006/relationships/image" Target="media/image111.jpeg"/><Relationship Id="rId138" Type="http://schemas.openxmlformats.org/officeDocument/2006/relationships/image" Target="media/image112.jpeg"/><Relationship Id="rId139" Type="http://schemas.openxmlformats.org/officeDocument/2006/relationships/image" Target="media/image113.jpeg"/><Relationship Id="rId140" Type="http://schemas.openxmlformats.org/officeDocument/2006/relationships/image" Target="media/image114.jpeg"/><Relationship Id="rId141" Type="http://schemas.openxmlformats.org/officeDocument/2006/relationships/image" Target="media/image115.jpeg"/><Relationship Id="rId142" Type="http://schemas.openxmlformats.org/officeDocument/2006/relationships/image" Target="media/image116.jpeg"/><Relationship Id="rId143" Type="http://schemas.openxmlformats.org/officeDocument/2006/relationships/image" Target="media/image117.jpeg"/><Relationship Id="rId144" Type="http://schemas.openxmlformats.org/officeDocument/2006/relationships/image" Target="media/image118.jpeg"/><Relationship Id="rId145" Type="http://schemas.openxmlformats.org/officeDocument/2006/relationships/image" Target="media/image119.jpeg"/><Relationship Id="rId146" Type="http://schemas.openxmlformats.org/officeDocument/2006/relationships/image" Target="media/image120.jpeg"/><Relationship Id="rId147" Type="http://schemas.openxmlformats.org/officeDocument/2006/relationships/image" Target="media/image121.jpeg"/><Relationship Id="rId148" Type="http://schemas.openxmlformats.org/officeDocument/2006/relationships/image" Target="media/image122.jpeg"/><Relationship Id="rId149" Type="http://schemas.openxmlformats.org/officeDocument/2006/relationships/image" Target="media/image123.jpeg"/><Relationship Id="rId150" Type="http://schemas.openxmlformats.org/officeDocument/2006/relationships/image" Target="media/image124.jpeg"/><Relationship Id="rId151" Type="http://schemas.openxmlformats.org/officeDocument/2006/relationships/image" Target="media/image125.jpeg"/><Relationship Id="rId152" Type="http://schemas.openxmlformats.org/officeDocument/2006/relationships/image" Target="media/image126.jpeg"/><Relationship Id="rId153" Type="http://schemas.openxmlformats.org/officeDocument/2006/relationships/image" Target="media/image127.jpeg"/><Relationship Id="rId154" Type="http://schemas.openxmlformats.org/officeDocument/2006/relationships/image" Target="media/image128.jpeg"/><Relationship Id="rId155" Type="http://schemas.openxmlformats.org/officeDocument/2006/relationships/image" Target="media/image129.jpeg"/><Relationship Id="rId156" Type="http://schemas.openxmlformats.org/officeDocument/2006/relationships/image" Target="media/image130.jpeg"/><Relationship Id="rId157" Type="http://schemas.openxmlformats.org/officeDocument/2006/relationships/image" Target="media/image131.jpeg"/><Relationship Id="rId158" Type="http://schemas.openxmlformats.org/officeDocument/2006/relationships/image" Target="media/image132.jpeg"/><Relationship Id="rId159" Type="http://schemas.openxmlformats.org/officeDocument/2006/relationships/image" Target="media/image133.jpeg"/><Relationship Id="rId160" Type="http://schemas.openxmlformats.org/officeDocument/2006/relationships/image" Target="media/image134.jpeg"/><Relationship Id="rId161" Type="http://schemas.openxmlformats.org/officeDocument/2006/relationships/image" Target="media/image135.jpeg"/><Relationship Id="rId162" Type="http://schemas.openxmlformats.org/officeDocument/2006/relationships/image" Target="media/image136.jpeg"/><Relationship Id="rId163" Type="http://schemas.openxmlformats.org/officeDocument/2006/relationships/image" Target="media/image137.jpeg"/><Relationship Id="rId164" Type="http://schemas.openxmlformats.org/officeDocument/2006/relationships/image" Target="media/image138.jpeg"/><Relationship Id="rId165" Type="http://schemas.openxmlformats.org/officeDocument/2006/relationships/image" Target="media/image139.jpeg"/><Relationship Id="rId166" Type="http://schemas.openxmlformats.org/officeDocument/2006/relationships/image" Target="media/image140.jpeg"/><Relationship Id="rId167" Type="http://schemas.openxmlformats.org/officeDocument/2006/relationships/image" Target="media/image141.jpeg"/><Relationship Id="rId168" Type="http://schemas.openxmlformats.org/officeDocument/2006/relationships/image" Target="media/image142.jpeg"/><Relationship Id="rId169" Type="http://schemas.openxmlformats.org/officeDocument/2006/relationships/image" Target="media/image143.jpeg"/><Relationship Id="rId170" Type="http://schemas.openxmlformats.org/officeDocument/2006/relationships/image" Target="media/image144.jpeg"/><Relationship Id="rId171" Type="http://schemas.openxmlformats.org/officeDocument/2006/relationships/image" Target="media/image145.jpeg"/><Relationship Id="rId172" Type="http://schemas.openxmlformats.org/officeDocument/2006/relationships/image" Target="media/image146.jpeg"/><Relationship Id="rId173" Type="http://schemas.openxmlformats.org/officeDocument/2006/relationships/image" Target="media/image147.jpeg"/><Relationship Id="rId174" Type="http://schemas.openxmlformats.org/officeDocument/2006/relationships/image" Target="media/image148.jpeg"/><Relationship Id="rId175" Type="http://schemas.openxmlformats.org/officeDocument/2006/relationships/image" Target="media/image149.jpeg"/><Relationship Id="rId176" Type="http://schemas.openxmlformats.org/officeDocument/2006/relationships/image" Target="media/image150.jpeg"/><Relationship Id="rId177" Type="http://schemas.openxmlformats.org/officeDocument/2006/relationships/image" Target="media/image151.jpeg"/><Relationship Id="rId178" Type="http://schemas.openxmlformats.org/officeDocument/2006/relationships/image" Target="media/image152.jpeg"/><Relationship Id="rId179" Type="http://schemas.openxmlformats.org/officeDocument/2006/relationships/image" Target="media/image153.jpeg"/><Relationship Id="rId180" Type="http://schemas.openxmlformats.org/officeDocument/2006/relationships/image" Target="media/image154.jpeg"/><Relationship Id="rId181" Type="http://schemas.openxmlformats.org/officeDocument/2006/relationships/image" Target="media/image155.jpeg"/><Relationship Id="rId182" Type="http://schemas.openxmlformats.org/officeDocument/2006/relationships/image" Target="media/image156.jpeg"/><Relationship Id="rId183" Type="http://schemas.openxmlformats.org/officeDocument/2006/relationships/image" Target="media/image157.jpeg"/><Relationship Id="rId184" Type="http://schemas.openxmlformats.org/officeDocument/2006/relationships/image" Target="media/image158.jpeg"/><Relationship Id="rId185" Type="http://schemas.openxmlformats.org/officeDocument/2006/relationships/image" Target="media/image159.jpeg"/><Relationship Id="rId186" Type="http://schemas.openxmlformats.org/officeDocument/2006/relationships/image" Target="media/image160.jpeg"/><Relationship Id="rId187" Type="http://schemas.openxmlformats.org/officeDocument/2006/relationships/image" Target="media/image161.jpeg"/><Relationship Id="rId188" Type="http://schemas.openxmlformats.org/officeDocument/2006/relationships/image" Target="media/image162.jpeg"/><Relationship Id="rId189" Type="http://schemas.openxmlformats.org/officeDocument/2006/relationships/image" Target="media/image163.jpeg"/><Relationship Id="rId190" Type="http://schemas.openxmlformats.org/officeDocument/2006/relationships/image" Target="media/image164.jpeg"/><Relationship Id="rId191" Type="http://schemas.openxmlformats.org/officeDocument/2006/relationships/image" Target="media/image165.jpeg"/><Relationship Id="rId192" Type="http://schemas.openxmlformats.org/officeDocument/2006/relationships/image" Target="media/image166.jpeg"/><Relationship Id="rId193" Type="http://schemas.openxmlformats.org/officeDocument/2006/relationships/image" Target="media/image167.jpeg"/><Relationship Id="rId194" Type="http://schemas.openxmlformats.org/officeDocument/2006/relationships/image" Target="media/image168.jpeg"/><Relationship Id="rId195" Type="http://schemas.openxmlformats.org/officeDocument/2006/relationships/image" Target="media/image169.jpeg"/><Relationship Id="rId196" Type="http://schemas.openxmlformats.org/officeDocument/2006/relationships/image" Target="media/image170.jpeg"/><Relationship Id="rId197" Type="http://schemas.openxmlformats.org/officeDocument/2006/relationships/image" Target="media/image171.jpeg"/><Relationship Id="rId198" Type="http://schemas.openxmlformats.org/officeDocument/2006/relationships/image" Target="media/image172.jpeg"/><Relationship Id="rId199" Type="http://schemas.openxmlformats.org/officeDocument/2006/relationships/image" Target="media/image173.jpeg"/><Relationship Id="rId200" Type="http://schemas.openxmlformats.org/officeDocument/2006/relationships/image" Target="media/image174.jpeg"/><Relationship Id="rId201" Type="http://schemas.openxmlformats.org/officeDocument/2006/relationships/image" Target="media/image175.jpeg"/><Relationship Id="rId202" Type="http://schemas.openxmlformats.org/officeDocument/2006/relationships/image" Target="media/image176.jpeg"/><Relationship Id="rId203" Type="http://schemas.openxmlformats.org/officeDocument/2006/relationships/image" Target="media/image177.jpeg"/><Relationship Id="rId204" Type="http://schemas.openxmlformats.org/officeDocument/2006/relationships/image" Target="media/image178.jpeg"/><Relationship Id="rId205" Type="http://schemas.openxmlformats.org/officeDocument/2006/relationships/image" Target="media/image179.jpeg"/><Relationship Id="rId206" Type="http://schemas.openxmlformats.org/officeDocument/2006/relationships/image" Target="media/image180.jpeg"/><Relationship Id="rId207" Type="http://schemas.openxmlformats.org/officeDocument/2006/relationships/image" Target="media/image181.jpeg"/><Relationship Id="rId208" Type="http://schemas.openxmlformats.org/officeDocument/2006/relationships/image" Target="media/image182.jpeg"/><Relationship Id="rId209" Type="http://schemas.openxmlformats.org/officeDocument/2006/relationships/image" Target="media/image183.jpeg"/><Relationship Id="rId210" Type="http://schemas.openxmlformats.org/officeDocument/2006/relationships/image" Target="media/image184.jpeg"/><Relationship Id="rId211" Type="http://schemas.openxmlformats.org/officeDocument/2006/relationships/image" Target="media/image185.jpeg"/><Relationship Id="rId212" Type="http://schemas.openxmlformats.org/officeDocument/2006/relationships/image" Target="media/image186.jpeg"/><Relationship Id="rId213" Type="http://schemas.openxmlformats.org/officeDocument/2006/relationships/image" Target="media/image187.jpeg"/><Relationship Id="rId214" Type="http://schemas.openxmlformats.org/officeDocument/2006/relationships/image" Target="media/image188.jpeg"/><Relationship Id="rId215" Type="http://schemas.openxmlformats.org/officeDocument/2006/relationships/image" Target="media/image189.jpeg"/><Relationship Id="rId216" Type="http://schemas.openxmlformats.org/officeDocument/2006/relationships/image" Target="media/image190.jpeg"/><Relationship Id="rId217" Type="http://schemas.openxmlformats.org/officeDocument/2006/relationships/image" Target="media/image191.jpeg"/><Relationship Id="rId218" Type="http://schemas.openxmlformats.org/officeDocument/2006/relationships/image" Target="media/image192.jpeg"/><Relationship Id="rId219" Type="http://schemas.openxmlformats.org/officeDocument/2006/relationships/fontTable" Target="fontTable.xml"/><Relationship Id="rId2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166319</Words>
  <Characters>892137</Characters>
  <CharactersWithSpaces>1057136</CharactersWithSpaces>
  <Paragraphs>3607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ex1014kuvalicenseandcoll</dc:title>
</cp:coreProperties>
</file>