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sz w:val="17"/>
        </w:rPr>
      </w:pPr>
      <w:bookmarkStart w:id="0" w:name="s79ABEB5231FC51C89DADA0CD8644CE16"/>
      <w:bookmarkStart w:id="1" w:name="clbs-10qx20190630.htm"/>
      <w:bookmarkStart w:id="2" w:name="ksclbs10qx20190630"/>
      <w:bookmarkEnd w:id="0"/>
      <w:bookmarkEnd w:id="1"/>
      <w:bookmarkEnd w:id="2"/>
      <w:r>
        <w:rPr>
          <w:rFonts w:ascii="inherit" w:hAnsi="inherit"/>
          <w:sz w:val="17"/>
        </w:rPr>
        <w:t>UNITED STATES</w:t>
      </w:r>
    </w:p>
    <w:p>
      <w:pPr>
        <w:pStyle w:val="TextBody"/>
        <w:spacing w:lineRule="auto" w:line="288" w:before="0" w:after="0"/>
        <w:jc w:val="center"/>
        <w:rPr>
          <w:rFonts w:ascii="inherit" w:hAnsi="inherit"/>
          <w:sz w:val="17"/>
        </w:rPr>
      </w:pPr>
      <w:r>
        <w:rPr>
          <w:rFonts w:ascii="inherit" w:hAnsi="inherit"/>
          <w:sz w:val="17"/>
        </w:rPr>
        <w:t>SECURITIES AND EXCHANGE COMMISSION</w:t>
      </w:r>
    </w:p>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Washington, D.C. 20549</w:t>
      </w:r>
    </w:p>
    <w:p>
      <w:pPr>
        <w:pStyle w:val="TextBody"/>
        <w:spacing w:lineRule="auto" w:line="288" w:before="0" w:after="0"/>
        <w:jc w:val="center"/>
        <w:rPr/>
      </w:pPr>
      <w:r>
        <w:rPr/>
        <w:t> </w:t>
      </w:r>
    </w:p>
    <w:p>
      <w:pPr>
        <w:pStyle w:val="TextBody"/>
        <w:spacing w:lineRule="auto" w:line="288" w:before="0" w:after="0"/>
        <w:jc w:val="center"/>
        <w:rPr>
          <w:rFonts w:ascii="inherit" w:hAnsi="inherit"/>
          <w:sz w:val="17"/>
        </w:rPr>
      </w:pPr>
      <w:r>
        <w:rPr>
          <w:rFonts w:ascii="inherit" w:hAnsi="inherit"/>
          <w:sz w:val="17"/>
        </w:rPr>
        <w:t>FORM 10-Q</w:t>
      </w:r>
    </w:p>
    <w:tbl>
      <w:tblPr>
        <w:tblW w:w="8800" w:type="dxa"/>
        <w:jc w:val="left"/>
        <w:tblInd w:w="0" w:type="dxa"/>
        <w:tblCellMar>
          <w:top w:w="0" w:type="dxa"/>
          <w:left w:w="0" w:type="dxa"/>
          <w:bottom w:w="0" w:type="dxa"/>
          <w:right w:w="0" w:type="dxa"/>
        </w:tblCellMar>
      </w:tblPr>
      <w:tblGrid>
        <w:gridCol w:w="170"/>
        <w:gridCol w:w="8630"/>
      </w:tblGrid>
      <w:tr>
        <w:trPr/>
        <w:tc>
          <w:tcPr>
            <w:tcW w:w="8800"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before="0" w:after="283"/>
              <w:rPr>
                <w:sz w:val="4"/>
                <w:szCs w:val="4"/>
              </w:rPr>
            </w:pPr>
            <w:r>
              <w:rPr>
                <w:sz w:val="4"/>
                <w:szCs w:val="4"/>
              </w:rPr>
            </w:r>
          </w:p>
        </w:tc>
        <w:tc>
          <w:tcPr>
            <w:tcW w:w="86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8630" w:type="dxa"/>
            <w:tcBorders/>
            <w:shd w:fill="auto" w:val="clear"/>
            <w:vAlign w:val="center"/>
          </w:tcPr>
          <w:p>
            <w:pPr>
              <w:pStyle w:val="TableContents"/>
              <w:spacing w:before="0" w:after="0"/>
              <w:jc w:val="left"/>
              <w:rPr>
                <w:rFonts w:ascii="inherit" w:hAnsi="inherit"/>
                <w:sz w:val="17"/>
              </w:rPr>
            </w:pPr>
            <w:r>
              <w:rPr>
                <w:rFonts w:ascii="inherit" w:hAnsi="inherit"/>
                <w:sz w:val="17"/>
              </w:rPr>
              <w:t>QUARTERLY REPORT PURSUANT TO SECTION 13 OR 15(d) OF THE SECURITIES EXCHANGE ACT OF 1934</w:t>
            </w:r>
          </w:p>
        </w:tc>
      </w:tr>
    </w:tbl>
    <w:p>
      <w:pPr>
        <w:pStyle w:val="TextBody"/>
        <w:spacing w:lineRule="auto" w:line="288" w:before="0" w:after="0"/>
        <w:rPr/>
      </w:pPr>
      <w:r>
        <w:rPr/>
        <w:t> </w:t>
      </w:r>
    </w:p>
    <w:p>
      <w:pPr>
        <w:pStyle w:val="TextBody"/>
        <w:spacing w:lineRule="auto" w:line="288" w:before="0" w:after="0"/>
        <w:jc w:val="center"/>
        <w:rPr>
          <w:sz w:val="17"/>
        </w:rPr>
      </w:pPr>
      <w:r>
        <w:rPr>
          <w:rFonts w:ascii="inherit" w:hAnsi="inherit"/>
          <w:sz w:val="17"/>
        </w:rPr>
        <w:t>FOR THE QUARTERLY PERIOD ENDED JUNE 30, 2019</w:t>
      </w:r>
      <w:r>
        <w:rPr>
          <w:sz w:val="17"/>
        </w:rPr>
        <w:t xml:space="preserve"> </w:t>
      </w:r>
    </w:p>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OR</w:t>
      </w:r>
    </w:p>
    <w:tbl>
      <w:tblPr>
        <w:tblW w:w="8800" w:type="dxa"/>
        <w:jc w:val="left"/>
        <w:tblInd w:w="0" w:type="dxa"/>
        <w:tblCellMar>
          <w:top w:w="0" w:type="dxa"/>
          <w:left w:w="0" w:type="dxa"/>
          <w:bottom w:w="0" w:type="dxa"/>
          <w:right w:w="0" w:type="dxa"/>
        </w:tblCellMar>
      </w:tblPr>
      <w:tblGrid>
        <w:gridCol w:w="170"/>
        <w:gridCol w:w="8630"/>
      </w:tblGrid>
      <w:tr>
        <w:trPr/>
        <w:tc>
          <w:tcPr>
            <w:tcW w:w="8800"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before="0" w:after="283"/>
              <w:rPr>
                <w:sz w:val="4"/>
                <w:szCs w:val="4"/>
              </w:rPr>
            </w:pPr>
            <w:r>
              <w:rPr>
                <w:sz w:val="4"/>
                <w:szCs w:val="4"/>
              </w:rPr>
            </w:r>
          </w:p>
        </w:tc>
        <w:tc>
          <w:tcPr>
            <w:tcW w:w="86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630" w:type="dxa"/>
            <w:tcBorders/>
            <w:shd w:fill="auto" w:val="clear"/>
            <w:vAlign w:val="center"/>
          </w:tcPr>
          <w:p>
            <w:pPr>
              <w:pStyle w:val="TableContents"/>
              <w:spacing w:before="0" w:after="0"/>
              <w:jc w:val="left"/>
              <w:rPr>
                <w:rFonts w:ascii="inherit" w:hAnsi="inherit"/>
                <w:sz w:val="17"/>
              </w:rPr>
            </w:pPr>
            <w:r>
              <w:rPr>
                <w:rFonts w:ascii="inherit" w:hAnsi="inherit"/>
                <w:sz w:val="17"/>
              </w:rPr>
              <w:t>TRANSITION REPORT PURSUANT TO SECTION 13 OR 15(d) OF THE SECURITIES EXCHANGE ACT OF 1934</w:t>
            </w:r>
          </w:p>
        </w:tc>
      </w:tr>
    </w:tbl>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For the Transition Period from __________________   to _________________________</w:t>
      </w:r>
    </w:p>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Commission File Number 001-33650</w:t>
      </w:r>
    </w:p>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CALADRIUS BIOSCIENCES,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tbl>
      <w:tblPr>
        <w:tblW w:w="7885" w:type="dxa"/>
        <w:jc w:val="left"/>
        <w:tblInd w:w="0" w:type="dxa"/>
        <w:tblCellMar>
          <w:top w:w="0" w:type="dxa"/>
          <w:left w:w="0" w:type="dxa"/>
          <w:bottom w:w="0" w:type="dxa"/>
          <w:right w:w="0" w:type="dxa"/>
        </w:tblCellMar>
      </w:tblPr>
      <w:tblGrid>
        <w:gridCol w:w="5000"/>
        <w:gridCol w:w="2885"/>
      </w:tblGrid>
      <w:tr>
        <w:trPr/>
        <w:tc>
          <w:tcPr>
            <w:tcW w:w="7885" w:type="dxa"/>
            <w:gridSpan w:val="2"/>
            <w:tcBorders/>
            <w:shd w:fill="auto" w:val="clear"/>
            <w:vAlign w:val="center"/>
          </w:tcPr>
          <w:p>
            <w:pPr>
              <w:pStyle w:val="TableContents"/>
              <w:spacing w:before="0" w:after="283"/>
              <w:rPr>
                <w:sz w:val="4"/>
                <w:szCs w:val="4"/>
              </w:rPr>
            </w:pPr>
            <w:r>
              <w:rPr>
                <w:sz w:val="4"/>
                <w:szCs w:val="4"/>
              </w:rPr>
            </w:r>
          </w:p>
        </w:tc>
      </w:tr>
      <w:tr>
        <w:trPr/>
        <w:tc>
          <w:tcPr>
            <w:tcW w:w="5000"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DELAWARE</w:t>
            </w:r>
          </w:p>
        </w:tc>
        <w:tc>
          <w:tcPr>
            <w:tcW w:w="28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22-2343568</w:t>
            </w:r>
          </w:p>
        </w:tc>
      </w:tr>
      <w:tr>
        <w:trPr/>
        <w:tc>
          <w:tcPr>
            <w:tcW w:w="50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(State or other jurisdiction of incorporation or organization)</w:t>
            </w:r>
          </w:p>
        </w:tc>
        <w:tc>
          <w:tcPr>
            <w:tcW w:w="28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(I.R.S. Employer Identification No.)</w:t>
            </w:r>
          </w:p>
        </w:tc>
      </w:tr>
      <w:tr>
        <w:trPr/>
        <w:tc>
          <w:tcPr>
            <w:tcW w:w="5000" w:type="dxa"/>
            <w:tcBorders/>
            <w:shd w:fill="auto" w:val="clear"/>
            <w:vAlign w:val="center"/>
          </w:tcPr>
          <w:p>
            <w:pPr>
              <w:pStyle w:val="TableContents"/>
              <w:spacing w:before="0" w:after="0"/>
              <w:ind w:left="0" w:right="0" w:firstLine="30"/>
              <w:jc w:val="left"/>
              <w:rPr/>
            </w:pPr>
            <w:r>
              <w:rPr/>
              <w:t> </w:t>
            </w:r>
          </w:p>
        </w:tc>
        <w:tc>
          <w:tcPr>
            <w:tcW w:w="2885" w:type="dxa"/>
            <w:tcBorders/>
            <w:shd w:fill="auto" w:val="clear"/>
            <w:vAlign w:val="center"/>
          </w:tcPr>
          <w:p>
            <w:pPr>
              <w:pStyle w:val="TableContents"/>
              <w:spacing w:before="0" w:after="0"/>
              <w:ind w:left="0" w:right="0" w:firstLine="30"/>
              <w:jc w:val="left"/>
              <w:rPr/>
            </w:pPr>
            <w:r>
              <w:rPr/>
              <w:t> </w:t>
            </w:r>
          </w:p>
        </w:tc>
      </w:tr>
      <w:tr>
        <w:trPr/>
        <w:tc>
          <w:tcPr>
            <w:tcW w:w="50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110 Allen Road, 2nd Floor, Basking Ridge, New Jersey</w:t>
            </w:r>
          </w:p>
        </w:tc>
        <w:tc>
          <w:tcPr>
            <w:tcW w:w="28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07920</w:t>
            </w:r>
          </w:p>
        </w:tc>
      </w:tr>
      <w:tr>
        <w:trPr/>
        <w:tc>
          <w:tcPr>
            <w:tcW w:w="500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(Address of principal executive offices)</w:t>
            </w:r>
          </w:p>
        </w:tc>
        <w:tc>
          <w:tcPr>
            <w:tcW w:w="2885" w:type="dxa"/>
            <w:tcBorders/>
            <w:shd w:fill="auto" w:val="clear"/>
            <w:vAlign w:val="center"/>
          </w:tcPr>
          <w:p>
            <w:pPr>
              <w:pStyle w:val="TableContents"/>
              <w:spacing w:before="0" w:after="0"/>
              <w:jc w:val="center"/>
              <w:rPr>
                <w:rFonts w:ascii="inherit" w:hAnsi="inherit"/>
                <w:sz w:val="17"/>
              </w:rPr>
            </w:pPr>
            <w:r>
              <w:rPr>
                <w:rFonts w:ascii="inherit" w:hAnsi="inherit"/>
                <w:sz w:val="17"/>
              </w:rPr>
              <w:t>(zip code)</w:t>
            </w:r>
          </w:p>
        </w:tc>
      </w:tr>
    </w:tbl>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Registrant’s telephone number, including area code: 908-842-0100</w:t>
      </w:r>
    </w:p>
    <w:p>
      <w:pPr>
        <w:pStyle w:val="TextBody"/>
        <w:spacing w:lineRule="auto" w:line="288" w:before="0" w:after="0"/>
        <w:jc w:val="center"/>
        <w:rPr>
          <w:rFonts w:ascii="inherit" w:hAnsi="inherit"/>
          <w:sz w:val="17"/>
        </w:rPr>
      </w:pPr>
      <w:r>
        <w:rPr>
          <w:rFonts w:ascii="inherit" w:hAnsi="inherit"/>
          <w:sz w:val="17"/>
        </w:rPr>
      </w:r>
    </w:p>
    <w:tbl>
      <w:tblPr>
        <w:tblW w:w="9645" w:type="dxa"/>
        <w:jc w:val="center"/>
        <w:tblInd w:w="0" w:type="dxa"/>
        <w:tblCellMar>
          <w:top w:w="0" w:type="dxa"/>
          <w:left w:w="0" w:type="dxa"/>
          <w:bottom w:w="0" w:type="dxa"/>
          <w:right w:w="0" w:type="dxa"/>
        </w:tblCellMar>
      </w:tblPr>
      <w:tblGrid>
        <w:gridCol w:w="3680"/>
        <w:gridCol w:w="1775"/>
        <w:gridCol w:w="4190"/>
      </w:tblGrid>
      <w:tr>
        <w:trPr/>
        <w:tc>
          <w:tcPr>
            <w:tcW w:w="9645" w:type="dxa"/>
            <w:gridSpan w:val="3"/>
            <w:tcBorders/>
            <w:shd w:fill="auto" w:val="clear"/>
            <w:vAlign w:val="center"/>
          </w:tcPr>
          <w:p>
            <w:pPr>
              <w:pStyle w:val="TableContents"/>
              <w:spacing w:before="0" w:after="283"/>
              <w:rPr>
                <w:sz w:val="4"/>
                <w:szCs w:val="4"/>
              </w:rPr>
            </w:pPr>
            <w:r>
              <w:rPr>
                <w:sz w:val="4"/>
                <w:szCs w:val="4"/>
              </w:rPr>
            </w:r>
          </w:p>
        </w:tc>
      </w:tr>
      <w:tr>
        <w:trPr/>
        <w:tc>
          <w:tcPr>
            <w:tcW w:w="3680"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64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Securities registered pursuant to Section 12(b) of the Act:</w:t>
            </w:r>
          </w:p>
        </w:tc>
      </w:tr>
      <w:tr>
        <w:trPr/>
        <w:tc>
          <w:tcPr>
            <w:tcW w:w="368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Title of each class</w:t>
            </w:r>
          </w:p>
        </w:tc>
        <w:tc>
          <w:tcPr>
            <w:tcW w:w="177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Trading Symbol(s)</w:t>
            </w:r>
          </w:p>
        </w:tc>
        <w:tc>
          <w:tcPr>
            <w:tcW w:w="419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Name of each exchange on which registered</w:t>
            </w:r>
          </w:p>
        </w:tc>
      </w:tr>
      <w:tr>
        <w:trPr/>
        <w:tc>
          <w:tcPr>
            <w:tcW w:w="368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Common Stock, par value $0.001 per share</w:t>
            </w:r>
          </w:p>
        </w:tc>
        <w:tc>
          <w:tcPr>
            <w:tcW w:w="17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CLBS</w:t>
            </w:r>
          </w:p>
        </w:tc>
        <w:tc>
          <w:tcPr>
            <w:tcW w:w="4190" w:type="dxa"/>
            <w:tcBorders/>
            <w:shd w:fill="auto" w:val="clear"/>
            <w:vAlign w:val="center"/>
          </w:tcPr>
          <w:p>
            <w:pPr>
              <w:pStyle w:val="TableContents"/>
              <w:spacing w:before="0" w:after="0"/>
              <w:jc w:val="center"/>
              <w:rPr>
                <w:rFonts w:ascii="inherit" w:hAnsi="inherit"/>
                <w:sz w:val="17"/>
              </w:rPr>
            </w:pPr>
            <w:r>
              <w:rPr>
                <w:rFonts w:ascii="inherit" w:hAnsi="inherit"/>
                <w:sz w:val="17"/>
              </w:rPr>
              <w:t>The Nasdaq Capital Market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7"/>
        </w:rPr>
        <w:t>x</w:t>
      </w:r>
      <w:r>
        <w:rPr>
          <w:sz w:val="17"/>
        </w:rPr>
        <w:t xml:space="preserve">         </w:t>
      </w:r>
      <w:r>
        <w:rPr>
          <w:rFonts w:ascii="inherit" w:hAnsi="inherit"/>
          <w:sz w:val="17"/>
        </w:rPr>
        <w:t>No     </w:t>
      </w:r>
      <w:r>
        <w:rPr>
          <w:rFonts w:ascii="Wingdings" w:hAnsi="Wingdings"/>
          <w:sz w:val="17"/>
        </w:rPr>
        <w:t>o</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pStyle w:val="TextBody"/>
        <w:spacing w:lineRule="auto" w:line="288" w:before="0" w:after="0"/>
        <w:jc w:val="both"/>
        <w:rPr>
          <w:sz w:val="17"/>
        </w:rPr>
      </w:pPr>
      <w:r>
        <w:rPr>
          <w:rFonts w:ascii="inherit" w:hAnsi="inherit"/>
          <w:sz w:val="17"/>
        </w:rPr>
        <w:t>Yes  </w:t>
      </w:r>
      <w:r>
        <w:rPr>
          <w:rFonts w:ascii="Wingdings" w:hAnsi="Wingdings"/>
          <w:sz w:val="17"/>
        </w:rPr>
        <w:t>x</w:t>
      </w:r>
      <w:r>
        <w:rPr>
          <w:sz w:val="17"/>
        </w:rPr>
        <w:t>        </w:t>
      </w:r>
      <w:r>
        <w:rPr>
          <w:rFonts w:ascii="inherit" w:hAnsi="inherit"/>
          <w:sz w:val="17"/>
        </w:rPr>
        <w:t>No     </w:t>
      </w:r>
      <w:r>
        <w:rPr>
          <w:rFonts w:ascii="Wingdings" w:hAnsi="Wingdings"/>
          <w:sz w:val="17"/>
        </w:rPr>
        <w:t>o</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rPr/>
      </w:pPr>
      <w:r>
        <w:rPr/>
        <w:t> </w:t>
      </w:r>
    </w:p>
    <w:tbl>
      <w:tblPr>
        <w:tblW w:w="4975" w:type="dxa"/>
        <w:jc w:val="left"/>
        <w:tblInd w:w="0" w:type="dxa"/>
        <w:tblCellMar>
          <w:top w:w="0" w:type="dxa"/>
          <w:left w:w="0" w:type="dxa"/>
          <w:bottom w:w="0" w:type="dxa"/>
          <w:right w:w="0" w:type="dxa"/>
        </w:tblCellMar>
      </w:tblPr>
      <w:tblGrid>
        <w:gridCol w:w="2285"/>
        <w:gridCol w:w="2690"/>
      </w:tblGrid>
      <w:tr>
        <w:trPr/>
        <w:tc>
          <w:tcPr>
            <w:tcW w:w="4975" w:type="dxa"/>
            <w:gridSpan w:val="2"/>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85" w:type="dxa"/>
            <w:tcBorders/>
            <w:shd w:fill="auto" w:val="clear"/>
            <w:vAlign w:val="center"/>
          </w:tcPr>
          <w:p>
            <w:pPr>
              <w:pStyle w:val="TableContents"/>
              <w:spacing w:before="0" w:after="0"/>
              <w:ind w:left="0" w:right="0" w:firstLine="30"/>
              <w:rPr>
                <w:sz w:val="17"/>
              </w:rPr>
            </w:pPr>
            <w:r>
              <w:rPr>
                <w:rFonts w:ascii="inherit" w:hAnsi="inherit"/>
                <w:sz w:val="17"/>
              </w:rPr>
              <w:t>Large accelerated filer     </w:t>
            </w:r>
            <w:r>
              <w:rPr>
                <w:rFonts w:ascii="Wingdings" w:hAnsi="Wingdings"/>
                <w:sz w:val="17"/>
              </w:rPr>
              <w:t>o</w:t>
            </w:r>
          </w:p>
        </w:tc>
        <w:tc>
          <w:tcPr>
            <w:tcW w:w="2690" w:type="dxa"/>
            <w:tcBorders/>
            <w:shd w:fill="auto" w:val="clear"/>
            <w:vAlign w:val="center"/>
          </w:tcPr>
          <w:p>
            <w:pPr>
              <w:pStyle w:val="TableContents"/>
              <w:spacing w:before="0" w:after="0"/>
              <w:ind w:left="0" w:right="0" w:firstLine="30"/>
              <w:rPr>
                <w:sz w:val="17"/>
              </w:rPr>
            </w:pPr>
            <w:r>
              <w:rPr>
                <w:rFonts w:ascii="inherit" w:hAnsi="inherit"/>
                <w:sz w:val="17"/>
              </w:rPr>
              <w:t>Accelerated filer     </w:t>
            </w:r>
            <w:r>
              <w:rPr>
                <w:rFonts w:ascii="Wingdings" w:hAnsi="Wingdings"/>
                <w:sz w:val="17"/>
              </w:rPr>
              <w:t>o</w:t>
            </w:r>
          </w:p>
        </w:tc>
      </w:tr>
      <w:tr>
        <w:trPr/>
        <w:tc>
          <w:tcPr>
            <w:tcW w:w="2285" w:type="dxa"/>
            <w:tcBorders/>
            <w:shd w:fill="auto" w:val="clear"/>
            <w:vAlign w:val="center"/>
          </w:tcPr>
          <w:p>
            <w:pPr>
              <w:pStyle w:val="TableContents"/>
              <w:spacing w:before="0" w:after="0"/>
              <w:ind w:left="0" w:right="0" w:firstLine="30"/>
              <w:rPr>
                <w:sz w:val="17"/>
              </w:rPr>
            </w:pPr>
            <w:r>
              <w:rPr>
                <w:rFonts w:ascii="inherit" w:hAnsi="inherit"/>
                <w:sz w:val="17"/>
              </w:rPr>
              <w:t>Non-accelerated filer   </w:t>
            </w:r>
            <w:r>
              <w:rPr>
                <w:rFonts w:ascii="Wingdings" w:hAnsi="Wingdings"/>
                <w:sz w:val="17"/>
              </w:rPr>
              <w:t>x</w:t>
            </w:r>
            <w:r>
              <w:rPr>
                <w:sz w:val="17"/>
              </w:rPr>
              <w:t>     </w:t>
            </w:r>
          </w:p>
        </w:tc>
        <w:tc>
          <w:tcPr>
            <w:tcW w:w="2690" w:type="dxa"/>
            <w:tcBorders/>
            <w:shd w:fill="auto" w:val="clear"/>
            <w:vAlign w:val="center"/>
          </w:tcPr>
          <w:p>
            <w:pPr>
              <w:pStyle w:val="TableContents"/>
              <w:spacing w:before="0" w:after="0"/>
              <w:ind w:left="0" w:right="0" w:firstLine="30"/>
              <w:rPr>
                <w:sz w:val="17"/>
              </w:rPr>
            </w:pPr>
            <w:r>
              <w:rPr>
                <w:rFonts w:ascii="inherit" w:hAnsi="inherit"/>
                <w:sz w:val="17"/>
              </w:rPr>
              <w:t>Smaller reporting company     </w:t>
            </w:r>
            <w:r>
              <w:rPr>
                <w:rFonts w:ascii="Wingdings" w:hAnsi="Wingdings"/>
                <w:sz w:val="17"/>
              </w:rPr>
              <w:t>x</w:t>
            </w:r>
          </w:p>
        </w:tc>
      </w:tr>
      <w:tr>
        <w:trPr/>
        <w:tc>
          <w:tcPr>
            <w:tcW w:w="2285" w:type="dxa"/>
            <w:tcBorders/>
            <w:shd w:fill="auto" w:val="clear"/>
            <w:vAlign w:val="center"/>
          </w:tcPr>
          <w:p>
            <w:pPr>
              <w:pStyle w:val="TableContents"/>
              <w:spacing w:before="0" w:after="0"/>
              <w:ind w:left="0" w:right="0" w:firstLine="30"/>
              <w:rPr/>
            </w:pPr>
            <w:r>
              <w:rPr/>
              <w:t> </w:t>
            </w:r>
          </w:p>
        </w:tc>
        <w:tc>
          <w:tcPr>
            <w:tcW w:w="2690" w:type="dxa"/>
            <w:tcBorders/>
            <w:shd w:fill="auto" w:val="clear"/>
            <w:vAlign w:val="center"/>
          </w:tcPr>
          <w:p>
            <w:pPr>
              <w:pStyle w:val="TableContents"/>
              <w:spacing w:before="0" w:after="0"/>
              <w:rPr>
                <w:sz w:val="17"/>
              </w:rPr>
            </w:pPr>
            <w:r>
              <w:rPr>
                <w:rFonts w:ascii="inherit" w:hAnsi="inherit"/>
                <w:sz w:val="17"/>
              </w:rPr>
              <w:t>Emerging growth company      </w:t>
            </w:r>
            <w:r>
              <w:rPr>
                <w:rFonts w:ascii="Wingdings" w:hAnsi="Wingdings"/>
                <w:sz w:val="17"/>
              </w:rPr>
              <w:t>o</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If an emerging growth company, indicate by a check mark if the registrant has elected not to use the extended transition period for complying with any new or revised financial accounting standards provided pursuant to Section 13(a) of the Exchange Act.</w:t>
      </w:r>
      <w:r>
        <w:rPr>
          <w:rFonts w:ascii="Wingdings" w:hAnsi="Wingdings"/>
          <w:sz w:val="17"/>
        </w:rPr>
        <w:t>o</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Indicate by check mark whether the registrant is a shell company (as defined in Rule 12b-2 of the Exchange Act).</w:t>
      </w:r>
    </w:p>
    <w:p>
      <w:pPr>
        <w:pStyle w:val="TextBody"/>
        <w:spacing w:lineRule="auto" w:line="288" w:before="0" w:after="0"/>
        <w:jc w:val="both"/>
        <w:rPr>
          <w:sz w:val="17"/>
        </w:rPr>
      </w:pPr>
      <w:r>
        <w:rPr>
          <w:rFonts w:ascii="inherit" w:hAnsi="inherit"/>
          <w:sz w:val="17"/>
        </w:rPr>
        <w:t>Yes  </w:t>
      </w:r>
      <w:r>
        <w:rPr>
          <w:rFonts w:ascii="Wingdings" w:hAnsi="Wingdings"/>
          <w:sz w:val="17"/>
        </w:rPr>
        <w:t>o</w:t>
      </w:r>
      <w:r>
        <w:rPr>
          <w:sz w:val="17"/>
        </w:rPr>
        <w:t>     </w:t>
      </w:r>
      <w:r>
        <w:rPr>
          <w:rFonts w:ascii="inherit" w:hAnsi="inherit"/>
          <w:sz w:val="17"/>
        </w:rPr>
        <w:t>No  </w:t>
      </w:r>
      <w:r>
        <w:rPr>
          <w:rFonts w:ascii="Wingdings" w:hAnsi="Wingdings"/>
          <w:sz w:val="17"/>
        </w:rPr>
        <w:t>x</w:t>
      </w:r>
    </w:p>
    <w:p>
      <w:pPr>
        <w:pStyle w:val="TextBody"/>
        <w:spacing w:lineRule="auto" w:line="288" w:before="0" w:after="0"/>
        <w:jc w:val="both"/>
        <w:rPr>
          <w:rFonts w:ascii="Wingdings" w:hAnsi="Wingdings"/>
          <w:sz w:val="17"/>
        </w:rPr>
      </w:pPr>
      <w:r>
        <w:rPr>
          <w:rFonts w:ascii="Wingdings" w:hAnsi="Wingdings"/>
          <w:sz w:val="17"/>
        </w:rPr>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Indicate the number of shares outstanding of each of the issuer's classes of common stock, as of the latest practicable date.</w:t>
      </w:r>
    </w:p>
    <w:tbl>
      <w:tblPr>
        <w:tblW w:w="7118" w:type="dxa"/>
        <w:jc w:val="center"/>
        <w:tblInd w:w="0" w:type="dxa"/>
        <w:tblCellMar>
          <w:top w:w="0" w:type="dxa"/>
          <w:left w:w="0" w:type="dxa"/>
          <w:bottom w:w="0" w:type="dxa"/>
          <w:right w:w="0" w:type="dxa"/>
        </w:tblCellMar>
      </w:tblPr>
      <w:tblGrid>
        <w:gridCol w:w="3665"/>
        <w:gridCol w:w="2070"/>
        <w:gridCol w:w="65"/>
        <w:gridCol w:w="1318"/>
      </w:tblGrid>
      <w:tr>
        <w:trPr/>
        <w:tc>
          <w:tcPr>
            <w:tcW w:w="7118" w:type="dxa"/>
            <w:gridSpan w:val="4"/>
            <w:tcBorders/>
            <w:shd w:fill="auto" w:val="clear"/>
            <w:vAlign w:val="center"/>
          </w:tcPr>
          <w:p>
            <w:pPr>
              <w:pStyle w:val="TableContents"/>
              <w:spacing w:before="0" w:after="283"/>
              <w:rPr>
                <w:sz w:val="4"/>
                <w:szCs w:val="4"/>
              </w:rPr>
            </w:pPr>
            <w:r>
              <w:rPr>
                <w:sz w:val="4"/>
                <w:szCs w:val="4"/>
              </w:rPr>
            </w:r>
          </w:p>
        </w:tc>
      </w:tr>
      <w:tr>
        <w:trPr/>
        <w:tc>
          <w:tcPr>
            <w:tcW w:w="3665"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6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Class</w:t>
            </w:r>
          </w:p>
        </w:tc>
        <w:tc>
          <w:tcPr>
            <w:tcW w:w="3453" w:type="dxa"/>
            <w:gridSpan w:val="3"/>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Outstanding as of August 8th, 2019</w:t>
            </w:r>
          </w:p>
        </w:tc>
      </w:tr>
      <w:tr>
        <w:trPr/>
        <w:tc>
          <w:tcPr>
            <w:tcW w:w="36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stock, $0.001 par value per share</w:t>
            </w:r>
          </w:p>
        </w:tc>
        <w:tc>
          <w:tcPr>
            <w:tcW w:w="2070" w:type="dxa"/>
            <w:tcBorders/>
            <w:shd w:fill="auto" w:val="clear"/>
            <w:vAlign w:val="center"/>
          </w:tcPr>
          <w:p>
            <w:pPr>
              <w:pStyle w:val="TableContents"/>
              <w:spacing w:before="0" w:after="0"/>
              <w:jc w:val="right"/>
              <w:rPr>
                <w:rFonts w:ascii="inherit" w:hAnsi="inherit"/>
                <w:sz w:val="17"/>
              </w:rPr>
            </w:pPr>
            <w:r>
              <w:rPr>
                <w:rFonts w:ascii="inherit" w:hAnsi="inherit"/>
                <w:sz w:val="17"/>
              </w:rPr>
              <w:t>10,401,670</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8" w:type="dxa"/>
            <w:tcBorders/>
            <w:shd w:fill="auto" w:val="clear"/>
            <w:vAlign w:val="center"/>
          </w:tcPr>
          <w:p>
            <w:pPr>
              <w:pStyle w:val="TableContents"/>
              <w:spacing w:before="0" w:after="0"/>
              <w:jc w:val="left"/>
              <w:rPr>
                <w:rFonts w:ascii="inherit" w:hAnsi="inherit"/>
                <w:sz w:val="17"/>
              </w:rPr>
            </w:pPr>
            <w:r>
              <w:rPr>
                <w:rFonts w:ascii="inherit" w:hAnsi="inherit"/>
                <w:sz w:val="17"/>
              </w:rPr>
              <w:t>shares</w:t>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jc w:val="center"/>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pPr>
      <w:hyperlink w:anchor="sDB36EF7CC0CF5E428CD637007BC76C1A">
        <w:bookmarkStart w:id="3" w:name="sDB36EF7CC0CF5E428CD637007BC76C1A"/>
        <w:bookmarkEnd w:id="3"/>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180"/>
        <w:jc w:val="center"/>
        <w:rPr>
          <w:rFonts w:ascii="inherit" w:hAnsi="inherit"/>
          <w:b/>
          <w:sz w:val="17"/>
        </w:rPr>
      </w:pPr>
      <w:r>
        <w:rPr>
          <w:rFonts w:ascii="inherit" w:hAnsi="inherit"/>
          <w:b/>
          <w:sz w:val="17"/>
        </w:rPr>
        <w:t>CAUTIONARY NOTE REGARDING FORWARD-LOOKING STATEMENTS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ability to build and maintain the management and human resources infrastructure necessary to support the growth of our business;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whether a market is established for our cell-based products and services and our ability to capture a meaningful share of this market;</w:t>
            </w:r>
          </w:p>
        </w:tc>
      </w:tr>
    </w:tbl>
    <w:tbl>
      <w:tblPr>
        <w:tblW w:w="6235" w:type="dxa"/>
        <w:jc w:val="left"/>
        <w:tblInd w:w="0" w:type="dxa"/>
        <w:tblCellMar>
          <w:top w:w="0" w:type="dxa"/>
          <w:left w:w="0" w:type="dxa"/>
          <w:bottom w:w="0" w:type="dxa"/>
          <w:right w:w="0" w:type="dxa"/>
        </w:tblCellMar>
      </w:tblPr>
      <w:tblGrid>
        <w:gridCol w:w="485"/>
        <w:gridCol w:w="5750"/>
      </w:tblGrid>
      <w:tr>
        <w:trPr/>
        <w:tc>
          <w:tcPr>
            <w:tcW w:w="485" w:type="dxa"/>
            <w:tcBorders/>
            <w:shd w:fill="auto" w:val="clear"/>
            <w:vAlign w:val="center"/>
          </w:tcPr>
          <w:p>
            <w:pPr>
              <w:pStyle w:val="TableContents"/>
              <w:spacing w:before="0" w:after="283"/>
              <w:rPr>
                <w:sz w:val="4"/>
                <w:szCs w:val="4"/>
              </w:rPr>
            </w:pPr>
            <w:r>
              <w:rPr>
                <w:sz w:val="4"/>
                <w:szCs w:val="4"/>
              </w:rPr>
            </w:r>
          </w:p>
        </w:tc>
        <w:tc>
          <w:tcPr>
            <w:tcW w:w="575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7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scientific, regulatory and medical developments beyond our control;</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our ability to obtain and maintain, as applicable, appropriate governmental licenses, accreditations or certifications or to comply with healthcare laws and regulations or any other adverse effect or limitations caused by government regulation of our business;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tc>
      </w:tr>
    </w:tbl>
    <w:tbl>
      <w:tblPr>
        <w:tblW w:w="8905" w:type="dxa"/>
        <w:jc w:val="left"/>
        <w:tblInd w:w="0" w:type="dxa"/>
        <w:tblCellMar>
          <w:top w:w="0" w:type="dxa"/>
          <w:left w:w="0" w:type="dxa"/>
          <w:bottom w:w="0" w:type="dxa"/>
          <w:right w:w="0" w:type="dxa"/>
        </w:tblCellMar>
      </w:tblPr>
      <w:tblGrid>
        <w:gridCol w:w="485"/>
        <w:gridCol w:w="8420"/>
      </w:tblGrid>
      <w:tr>
        <w:trPr/>
        <w:tc>
          <w:tcPr>
            <w:tcW w:w="485" w:type="dxa"/>
            <w:tcBorders/>
            <w:shd w:fill="auto" w:val="clear"/>
            <w:vAlign w:val="center"/>
          </w:tcPr>
          <w:p>
            <w:pPr>
              <w:pStyle w:val="TableContents"/>
              <w:spacing w:before="0" w:after="283"/>
              <w:rPr>
                <w:sz w:val="4"/>
                <w:szCs w:val="4"/>
              </w:rPr>
            </w:pPr>
            <w:r>
              <w:rPr>
                <w:sz w:val="4"/>
                <w:szCs w:val="4"/>
              </w:rPr>
            </w:r>
          </w:p>
        </w:tc>
        <w:tc>
          <w:tcPr>
            <w:tcW w:w="84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4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whether any potential strategic or financial benefits of various licensing agreements will be realized;</w:t>
            </w:r>
          </w:p>
        </w:tc>
      </w:tr>
    </w:tbl>
    <w:tbl>
      <w:tblPr>
        <w:tblW w:w="4000" w:type="dxa"/>
        <w:jc w:val="left"/>
        <w:tblInd w:w="0" w:type="dxa"/>
        <w:tblCellMar>
          <w:top w:w="0" w:type="dxa"/>
          <w:left w:w="0" w:type="dxa"/>
          <w:bottom w:w="0" w:type="dxa"/>
          <w:right w:w="0" w:type="dxa"/>
        </w:tblCellMar>
      </w:tblPr>
      <w:tblGrid>
        <w:gridCol w:w="485"/>
        <w:gridCol w:w="3515"/>
      </w:tblGrid>
      <w:tr>
        <w:trPr/>
        <w:tc>
          <w:tcPr>
            <w:tcW w:w="485" w:type="dxa"/>
            <w:tcBorders/>
            <w:shd w:fill="auto" w:val="clear"/>
            <w:vAlign w:val="center"/>
          </w:tcPr>
          <w:p>
            <w:pPr>
              <w:pStyle w:val="TableContents"/>
              <w:spacing w:before="0" w:after="283"/>
              <w:rPr>
                <w:sz w:val="4"/>
                <w:szCs w:val="4"/>
              </w:rPr>
            </w:pPr>
            <w:r>
              <w:rPr>
                <w:sz w:val="4"/>
                <w:szCs w:val="4"/>
              </w:rPr>
            </w:r>
          </w:p>
        </w:tc>
        <w:tc>
          <w:tcPr>
            <w:tcW w:w="35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51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the results of our development activities;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 and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other factors discussed in "Risk Factors" in our Annual Report on Form 10-K filed with the Securities and Exchange Commission (the "SEC") on March 14, 2019, as subsequently amended on March 19, 2019 (our "2018 Form 10-K").</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The factors discussed herein, including those risks described in "Item 1A. Risk Factors" and elsewhere in our 2018 Form 10-K and in our other periodic filings with the SEC, which are available for review at </w:t>
      </w:r>
      <w:r>
        <w:rPr>
          <w:rFonts w:ascii="inherit" w:hAnsi="inherit"/>
          <w:i/>
          <w:sz w:val="17"/>
        </w:rPr>
        <w:t>www.sec.gov,</w:t>
      </w:r>
      <w:r>
        <w:rPr>
          <w:sz w:val="17"/>
        </w:rPr>
        <w:t xml:space="preserve"> </w:t>
      </w:r>
      <w:r>
        <w:rPr>
          <w:rFonts w:ascii="inherit" w:hAnsi="inherit"/>
          <w:sz w:val="17"/>
        </w:rPr>
        <w:t>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spacing w:lineRule="auto" w:line="288" w:before="0" w:after="0"/>
        <w:jc w:val="left"/>
        <w:rPr>
          <w:rFonts w:ascii="Arial" w:hAnsi="Arial"/>
          <w:sz w:val="17"/>
        </w:rPr>
      </w:pPr>
      <w:r>
        <w:rPr>
          <w:rFonts w:ascii="Arial" w:hAnsi="Arial"/>
          <w:sz w:val="17"/>
        </w:rPr>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left"/>
        <w:rPr>
          <w:rFonts w:ascii="Arial" w:hAnsi="Arial"/>
          <w:sz w:val="17"/>
        </w:rPr>
      </w:pPr>
      <w:r>
        <w:rPr>
          <w:rFonts w:ascii="Arial" w:hAnsi="Arial"/>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180"/>
        <w:jc w:val="center"/>
        <w:rPr>
          <w:rFonts w:ascii="inherit" w:hAnsi="inherit"/>
          <w:b/>
          <w:sz w:val="17"/>
        </w:rPr>
      </w:pPr>
      <w:r>
        <w:rPr>
          <w:rFonts w:ascii="inherit" w:hAnsi="inherit"/>
          <w:b/>
          <w:sz w:val="17"/>
        </w:rPr>
        <w:t>TABLE OF CONTENTS</w:t>
      </w:r>
    </w:p>
    <w:tbl>
      <w:tblPr>
        <w:tblW w:w="10205" w:type="dxa"/>
        <w:jc w:val="center"/>
        <w:tblInd w:w="0" w:type="dxa"/>
        <w:tblCellMar>
          <w:top w:w="0" w:type="dxa"/>
          <w:left w:w="0" w:type="dxa"/>
          <w:bottom w:w="0" w:type="dxa"/>
          <w:right w:w="0" w:type="dxa"/>
        </w:tblCellMar>
      </w:tblPr>
      <w:tblGrid>
        <w:gridCol w:w="770"/>
        <w:gridCol w:w="8634"/>
        <w:gridCol w:w="80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center"/>
          </w:tcPr>
          <w:p>
            <w:pPr>
              <w:pStyle w:val="TableContents"/>
              <w:spacing w:before="0" w:after="283"/>
              <w:rPr>
                <w:sz w:val="4"/>
                <w:szCs w:val="4"/>
              </w:rPr>
            </w:pPr>
            <w:r>
              <w:rPr>
                <w:sz w:val="4"/>
                <w:szCs w:val="4"/>
              </w:rPr>
            </w:r>
          </w:p>
        </w:tc>
        <w:tc>
          <w:tcPr>
            <w:tcW w:w="863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0" w:type="dxa"/>
            <w:tcBorders/>
            <w:shd w:fill="CCEEFF" w:val="clear"/>
            <w:vAlign w:val="center"/>
          </w:tcPr>
          <w:p>
            <w:pPr>
              <w:pStyle w:val="TableContents"/>
              <w:spacing w:before="0" w:after="0"/>
              <w:ind w:left="0" w:right="0" w:firstLine="30"/>
              <w:rPr/>
            </w:pPr>
            <w:r>
              <w:rPr/>
              <w:t> </w:t>
            </w:r>
          </w:p>
        </w:tc>
        <w:tc>
          <w:tcPr>
            <w:tcW w:w="8634" w:type="dxa"/>
            <w:tcBorders/>
            <w:shd w:fill="CCEEFF" w:val="clear"/>
            <w:vAlign w:val="center"/>
          </w:tcPr>
          <w:p>
            <w:pPr>
              <w:pStyle w:val="TableContents"/>
              <w:spacing w:before="0" w:after="0"/>
              <w:ind w:left="0" w:right="0" w:firstLine="30"/>
              <w:rPr/>
            </w:pPr>
            <w:hyperlink w:anchor="s2359CAEBE3EB5BEEB4997AC4C0652FB6">
              <w:r>
                <w:rPr>
                  <w:rStyle w:val="InternetLink"/>
                  <w:rFonts w:ascii="inherit" w:hAnsi="inherit"/>
                  <w:b/>
                  <w:strike w:val="false"/>
                  <w:dstrike w:val="false"/>
                  <w:color w:val="000000"/>
                  <w:sz w:val="15"/>
                  <w:u w:val="none"/>
                  <w:effect w:val="none"/>
                </w:rPr>
                <w:t>PART I- FINANCIAL INFORMATION</w:t>
              </w:r>
            </w:hyperlink>
          </w:p>
        </w:tc>
        <w:tc>
          <w:tcPr>
            <w:tcW w:w="801" w:type="dxa"/>
            <w:tcBorders/>
            <w:shd w:fill="CCEEFF" w:val="clear"/>
            <w:vAlign w:val="center"/>
          </w:tcPr>
          <w:p>
            <w:pPr>
              <w:pStyle w:val="TableContents"/>
              <w:spacing w:before="0" w:after="0"/>
              <w:ind w:left="0" w:right="0" w:firstLine="30"/>
              <w:jc w:val="center"/>
              <w:rPr>
                <w:rFonts w:ascii="inherit" w:hAnsi="inherit"/>
                <w:b/>
                <w:sz w:val="15"/>
              </w:rPr>
            </w:pPr>
            <w:r>
              <w:rPr>
                <w:rFonts w:ascii="inherit" w:hAnsi="inherit"/>
                <w:b/>
                <w:sz w:val="15"/>
              </w:rPr>
              <w:t>Page No.</w:t>
            </w:r>
          </w:p>
        </w:tc>
      </w:tr>
      <w:tr>
        <w:trPr/>
        <w:tc>
          <w:tcPr>
            <w:tcW w:w="770" w:type="dxa"/>
            <w:tcBorders/>
            <w:shd w:fill="auto" w:val="clear"/>
            <w:vAlign w:val="center"/>
          </w:tcPr>
          <w:p>
            <w:pPr>
              <w:pStyle w:val="TableContents"/>
              <w:spacing w:before="0" w:after="0"/>
              <w:ind w:left="0" w:right="0" w:firstLine="30"/>
              <w:rPr/>
            </w:pPr>
            <w:hyperlink w:anchor="s48509A42C12A5CE7AADF6D9608CC0697">
              <w:r>
                <w:rPr>
                  <w:rStyle w:val="InternetLink"/>
                  <w:rFonts w:ascii="inherit" w:hAnsi="inherit"/>
                  <w:b/>
                  <w:strike w:val="false"/>
                  <w:dstrike w:val="false"/>
                  <w:color w:val="000000"/>
                  <w:sz w:val="15"/>
                  <w:u w:val="none"/>
                  <w:effect w:val="none"/>
                </w:rPr>
                <w:t>Item 1.</w:t>
              </w:r>
            </w:hyperlink>
          </w:p>
        </w:tc>
        <w:tc>
          <w:tcPr>
            <w:tcW w:w="8634" w:type="dxa"/>
            <w:tcBorders/>
            <w:shd w:fill="auto" w:val="clear"/>
            <w:vAlign w:val="center"/>
          </w:tcPr>
          <w:p>
            <w:pPr>
              <w:pStyle w:val="TableContents"/>
              <w:spacing w:before="0" w:after="0"/>
              <w:ind w:left="0" w:right="0" w:firstLine="30"/>
              <w:jc w:val="both"/>
              <w:rPr>
                <w:rFonts w:ascii="inherit" w:hAnsi="inherit"/>
                <w:b/>
                <w:sz w:val="15"/>
              </w:rPr>
            </w:pPr>
            <w:r>
              <w:rPr>
                <w:rFonts w:ascii="inherit" w:hAnsi="inherit"/>
                <w:b/>
                <w:sz w:val="15"/>
              </w:rPr>
              <w:t>Financial Statements:</w:t>
            </w:r>
          </w:p>
        </w:tc>
        <w:tc>
          <w:tcPr>
            <w:tcW w:w="801" w:type="dxa"/>
            <w:tcBorders/>
            <w:shd w:fill="auto" w:val="clear"/>
            <w:vAlign w:val="center"/>
          </w:tcPr>
          <w:p>
            <w:pPr>
              <w:pStyle w:val="TableContents"/>
              <w:spacing w:before="0" w:after="0"/>
              <w:ind w:left="0" w:right="0" w:firstLine="30"/>
              <w:jc w:val="center"/>
              <w:rPr/>
            </w:pPr>
            <w:hyperlink w:anchor="sA3EFCFC68B9B5CD591FCB72546BB9042">
              <w:r>
                <w:rPr>
                  <w:rStyle w:val="InternetLink"/>
                  <w:rFonts w:ascii="inherit" w:hAnsi="inherit"/>
                  <w:sz w:val="15"/>
                </w:rPr>
                <w:t>4</w:t>
              </w:r>
            </w:hyperlink>
          </w:p>
        </w:tc>
      </w:tr>
      <w:tr>
        <w:trPr/>
        <w:tc>
          <w:tcPr>
            <w:tcW w:w="770" w:type="dxa"/>
            <w:tcBorders/>
            <w:shd w:fill="CCEEFF" w:val="clear"/>
            <w:vAlign w:val="center"/>
          </w:tcPr>
          <w:p>
            <w:pPr>
              <w:pStyle w:val="TableContents"/>
              <w:spacing w:before="0" w:after="0"/>
              <w:ind w:left="0" w:right="0" w:firstLine="30"/>
              <w:jc w:val="left"/>
              <w:rPr/>
            </w:pPr>
            <w:r>
              <w:rPr/>
              <w:t> </w:t>
            </w:r>
          </w:p>
        </w:tc>
        <w:tc>
          <w:tcPr>
            <w:tcW w:w="8634" w:type="dxa"/>
            <w:tcBorders/>
            <w:shd w:fill="CCEEFF" w:val="clear"/>
            <w:vAlign w:val="center"/>
          </w:tcPr>
          <w:p>
            <w:pPr>
              <w:pStyle w:val="TableContents"/>
              <w:spacing w:before="0" w:after="0"/>
              <w:ind w:left="0" w:right="0" w:firstLine="30"/>
              <w:jc w:val="both"/>
              <w:rPr>
                <w:rFonts w:ascii="inherit" w:hAnsi="inherit"/>
                <w:sz w:val="15"/>
              </w:rPr>
            </w:pPr>
            <w:r>
              <w:rPr>
                <w:rFonts w:ascii="inherit" w:hAnsi="inherit"/>
                <w:sz w:val="15"/>
              </w:rPr>
              <w:t>Consolidated Balance Sheets at June 30, 2019 (unaudited) and December 31, 2018</w:t>
            </w:r>
          </w:p>
        </w:tc>
        <w:tc>
          <w:tcPr>
            <w:tcW w:w="801" w:type="dxa"/>
            <w:tcBorders/>
            <w:shd w:fill="CCEEFF" w:val="clear"/>
            <w:vAlign w:val="center"/>
          </w:tcPr>
          <w:p>
            <w:pPr>
              <w:pStyle w:val="TableContents"/>
              <w:spacing w:before="0" w:after="0"/>
              <w:ind w:left="0" w:right="0" w:firstLine="30"/>
              <w:jc w:val="center"/>
              <w:rPr/>
            </w:pPr>
            <w:hyperlink w:anchor="s2FC2BADD20265046904103128AC1A27E">
              <w:r>
                <w:rPr>
                  <w:rStyle w:val="InternetLink"/>
                  <w:rFonts w:ascii="inherit" w:hAnsi="inherit"/>
                  <w:sz w:val="15"/>
                </w:rPr>
                <w:t>4</w:t>
              </w:r>
            </w:hyperlink>
          </w:p>
        </w:tc>
      </w:tr>
      <w:tr>
        <w:trPr/>
        <w:tc>
          <w:tcPr>
            <w:tcW w:w="770" w:type="dxa"/>
            <w:tcBorders/>
            <w:shd w:fill="auto" w:val="clear"/>
            <w:vAlign w:val="center"/>
          </w:tcPr>
          <w:p>
            <w:pPr>
              <w:pStyle w:val="TableContents"/>
              <w:spacing w:before="0" w:after="0"/>
              <w:ind w:left="0" w:right="0" w:firstLine="30"/>
              <w:rPr/>
            </w:pPr>
            <w:r>
              <w:rPr/>
              <w:t> </w:t>
            </w:r>
          </w:p>
        </w:tc>
        <w:tc>
          <w:tcPr>
            <w:tcW w:w="8634" w:type="dxa"/>
            <w:tcBorders/>
            <w:shd w:fill="auto" w:val="clear"/>
            <w:vAlign w:val="center"/>
          </w:tcPr>
          <w:p>
            <w:pPr>
              <w:pStyle w:val="TableContents"/>
              <w:spacing w:before="0" w:after="0"/>
              <w:ind w:left="0" w:right="0" w:firstLine="30"/>
              <w:jc w:val="both"/>
              <w:rPr>
                <w:rFonts w:ascii="inherit" w:hAnsi="inherit"/>
                <w:sz w:val="15"/>
              </w:rPr>
            </w:pPr>
            <w:r>
              <w:rPr>
                <w:rFonts w:ascii="inherit" w:hAnsi="inherit"/>
                <w:sz w:val="15"/>
              </w:rPr>
              <w:t>Consolidated Statements of Operations for the three and six months ended June 30, 2019 and 2018 (unaudited)</w:t>
            </w:r>
          </w:p>
        </w:tc>
        <w:tc>
          <w:tcPr>
            <w:tcW w:w="801" w:type="dxa"/>
            <w:tcBorders/>
            <w:shd w:fill="auto" w:val="clear"/>
            <w:vAlign w:val="center"/>
          </w:tcPr>
          <w:p>
            <w:pPr>
              <w:pStyle w:val="TableContents"/>
              <w:spacing w:before="0" w:after="0"/>
              <w:ind w:left="0" w:right="0" w:firstLine="30"/>
              <w:jc w:val="center"/>
              <w:rPr/>
            </w:pPr>
            <w:hyperlink w:anchor="sA8CE17A0D5855F8BB1F7BE8B7251F1BA">
              <w:r>
                <w:rPr>
                  <w:rStyle w:val="InternetLink"/>
                  <w:rFonts w:ascii="inherit" w:hAnsi="inherit"/>
                  <w:sz w:val="15"/>
                </w:rPr>
                <w:t>5</w:t>
              </w:r>
            </w:hyperlink>
          </w:p>
        </w:tc>
      </w:tr>
      <w:tr>
        <w:trPr/>
        <w:tc>
          <w:tcPr>
            <w:tcW w:w="770" w:type="dxa"/>
            <w:tcBorders/>
            <w:shd w:fill="CCEEFF" w:val="clear"/>
            <w:vAlign w:val="center"/>
          </w:tcPr>
          <w:p>
            <w:pPr>
              <w:pStyle w:val="TableContents"/>
              <w:spacing w:before="0" w:after="0"/>
              <w:ind w:left="0" w:right="0" w:firstLine="30"/>
              <w:jc w:val="left"/>
              <w:rPr/>
            </w:pPr>
            <w:r>
              <w:rPr/>
              <w:t> </w:t>
            </w:r>
          </w:p>
        </w:tc>
        <w:tc>
          <w:tcPr>
            <w:tcW w:w="863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Consolidated Statements of Comprehensive Loss for the three and six months ended June 30, 2019 and 2018 (unaudited)</w:t>
            </w:r>
          </w:p>
        </w:tc>
        <w:tc>
          <w:tcPr>
            <w:tcW w:w="801" w:type="dxa"/>
            <w:tcBorders/>
            <w:shd w:fill="CCEEFF" w:val="clear"/>
            <w:vAlign w:val="center"/>
          </w:tcPr>
          <w:p>
            <w:pPr>
              <w:pStyle w:val="TableContents"/>
              <w:spacing w:before="0" w:after="0"/>
              <w:ind w:left="0" w:right="0" w:firstLine="30"/>
              <w:jc w:val="center"/>
              <w:rPr/>
            </w:pPr>
            <w:hyperlink w:anchor="s538E5C0481AF5CF68D59CE049FF175BC">
              <w:r>
                <w:rPr>
                  <w:rStyle w:val="InternetLink"/>
                  <w:rFonts w:ascii="inherit" w:hAnsi="inherit"/>
                  <w:sz w:val="15"/>
                </w:rPr>
                <w:t>6</w:t>
              </w:r>
            </w:hyperlink>
          </w:p>
        </w:tc>
      </w:tr>
      <w:tr>
        <w:trPr/>
        <w:tc>
          <w:tcPr>
            <w:tcW w:w="770" w:type="dxa"/>
            <w:tcBorders/>
            <w:shd w:fill="auto" w:val="clear"/>
            <w:vAlign w:val="center"/>
          </w:tcPr>
          <w:p>
            <w:pPr>
              <w:pStyle w:val="TableContents"/>
              <w:spacing w:before="0" w:after="0"/>
              <w:ind w:left="0" w:right="0" w:firstLine="30"/>
              <w:jc w:val="left"/>
              <w:rPr/>
            </w:pPr>
            <w:r>
              <w:rPr/>
              <w:t> </w:t>
            </w:r>
          </w:p>
        </w:tc>
        <w:tc>
          <w:tcPr>
            <w:tcW w:w="863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Consolidated Statements of Equity for the three and six months ended June 30, 2019 and 2018 (unaudited) </w:t>
            </w:r>
          </w:p>
        </w:tc>
        <w:tc>
          <w:tcPr>
            <w:tcW w:w="801" w:type="dxa"/>
            <w:tcBorders/>
            <w:shd w:fill="auto" w:val="clear"/>
            <w:vAlign w:val="center"/>
          </w:tcPr>
          <w:p>
            <w:pPr>
              <w:pStyle w:val="TableContents"/>
              <w:spacing w:before="0" w:after="0"/>
              <w:ind w:left="0" w:right="0" w:firstLine="30"/>
              <w:jc w:val="center"/>
              <w:rPr/>
            </w:pPr>
            <w:hyperlink w:anchor="sD627794E9072584192AA48C48C2A8BB2">
              <w:r>
                <w:rPr>
                  <w:rStyle w:val="InternetLink"/>
                  <w:rFonts w:ascii="inherit" w:hAnsi="inherit"/>
                  <w:sz w:val="15"/>
                </w:rPr>
                <w:t>7</w:t>
              </w:r>
            </w:hyperlink>
          </w:p>
        </w:tc>
      </w:tr>
      <w:tr>
        <w:trPr/>
        <w:tc>
          <w:tcPr>
            <w:tcW w:w="770" w:type="dxa"/>
            <w:tcBorders/>
            <w:shd w:fill="CCEEFF" w:val="clear"/>
            <w:vAlign w:val="center"/>
          </w:tcPr>
          <w:p>
            <w:pPr>
              <w:pStyle w:val="TableContents"/>
              <w:spacing w:before="0" w:after="0"/>
              <w:ind w:left="0" w:right="0" w:firstLine="30"/>
              <w:jc w:val="left"/>
              <w:rPr/>
            </w:pPr>
            <w:r>
              <w:rPr/>
              <w:t> </w:t>
            </w:r>
          </w:p>
        </w:tc>
        <w:tc>
          <w:tcPr>
            <w:tcW w:w="8634" w:type="dxa"/>
            <w:tcBorders/>
            <w:shd w:fill="CCEEFF" w:val="clear"/>
            <w:vAlign w:val="center"/>
          </w:tcPr>
          <w:p>
            <w:pPr>
              <w:pStyle w:val="TableContents"/>
              <w:spacing w:before="0" w:after="0"/>
              <w:ind w:left="0" w:right="0" w:firstLine="30"/>
              <w:jc w:val="both"/>
              <w:rPr>
                <w:rFonts w:ascii="inherit" w:hAnsi="inherit"/>
                <w:sz w:val="15"/>
              </w:rPr>
            </w:pPr>
            <w:r>
              <w:rPr>
                <w:rFonts w:ascii="inherit" w:hAnsi="inherit"/>
                <w:sz w:val="15"/>
              </w:rPr>
              <w:t>Consolidated Statements of Cash Flows for the six months ended June 30, 2019 and 2018 (unaudited)</w:t>
            </w:r>
          </w:p>
        </w:tc>
        <w:tc>
          <w:tcPr>
            <w:tcW w:w="801" w:type="dxa"/>
            <w:tcBorders/>
            <w:shd w:fill="CCEEFF" w:val="clear"/>
            <w:vAlign w:val="center"/>
          </w:tcPr>
          <w:p>
            <w:pPr>
              <w:pStyle w:val="TableContents"/>
              <w:spacing w:before="0" w:after="0"/>
              <w:ind w:left="0" w:right="0" w:firstLine="30"/>
              <w:jc w:val="center"/>
              <w:rPr/>
            </w:pPr>
            <w:hyperlink w:anchor="s2C50EA05B97359C78C09BAE7C738BBF6">
              <w:r>
                <w:rPr>
                  <w:rStyle w:val="InternetLink"/>
                  <w:rFonts w:ascii="inherit" w:hAnsi="inherit"/>
                  <w:sz w:val="15"/>
                </w:rPr>
                <w:t>9</w:t>
              </w:r>
            </w:hyperlink>
          </w:p>
        </w:tc>
      </w:tr>
      <w:tr>
        <w:trPr/>
        <w:tc>
          <w:tcPr>
            <w:tcW w:w="770" w:type="dxa"/>
            <w:tcBorders/>
            <w:shd w:fill="auto" w:val="clear"/>
            <w:vAlign w:val="center"/>
          </w:tcPr>
          <w:p>
            <w:pPr>
              <w:pStyle w:val="TableContents"/>
              <w:spacing w:before="0" w:after="0"/>
              <w:ind w:left="0" w:right="0" w:firstLine="30"/>
              <w:jc w:val="left"/>
              <w:rPr/>
            </w:pPr>
            <w:r>
              <w:rPr/>
              <w:t> </w:t>
            </w:r>
          </w:p>
        </w:tc>
        <w:tc>
          <w:tcPr>
            <w:tcW w:w="8634" w:type="dxa"/>
            <w:tcBorders/>
            <w:shd w:fill="auto" w:val="clear"/>
            <w:vAlign w:val="center"/>
          </w:tcPr>
          <w:p>
            <w:pPr>
              <w:pStyle w:val="TableContents"/>
              <w:spacing w:before="0" w:after="0"/>
              <w:ind w:left="0" w:right="0" w:firstLine="30"/>
              <w:jc w:val="both"/>
              <w:rPr/>
            </w:pPr>
            <w:hyperlink w:anchor="sEEAE64E1F4E35859A2707B04E1E3A647">
              <w:r>
                <w:rPr>
                  <w:rStyle w:val="InternetLink"/>
                  <w:rFonts w:ascii="inherit" w:hAnsi="inherit"/>
                  <w:strike w:val="false"/>
                  <w:dstrike w:val="false"/>
                  <w:color w:val="000000"/>
                  <w:sz w:val="15"/>
                  <w:u w:val="none"/>
                  <w:effect w:val="none"/>
                </w:rPr>
                <w:t>Notes to Unaudited Consolidated Financial Statements</w:t>
              </w:r>
            </w:hyperlink>
          </w:p>
        </w:tc>
        <w:tc>
          <w:tcPr>
            <w:tcW w:w="801" w:type="dxa"/>
            <w:tcBorders/>
            <w:shd w:fill="auto" w:val="clear"/>
            <w:vAlign w:val="center"/>
          </w:tcPr>
          <w:p>
            <w:pPr>
              <w:pStyle w:val="TableContents"/>
              <w:spacing w:before="0" w:after="0"/>
              <w:ind w:left="0" w:right="0" w:firstLine="30"/>
              <w:jc w:val="center"/>
              <w:rPr/>
            </w:pPr>
            <w:hyperlink w:anchor="s9609242130DE59FBB1E2D73B7CB57008">
              <w:r>
                <w:rPr>
                  <w:rStyle w:val="InternetLink"/>
                  <w:rFonts w:ascii="inherit" w:hAnsi="inherit"/>
                  <w:sz w:val="15"/>
                </w:rPr>
                <w:t>10</w:t>
              </w:r>
            </w:hyperlink>
          </w:p>
        </w:tc>
      </w:tr>
      <w:tr>
        <w:trPr/>
        <w:tc>
          <w:tcPr>
            <w:tcW w:w="770" w:type="dxa"/>
            <w:tcBorders/>
            <w:shd w:fill="CCEEFF" w:val="clear"/>
            <w:vAlign w:val="center"/>
          </w:tcPr>
          <w:p>
            <w:pPr>
              <w:pStyle w:val="TableContents"/>
              <w:spacing w:before="0" w:after="0"/>
              <w:ind w:left="0" w:right="0" w:firstLine="30"/>
              <w:rPr/>
            </w:pPr>
            <w:hyperlink w:anchor="s225AD32535EB5F52BEE9CAED07D6438C">
              <w:r>
                <w:rPr>
                  <w:rStyle w:val="InternetLink"/>
                  <w:rFonts w:ascii="inherit" w:hAnsi="inherit"/>
                  <w:b/>
                  <w:strike w:val="false"/>
                  <w:dstrike w:val="false"/>
                  <w:color w:val="000000"/>
                  <w:sz w:val="15"/>
                  <w:u w:val="none"/>
                  <w:effect w:val="none"/>
                </w:rPr>
                <w:t>Item 2.</w:t>
              </w:r>
            </w:hyperlink>
          </w:p>
        </w:tc>
        <w:tc>
          <w:tcPr>
            <w:tcW w:w="8634" w:type="dxa"/>
            <w:tcBorders/>
            <w:shd w:fill="CCEEFF" w:val="clear"/>
            <w:vAlign w:val="center"/>
          </w:tcPr>
          <w:p>
            <w:pPr>
              <w:pStyle w:val="TableContents"/>
              <w:spacing w:before="0" w:after="0"/>
              <w:ind w:left="0" w:right="0" w:firstLine="30"/>
              <w:jc w:val="both"/>
              <w:rPr/>
            </w:pPr>
            <w:hyperlink w:anchor="s225AD32535EB5F52BEE9CAED07D6438C">
              <w:r>
                <w:rPr>
                  <w:rStyle w:val="InternetLink"/>
                  <w:rFonts w:ascii="inherit" w:hAnsi="inherit"/>
                  <w:b/>
                  <w:strike w:val="false"/>
                  <w:dstrike w:val="false"/>
                  <w:color w:val="000000"/>
                  <w:sz w:val="15"/>
                  <w:u w:val="none"/>
                  <w:effect w:val="none"/>
                </w:rPr>
                <w:t>Management’s Discussion and Analysis of Financial Condition and Results of Operations</w:t>
              </w:r>
            </w:hyperlink>
          </w:p>
        </w:tc>
        <w:tc>
          <w:tcPr>
            <w:tcW w:w="801" w:type="dxa"/>
            <w:tcBorders/>
            <w:shd w:fill="CCEEFF" w:val="clear"/>
            <w:vAlign w:val="center"/>
          </w:tcPr>
          <w:p>
            <w:pPr>
              <w:pStyle w:val="TableContents"/>
              <w:spacing w:before="0" w:after="0"/>
              <w:ind w:left="0" w:right="0" w:firstLine="30"/>
              <w:jc w:val="center"/>
              <w:rPr/>
            </w:pPr>
            <w:hyperlink w:anchor="sD00E281852BF5FC4ACEEA100E52DC805">
              <w:r>
                <w:rPr>
                  <w:rStyle w:val="InternetLink"/>
                  <w:rFonts w:ascii="inherit" w:hAnsi="inherit"/>
                  <w:sz w:val="15"/>
                </w:rPr>
                <w:t>19</w:t>
              </w:r>
            </w:hyperlink>
          </w:p>
        </w:tc>
      </w:tr>
      <w:tr>
        <w:trPr/>
        <w:tc>
          <w:tcPr>
            <w:tcW w:w="770" w:type="dxa"/>
            <w:tcBorders/>
            <w:shd w:fill="auto" w:val="clear"/>
            <w:vAlign w:val="center"/>
          </w:tcPr>
          <w:p>
            <w:pPr>
              <w:pStyle w:val="TableContents"/>
              <w:spacing w:before="0" w:after="0"/>
              <w:ind w:left="0" w:right="0" w:firstLine="30"/>
              <w:rPr/>
            </w:pPr>
            <w:hyperlink w:anchor="s79BF959A2E5F5A1AA4423A1D92EF2F29">
              <w:r>
                <w:rPr>
                  <w:rStyle w:val="InternetLink"/>
                  <w:rFonts w:ascii="inherit" w:hAnsi="inherit"/>
                  <w:b/>
                  <w:strike w:val="false"/>
                  <w:dstrike w:val="false"/>
                  <w:color w:val="000000"/>
                  <w:sz w:val="15"/>
                  <w:u w:val="none"/>
                  <w:effect w:val="none"/>
                </w:rPr>
                <w:t>Item 3.</w:t>
              </w:r>
            </w:hyperlink>
          </w:p>
        </w:tc>
        <w:tc>
          <w:tcPr>
            <w:tcW w:w="8634" w:type="dxa"/>
            <w:tcBorders/>
            <w:shd w:fill="auto" w:val="clear"/>
            <w:vAlign w:val="center"/>
          </w:tcPr>
          <w:p>
            <w:pPr>
              <w:pStyle w:val="TableContents"/>
              <w:spacing w:before="0" w:after="0"/>
              <w:ind w:left="0" w:right="0" w:firstLine="30"/>
              <w:jc w:val="both"/>
              <w:rPr/>
            </w:pPr>
            <w:hyperlink w:anchor="s79BF959A2E5F5A1AA4423A1D92EF2F29">
              <w:r>
                <w:rPr>
                  <w:rStyle w:val="InternetLink"/>
                  <w:rFonts w:ascii="inherit" w:hAnsi="inherit"/>
                  <w:b/>
                  <w:strike w:val="false"/>
                  <w:dstrike w:val="false"/>
                  <w:color w:val="000000"/>
                  <w:sz w:val="15"/>
                  <w:u w:val="none"/>
                  <w:effect w:val="none"/>
                </w:rPr>
                <w:t>Quantitative and Qualitative Disclosures About Market Risk</w:t>
              </w:r>
            </w:hyperlink>
          </w:p>
        </w:tc>
        <w:tc>
          <w:tcPr>
            <w:tcW w:w="801" w:type="dxa"/>
            <w:tcBorders/>
            <w:shd w:fill="auto" w:val="clear"/>
            <w:vAlign w:val="center"/>
          </w:tcPr>
          <w:p>
            <w:pPr>
              <w:pStyle w:val="TableContents"/>
              <w:spacing w:before="0" w:after="0"/>
              <w:ind w:left="0" w:right="0" w:firstLine="30"/>
              <w:jc w:val="center"/>
              <w:rPr/>
            </w:pPr>
            <w:hyperlink w:anchor="s3CE8F031E86854DBB5A63CA3986F2D6F">
              <w:r>
                <w:rPr>
                  <w:rStyle w:val="InternetLink"/>
                  <w:rFonts w:ascii="inherit" w:hAnsi="inherit"/>
                  <w:sz w:val="15"/>
                </w:rPr>
                <w:t>23</w:t>
              </w:r>
            </w:hyperlink>
          </w:p>
        </w:tc>
      </w:tr>
      <w:tr>
        <w:trPr/>
        <w:tc>
          <w:tcPr>
            <w:tcW w:w="770" w:type="dxa"/>
            <w:tcBorders/>
            <w:shd w:fill="CCEEFF" w:val="clear"/>
            <w:vAlign w:val="center"/>
          </w:tcPr>
          <w:p>
            <w:pPr>
              <w:pStyle w:val="TableContents"/>
              <w:spacing w:before="0" w:after="0"/>
              <w:ind w:left="0" w:right="0" w:firstLine="30"/>
              <w:rPr/>
            </w:pPr>
            <w:hyperlink w:anchor="sB31374D5F57E5A518496D439B5E7C9B6">
              <w:r>
                <w:rPr>
                  <w:rStyle w:val="InternetLink"/>
                  <w:rFonts w:ascii="inherit" w:hAnsi="inherit"/>
                  <w:b/>
                  <w:strike w:val="false"/>
                  <w:dstrike w:val="false"/>
                  <w:color w:val="000000"/>
                  <w:sz w:val="15"/>
                  <w:u w:val="none"/>
                  <w:effect w:val="none"/>
                </w:rPr>
                <w:t>Item 4.</w:t>
              </w:r>
            </w:hyperlink>
          </w:p>
        </w:tc>
        <w:tc>
          <w:tcPr>
            <w:tcW w:w="8634" w:type="dxa"/>
            <w:tcBorders/>
            <w:shd w:fill="CCEEFF" w:val="clear"/>
            <w:vAlign w:val="center"/>
          </w:tcPr>
          <w:p>
            <w:pPr>
              <w:pStyle w:val="TableContents"/>
              <w:spacing w:before="0" w:after="0"/>
              <w:ind w:left="0" w:right="0" w:firstLine="30"/>
              <w:jc w:val="both"/>
              <w:rPr/>
            </w:pPr>
            <w:hyperlink w:anchor="sB31374D5F57E5A518496D439B5E7C9B6">
              <w:r>
                <w:rPr>
                  <w:rStyle w:val="InternetLink"/>
                  <w:rFonts w:ascii="inherit" w:hAnsi="inherit"/>
                  <w:b/>
                  <w:strike w:val="false"/>
                  <w:dstrike w:val="false"/>
                  <w:color w:val="000000"/>
                  <w:sz w:val="15"/>
                  <w:u w:val="none"/>
                  <w:effect w:val="none"/>
                </w:rPr>
                <w:t>Controls and Procedures</w:t>
              </w:r>
            </w:hyperlink>
          </w:p>
        </w:tc>
        <w:tc>
          <w:tcPr>
            <w:tcW w:w="801" w:type="dxa"/>
            <w:tcBorders/>
            <w:shd w:fill="CCEEFF" w:val="clear"/>
            <w:vAlign w:val="center"/>
          </w:tcPr>
          <w:p>
            <w:pPr>
              <w:pStyle w:val="TableContents"/>
              <w:spacing w:before="0" w:after="0"/>
              <w:ind w:left="0" w:right="0" w:firstLine="30"/>
              <w:jc w:val="center"/>
              <w:rPr/>
            </w:pPr>
            <w:hyperlink w:anchor="s5F996F68BBEC5D1F97AD583B68B59BA1">
              <w:r>
                <w:rPr>
                  <w:rStyle w:val="InternetLink"/>
                  <w:rFonts w:ascii="inherit" w:hAnsi="inherit"/>
                  <w:sz w:val="15"/>
                </w:rPr>
                <w:t>24</w:t>
              </w:r>
            </w:hyperlink>
          </w:p>
        </w:tc>
      </w:tr>
      <w:tr>
        <w:trPr/>
        <w:tc>
          <w:tcPr>
            <w:tcW w:w="770" w:type="dxa"/>
            <w:tcBorders/>
            <w:shd w:fill="auto" w:val="clear"/>
            <w:vAlign w:val="center"/>
          </w:tcPr>
          <w:p>
            <w:pPr>
              <w:pStyle w:val="TableContents"/>
              <w:spacing w:before="0" w:after="0"/>
              <w:ind w:left="0" w:right="0" w:firstLine="30"/>
              <w:rPr/>
            </w:pPr>
            <w:r>
              <w:rPr/>
              <w:t> </w:t>
            </w:r>
          </w:p>
        </w:tc>
        <w:tc>
          <w:tcPr>
            <w:tcW w:w="8634" w:type="dxa"/>
            <w:tcBorders/>
            <w:shd w:fill="auto" w:val="clear"/>
            <w:vAlign w:val="center"/>
          </w:tcPr>
          <w:p>
            <w:pPr>
              <w:pStyle w:val="TableContents"/>
              <w:spacing w:before="0" w:after="0"/>
              <w:ind w:left="0" w:right="0" w:firstLine="30"/>
              <w:rPr/>
            </w:pPr>
            <w:hyperlink w:anchor="sB810C9F8359B5F9EB5CF962ADC24D839">
              <w:r>
                <w:rPr>
                  <w:rStyle w:val="InternetLink"/>
                  <w:rFonts w:ascii="inherit" w:hAnsi="inherit"/>
                  <w:b/>
                  <w:strike w:val="false"/>
                  <w:dstrike w:val="false"/>
                  <w:color w:val="000000"/>
                  <w:sz w:val="15"/>
                  <w:u w:val="none"/>
                  <w:effect w:val="none"/>
                </w:rPr>
                <w:t>PART II- OTHER INFORMATION</w:t>
              </w:r>
            </w:hyperlink>
          </w:p>
        </w:tc>
        <w:tc>
          <w:tcPr>
            <w:tcW w:w="801" w:type="dxa"/>
            <w:tcBorders/>
            <w:shd w:fill="auto" w:val="clear"/>
            <w:vAlign w:val="center"/>
          </w:tcPr>
          <w:p>
            <w:pPr>
              <w:pStyle w:val="TableContents"/>
              <w:spacing w:before="0" w:after="0"/>
              <w:ind w:left="0" w:right="0" w:firstLine="30"/>
              <w:rPr/>
            </w:pPr>
            <w:r>
              <w:rPr/>
              <w:t> </w:t>
            </w:r>
          </w:p>
        </w:tc>
      </w:tr>
      <w:tr>
        <w:trPr/>
        <w:tc>
          <w:tcPr>
            <w:tcW w:w="770" w:type="dxa"/>
            <w:tcBorders/>
            <w:shd w:fill="CCEEFF" w:val="clear"/>
            <w:vAlign w:val="center"/>
          </w:tcPr>
          <w:p>
            <w:pPr>
              <w:pStyle w:val="TableContents"/>
              <w:spacing w:before="0" w:after="0"/>
              <w:ind w:left="0" w:right="0" w:firstLine="30"/>
              <w:rPr/>
            </w:pPr>
            <w:hyperlink w:anchor="sC3A8BF8FE80D52C0A2045F2445EBC7BA">
              <w:r>
                <w:rPr>
                  <w:rStyle w:val="InternetLink"/>
                  <w:rFonts w:ascii="inherit" w:hAnsi="inherit"/>
                  <w:b/>
                  <w:strike w:val="false"/>
                  <w:dstrike w:val="false"/>
                  <w:color w:val="000000"/>
                  <w:sz w:val="15"/>
                  <w:u w:val="none"/>
                  <w:effect w:val="none"/>
                </w:rPr>
                <w:t>Item 1.</w:t>
              </w:r>
            </w:hyperlink>
          </w:p>
        </w:tc>
        <w:tc>
          <w:tcPr>
            <w:tcW w:w="8634" w:type="dxa"/>
            <w:tcBorders/>
            <w:shd w:fill="CCEEFF" w:val="clear"/>
            <w:vAlign w:val="center"/>
          </w:tcPr>
          <w:p>
            <w:pPr>
              <w:pStyle w:val="TableContents"/>
              <w:spacing w:before="0" w:after="0"/>
              <w:ind w:left="0" w:right="0" w:firstLine="30"/>
              <w:jc w:val="both"/>
              <w:rPr/>
            </w:pPr>
            <w:hyperlink w:anchor="sC3A8BF8FE80D52C0A2045F2445EBC7BA">
              <w:r>
                <w:rPr>
                  <w:rStyle w:val="InternetLink"/>
                  <w:rFonts w:ascii="inherit" w:hAnsi="inherit"/>
                  <w:b/>
                  <w:strike w:val="false"/>
                  <w:dstrike w:val="false"/>
                  <w:color w:val="000000"/>
                  <w:sz w:val="15"/>
                  <w:u w:val="none"/>
                  <w:effect w:val="none"/>
                </w:rPr>
                <w:t>Legal Proceedings</w:t>
              </w:r>
            </w:hyperlink>
          </w:p>
        </w:tc>
        <w:tc>
          <w:tcPr>
            <w:tcW w:w="801" w:type="dxa"/>
            <w:tcBorders/>
            <w:shd w:fill="CCEEFF" w:val="clear"/>
            <w:vAlign w:val="center"/>
          </w:tcPr>
          <w:p>
            <w:pPr>
              <w:pStyle w:val="TableContents"/>
              <w:spacing w:before="0" w:after="0"/>
              <w:ind w:left="0" w:right="0" w:firstLine="30"/>
              <w:jc w:val="center"/>
              <w:rPr/>
            </w:pPr>
            <w:hyperlink w:anchor="s213D012BD6925551B2B3A0834C52387B">
              <w:r>
                <w:rPr>
                  <w:rStyle w:val="InternetLink"/>
                  <w:rFonts w:ascii="inherit" w:hAnsi="inherit"/>
                  <w:sz w:val="15"/>
                </w:rPr>
                <w:t>25</w:t>
              </w:r>
            </w:hyperlink>
          </w:p>
        </w:tc>
      </w:tr>
      <w:tr>
        <w:trPr/>
        <w:tc>
          <w:tcPr>
            <w:tcW w:w="770" w:type="dxa"/>
            <w:tcBorders/>
            <w:shd w:fill="auto" w:val="clear"/>
            <w:vAlign w:val="center"/>
          </w:tcPr>
          <w:p>
            <w:pPr>
              <w:pStyle w:val="TableContents"/>
              <w:spacing w:before="0" w:after="0"/>
              <w:ind w:left="0" w:right="0" w:firstLine="30"/>
              <w:rPr/>
            </w:pPr>
            <w:hyperlink w:anchor="s839A0773244B5454B7E63A06277AF479">
              <w:r>
                <w:rPr>
                  <w:rStyle w:val="InternetLink"/>
                  <w:rFonts w:ascii="inherit" w:hAnsi="inherit"/>
                  <w:b/>
                  <w:strike w:val="false"/>
                  <w:dstrike w:val="false"/>
                  <w:color w:val="000000"/>
                  <w:sz w:val="15"/>
                  <w:u w:val="none"/>
                  <w:effect w:val="none"/>
                </w:rPr>
                <w:t>Item 1A.</w:t>
              </w:r>
            </w:hyperlink>
          </w:p>
        </w:tc>
        <w:tc>
          <w:tcPr>
            <w:tcW w:w="8634" w:type="dxa"/>
            <w:tcBorders/>
            <w:shd w:fill="auto" w:val="clear"/>
            <w:vAlign w:val="center"/>
          </w:tcPr>
          <w:p>
            <w:pPr>
              <w:pStyle w:val="TableContents"/>
              <w:spacing w:before="0" w:after="0"/>
              <w:ind w:left="0" w:right="0" w:firstLine="30"/>
              <w:jc w:val="left"/>
              <w:rPr/>
            </w:pPr>
            <w:hyperlink w:anchor="s839A0773244B5454B7E63A06277AF479">
              <w:r>
                <w:rPr>
                  <w:rStyle w:val="InternetLink"/>
                  <w:rFonts w:ascii="inherit" w:hAnsi="inherit"/>
                  <w:b/>
                  <w:strike w:val="false"/>
                  <w:dstrike w:val="false"/>
                  <w:color w:val="000000"/>
                  <w:sz w:val="15"/>
                  <w:u w:val="none"/>
                  <w:effect w:val="none"/>
                </w:rPr>
                <w:t>Risk Factors</w:t>
              </w:r>
            </w:hyperlink>
          </w:p>
        </w:tc>
        <w:tc>
          <w:tcPr>
            <w:tcW w:w="801" w:type="dxa"/>
            <w:tcBorders/>
            <w:shd w:fill="auto" w:val="clear"/>
            <w:vAlign w:val="center"/>
          </w:tcPr>
          <w:p>
            <w:pPr>
              <w:pStyle w:val="TableContents"/>
              <w:spacing w:before="0" w:after="0"/>
              <w:ind w:left="0" w:right="0" w:firstLine="30"/>
              <w:jc w:val="center"/>
              <w:rPr/>
            </w:pPr>
            <w:hyperlink w:anchor="sDDEFB2A8E54055889563BAA64BC26372">
              <w:r>
                <w:rPr>
                  <w:rStyle w:val="InternetLink"/>
                  <w:rFonts w:ascii="inherit" w:hAnsi="inherit"/>
                  <w:sz w:val="15"/>
                </w:rPr>
                <w:t>25</w:t>
              </w:r>
            </w:hyperlink>
          </w:p>
        </w:tc>
      </w:tr>
      <w:tr>
        <w:trPr/>
        <w:tc>
          <w:tcPr>
            <w:tcW w:w="770" w:type="dxa"/>
            <w:tcBorders/>
            <w:shd w:fill="CCEEFF" w:val="clear"/>
            <w:vAlign w:val="center"/>
          </w:tcPr>
          <w:p>
            <w:pPr>
              <w:pStyle w:val="TableContents"/>
              <w:spacing w:before="0" w:after="0"/>
              <w:ind w:left="0" w:right="0" w:firstLine="30"/>
              <w:rPr/>
            </w:pPr>
            <w:hyperlink w:anchor="s2B25D4D7DA6751F4820E06C42D544AD1">
              <w:r>
                <w:rPr>
                  <w:rStyle w:val="InternetLink"/>
                  <w:rFonts w:ascii="inherit" w:hAnsi="inherit"/>
                  <w:b/>
                  <w:strike w:val="false"/>
                  <w:dstrike w:val="false"/>
                  <w:color w:val="000000"/>
                  <w:sz w:val="15"/>
                  <w:u w:val="none"/>
                  <w:effect w:val="none"/>
                </w:rPr>
                <w:t>Item 2.</w:t>
              </w:r>
            </w:hyperlink>
          </w:p>
        </w:tc>
        <w:tc>
          <w:tcPr>
            <w:tcW w:w="8634" w:type="dxa"/>
            <w:tcBorders/>
            <w:shd w:fill="CCEEFF" w:val="clear"/>
            <w:vAlign w:val="center"/>
          </w:tcPr>
          <w:p>
            <w:pPr>
              <w:pStyle w:val="TableContents"/>
              <w:spacing w:before="0" w:after="0"/>
              <w:ind w:left="0" w:right="0" w:firstLine="30"/>
              <w:jc w:val="both"/>
              <w:rPr/>
            </w:pPr>
            <w:hyperlink w:anchor="s2B25D4D7DA6751F4820E06C42D544AD1">
              <w:r>
                <w:rPr>
                  <w:rStyle w:val="InternetLink"/>
                  <w:rFonts w:ascii="inherit" w:hAnsi="inherit"/>
                  <w:b/>
                  <w:strike w:val="false"/>
                  <w:dstrike w:val="false"/>
                  <w:color w:val="000000"/>
                  <w:sz w:val="15"/>
                  <w:u w:val="none"/>
                  <w:effect w:val="none"/>
                </w:rPr>
                <w:t>Unregistered Sales of Equity Securities and Use of Proceeds</w:t>
              </w:r>
            </w:hyperlink>
          </w:p>
        </w:tc>
        <w:tc>
          <w:tcPr>
            <w:tcW w:w="801" w:type="dxa"/>
            <w:tcBorders/>
            <w:shd w:fill="CCEEFF" w:val="clear"/>
            <w:vAlign w:val="center"/>
          </w:tcPr>
          <w:p>
            <w:pPr>
              <w:pStyle w:val="TableContents"/>
              <w:spacing w:before="0" w:after="0"/>
              <w:ind w:left="0" w:right="0" w:firstLine="30"/>
              <w:jc w:val="center"/>
              <w:rPr/>
            </w:pPr>
            <w:hyperlink w:anchor="sBC02779E8C6A55A0A865D88E5CFEAB3C">
              <w:r>
                <w:rPr>
                  <w:rStyle w:val="InternetLink"/>
                  <w:rFonts w:ascii="inherit" w:hAnsi="inherit"/>
                  <w:sz w:val="15"/>
                </w:rPr>
                <w:t>25</w:t>
              </w:r>
            </w:hyperlink>
          </w:p>
        </w:tc>
      </w:tr>
      <w:tr>
        <w:trPr/>
        <w:tc>
          <w:tcPr>
            <w:tcW w:w="770" w:type="dxa"/>
            <w:tcBorders/>
            <w:shd w:fill="auto" w:val="clear"/>
            <w:vAlign w:val="center"/>
          </w:tcPr>
          <w:p>
            <w:pPr>
              <w:pStyle w:val="TableContents"/>
              <w:spacing w:before="0" w:after="0"/>
              <w:ind w:left="0" w:right="0" w:firstLine="30"/>
              <w:rPr/>
            </w:pPr>
            <w:hyperlink w:anchor="s7A5ABD7BDBD85FB4A8271B561E6594B9">
              <w:r>
                <w:rPr>
                  <w:rStyle w:val="InternetLink"/>
                  <w:rFonts w:ascii="inherit" w:hAnsi="inherit"/>
                  <w:b/>
                  <w:strike w:val="false"/>
                  <w:dstrike w:val="false"/>
                  <w:color w:val="000000"/>
                  <w:sz w:val="15"/>
                  <w:u w:val="none"/>
                  <w:effect w:val="none"/>
                </w:rPr>
                <w:t>Item 3.</w:t>
              </w:r>
            </w:hyperlink>
          </w:p>
        </w:tc>
        <w:tc>
          <w:tcPr>
            <w:tcW w:w="8634" w:type="dxa"/>
            <w:tcBorders/>
            <w:shd w:fill="auto" w:val="clear"/>
            <w:vAlign w:val="center"/>
          </w:tcPr>
          <w:p>
            <w:pPr>
              <w:pStyle w:val="TableContents"/>
              <w:spacing w:before="0" w:after="0"/>
              <w:ind w:left="0" w:right="0" w:firstLine="30"/>
              <w:jc w:val="both"/>
              <w:rPr/>
            </w:pPr>
            <w:hyperlink w:anchor="s7A5ABD7BDBD85FB4A8271B561E6594B9">
              <w:r>
                <w:rPr>
                  <w:rStyle w:val="InternetLink"/>
                  <w:rFonts w:ascii="inherit" w:hAnsi="inherit"/>
                  <w:b/>
                  <w:strike w:val="false"/>
                  <w:dstrike w:val="false"/>
                  <w:color w:val="000000"/>
                  <w:sz w:val="15"/>
                  <w:u w:val="none"/>
                  <w:effect w:val="none"/>
                </w:rPr>
                <w:t>Defaults Upon Senior Securities</w:t>
              </w:r>
            </w:hyperlink>
          </w:p>
        </w:tc>
        <w:tc>
          <w:tcPr>
            <w:tcW w:w="801" w:type="dxa"/>
            <w:tcBorders/>
            <w:shd w:fill="auto" w:val="clear"/>
            <w:vAlign w:val="center"/>
          </w:tcPr>
          <w:p>
            <w:pPr>
              <w:pStyle w:val="TableContents"/>
              <w:spacing w:before="0" w:after="0"/>
              <w:ind w:left="0" w:right="0" w:firstLine="30"/>
              <w:jc w:val="center"/>
              <w:rPr/>
            </w:pPr>
            <w:hyperlink w:anchor="s9AB9AADAEAD053658A5B1FFE5FE1F33D">
              <w:r>
                <w:rPr>
                  <w:rStyle w:val="InternetLink"/>
                  <w:rFonts w:ascii="inherit" w:hAnsi="inherit"/>
                  <w:sz w:val="15"/>
                </w:rPr>
                <w:t>25</w:t>
              </w:r>
            </w:hyperlink>
          </w:p>
        </w:tc>
      </w:tr>
      <w:tr>
        <w:trPr/>
        <w:tc>
          <w:tcPr>
            <w:tcW w:w="770" w:type="dxa"/>
            <w:tcBorders/>
            <w:shd w:fill="CCEEFF" w:val="clear"/>
            <w:vAlign w:val="center"/>
          </w:tcPr>
          <w:p>
            <w:pPr>
              <w:pStyle w:val="TableContents"/>
              <w:spacing w:before="0" w:after="0"/>
              <w:ind w:left="0" w:right="0" w:firstLine="30"/>
              <w:rPr/>
            </w:pPr>
            <w:hyperlink w:anchor="sED1653BE7A7C5103B99C6A63F40B2A1F">
              <w:r>
                <w:rPr>
                  <w:rStyle w:val="InternetLink"/>
                  <w:rFonts w:ascii="inherit" w:hAnsi="inherit"/>
                  <w:b/>
                  <w:strike w:val="false"/>
                  <w:dstrike w:val="false"/>
                  <w:color w:val="000000"/>
                  <w:sz w:val="15"/>
                  <w:u w:val="none"/>
                  <w:effect w:val="none"/>
                </w:rPr>
                <w:t>Item 4.</w:t>
              </w:r>
            </w:hyperlink>
          </w:p>
        </w:tc>
        <w:tc>
          <w:tcPr>
            <w:tcW w:w="8634" w:type="dxa"/>
            <w:tcBorders/>
            <w:shd w:fill="CCEEFF" w:val="clear"/>
            <w:vAlign w:val="center"/>
          </w:tcPr>
          <w:p>
            <w:pPr>
              <w:pStyle w:val="TableContents"/>
              <w:spacing w:before="0" w:after="0"/>
              <w:ind w:left="0" w:right="0" w:firstLine="30"/>
              <w:jc w:val="both"/>
              <w:rPr/>
            </w:pPr>
            <w:hyperlink w:anchor="sED1653BE7A7C5103B99C6A63F40B2A1F">
              <w:r>
                <w:rPr>
                  <w:rStyle w:val="InternetLink"/>
                  <w:rFonts w:ascii="inherit" w:hAnsi="inherit"/>
                  <w:b/>
                  <w:strike w:val="false"/>
                  <w:dstrike w:val="false"/>
                  <w:color w:val="000000"/>
                  <w:sz w:val="15"/>
                  <w:u w:val="none"/>
                  <w:effect w:val="none"/>
                </w:rPr>
                <w:t>Mine Safety Disclosures</w:t>
              </w:r>
            </w:hyperlink>
          </w:p>
        </w:tc>
        <w:tc>
          <w:tcPr>
            <w:tcW w:w="801" w:type="dxa"/>
            <w:tcBorders/>
            <w:shd w:fill="CCEEFF" w:val="clear"/>
            <w:vAlign w:val="center"/>
          </w:tcPr>
          <w:p>
            <w:pPr>
              <w:pStyle w:val="TableContents"/>
              <w:spacing w:before="0" w:after="0"/>
              <w:ind w:left="0" w:right="0" w:firstLine="30"/>
              <w:jc w:val="center"/>
              <w:rPr/>
            </w:pPr>
            <w:hyperlink w:anchor="sE97E7E3E7D635509852BE9B21E2C1F0A">
              <w:r>
                <w:rPr>
                  <w:rStyle w:val="InternetLink"/>
                  <w:rFonts w:ascii="inherit" w:hAnsi="inherit"/>
                  <w:sz w:val="15"/>
                </w:rPr>
                <w:t>25</w:t>
              </w:r>
            </w:hyperlink>
          </w:p>
        </w:tc>
      </w:tr>
      <w:tr>
        <w:trPr/>
        <w:tc>
          <w:tcPr>
            <w:tcW w:w="770" w:type="dxa"/>
            <w:tcBorders/>
            <w:shd w:fill="auto" w:val="clear"/>
            <w:vAlign w:val="center"/>
          </w:tcPr>
          <w:p>
            <w:pPr>
              <w:pStyle w:val="TableContents"/>
              <w:spacing w:before="0" w:after="0"/>
              <w:ind w:left="0" w:right="0" w:firstLine="30"/>
              <w:rPr/>
            </w:pPr>
            <w:hyperlink w:anchor="s7678079248825181BBDBF898A2F94FA5">
              <w:r>
                <w:rPr>
                  <w:rStyle w:val="InternetLink"/>
                  <w:rFonts w:ascii="inherit" w:hAnsi="inherit"/>
                  <w:b/>
                  <w:strike w:val="false"/>
                  <w:dstrike w:val="false"/>
                  <w:color w:val="000000"/>
                  <w:sz w:val="15"/>
                  <w:u w:val="none"/>
                  <w:effect w:val="none"/>
                </w:rPr>
                <w:t>Item 5.</w:t>
              </w:r>
            </w:hyperlink>
          </w:p>
        </w:tc>
        <w:tc>
          <w:tcPr>
            <w:tcW w:w="8634" w:type="dxa"/>
            <w:tcBorders/>
            <w:shd w:fill="auto" w:val="clear"/>
            <w:vAlign w:val="center"/>
          </w:tcPr>
          <w:p>
            <w:pPr>
              <w:pStyle w:val="TableContents"/>
              <w:spacing w:before="0" w:after="0"/>
              <w:ind w:left="0" w:right="0" w:firstLine="30"/>
              <w:jc w:val="both"/>
              <w:rPr/>
            </w:pPr>
            <w:hyperlink w:anchor="s7678079248825181BBDBF898A2F94FA5">
              <w:r>
                <w:rPr>
                  <w:rStyle w:val="InternetLink"/>
                  <w:rFonts w:ascii="inherit" w:hAnsi="inherit"/>
                  <w:b/>
                  <w:strike w:val="false"/>
                  <w:dstrike w:val="false"/>
                  <w:color w:val="000000"/>
                  <w:sz w:val="15"/>
                  <w:u w:val="none"/>
                  <w:effect w:val="none"/>
                </w:rPr>
                <w:t>Other Information</w:t>
              </w:r>
            </w:hyperlink>
          </w:p>
        </w:tc>
        <w:tc>
          <w:tcPr>
            <w:tcW w:w="801" w:type="dxa"/>
            <w:tcBorders/>
            <w:shd w:fill="auto" w:val="clear"/>
            <w:vAlign w:val="center"/>
          </w:tcPr>
          <w:p>
            <w:pPr>
              <w:pStyle w:val="TableContents"/>
              <w:spacing w:before="0" w:after="0"/>
              <w:ind w:left="0" w:right="0" w:firstLine="30"/>
              <w:jc w:val="center"/>
              <w:rPr/>
            </w:pPr>
            <w:hyperlink w:anchor="sAA66E515FB745F40BAD52D9E2905BC49">
              <w:r>
                <w:rPr>
                  <w:rStyle w:val="InternetLink"/>
                  <w:rFonts w:ascii="inherit" w:hAnsi="inherit"/>
                  <w:sz w:val="15"/>
                </w:rPr>
                <w:t>25</w:t>
              </w:r>
            </w:hyperlink>
          </w:p>
        </w:tc>
      </w:tr>
      <w:tr>
        <w:trPr/>
        <w:tc>
          <w:tcPr>
            <w:tcW w:w="770" w:type="dxa"/>
            <w:tcBorders/>
            <w:shd w:fill="CCEEFF" w:val="clear"/>
            <w:vAlign w:val="center"/>
          </w:tcPr>
          <w:p>
            <w:pPr>
              <w:pStyle w:val="TableContents"/>
              <w:spacing w:before="0" w:after="0"/>
              <w:ind w:left="0" w:right="0" w:firstLine="30"/>
              <w:rPr/>
            </w:pPr>
            <w:hyperlink w:anchor="sEC3CECC866E85A9288C2FC3F8AC60ED4">
              <w:r>
                <w:rPr>
                  <w:rStyle w:val="InternetLink"/>
                  <w:rFonts w:ascii="inherit" w:hAnsi="inherit"/>
                  <w:b/>
                  <w:strike w:val="false"/>
                  <w:dstrike w:val="false"/>
                  <w:color w:val="000000"/>
                  <w:sz w:val="15"/>
                  <w:u w:val="none"/>
                  <w:effect w:val="none"/>
                </w:rPr>
                <w:t>Item 6.</w:t>
              </w:r>
            </w:hyperlink>
          </w:p>
        </w:tc>
        <w:tc>
          <w:tcPr>
            <w:tcW w:w="8634" w:type="dxa"/>
            <w:tcBorders/>
            <w:shd w:fill="CCEEFF" w:val="clear"/>
            <w:vAlign w:val="center"/>
          </w:tcPr>
          <w:p>
            <w:pPr>
              <w:pStyle w:val="TableContents"/>
              <w:spacing w:before="0" w:after="0"/>
              <w:ind w:left="0" w:right="0" w:firstLine="30"/>
              <w:jc w:val="both"/>
              <w:rPr/>
            </w:pPr>
            <w:hyperlink w:anchor="sEC3CECC866E85A9288C2FC3F8AC60ED4">
              <w:r>
                <w:rPr>
                  <w:rStyle w:val="InternetLink"/>
                  <w:rFonts w:ascii="inherit" w:hAnsi="inherit"/>
                  <w:b/>
                  <w:strike w:val="false"/>
                  <w:dstrike w:val="false"/>
                  <w:color w:val="000000"/>
                  <w:sz w:val="15"/>
                  <w:u w:val="none"/>
                  <w:effect w:val="none"/>
                </w:rPr>
                <w:t>Exhibits</w:t>
              </w:r>
            </w:hyperlink>
          </w:p>
        </w:tc>
        <w:tc>
          <w:tcPr>
            <w:tcW w:w="801" w:type="dxa"/>
            <w:tcBorders/>
            <w:shd w:fill="CCEEFF" w:val="clear"/>
            <w:vAlign w:val="center"/>
          </w:tcPr>
          <w:p>
            <w:pPr>
              <w:pStyle w:val="TableContents"/>
              <w:spacing w:before="0" w:after="0"/>
              <w:ind w:left="0" w:right="0" w:firstLine="30"/>
              <w:jc w:val="center"/>
              <w:rPr/>
            </w:pPr>
            <w:hyperlink w:anchor="sF510BA79144D53D2A5CD35DC4920F6CB">
              <w:r>
                <w:rPr>
                  <w:rStyle w:val="InternetLink"/>
                  <w:rFonts w:ascii="inherit" w:hAnsi="inherit"/>
                  <w:sz w:val="15"/>
                </w:rPr>
                <w:t>25</w:t>
              </w:r>
            </w:hyperlink>
          </w:p>
        </w:tc>
      </w:tr>
      <w:tr>
        <w:trPr/>
        <w:tc>
          <w:tcPr>
            <w:tcW w:w="770" w:type="dxa"/>
            <w:tcBorders/>
            <w:shd w:fill="auto" w:val="clear"/>
            <w:vAlign w:val="center"/>
          </w:tcPr>
          <w:p>
            <w:pPr>
              <w:pStyle w:val="TableContents"/>
              <w:spacing w:before="0" w:after="0"/>
              <w:ind w:left="0" w:right="0" w:firstLine="30"/>
              <w:jc w:val="left"/>
              <w:rPr/>
            </w:pPr>
            <w:r>
              <w:rPr/>
              <w:t> </w:t>
            </w:r>
          </w:p>
        </w:tc>
        <w:tc>
          <w:tcPr>
            <w:tcW w:w="8634" w:type="dxa"/>
            <w:tcBorders/>
            <w:shd w:fill="auto" w:val="clear"/>
            <w:vAlign w:val="center"/>
          </w:tcPr>
          <w:p>
            <w:pPr>
              <w:pStyle w:val="TableContents"/>
              <w:spacing w:before="0" w:after="0"/>
              <w:ind w:left="0" w:right="0" w:firstLine="30"/>
              <w:jc w:val="both"/>
              <w:rPr/>
            </w:pPr>
            <w:hyperlink w:anchor="s9FA47168CC9C5BA3A220DBB7EB2907DE">
              <w:r>
                <w:rPr>
                  <w:rStyle w:val="InternetLink"/>
                  <w:rFonts w:ascii="inherit" w:hAnsi="inherit"/>
                  <w:b/>
                  <w:strike w:val="false"/>
                  <w:dstrike w:val="false"/>
                  <w:color w:val="000000"/>
                  <w:sz w:val="15"/>
                  <w:u w:val="none"/>
                  <w:effect w:val="none"/>
                </w:rPr>
                <w:t>Signatures</w:t>
              </w:r>
            </w:hyperlink>
          </w:p>
        </w:tc>
        <w:tc>
          <w:tcPr>
            <w:tcW w:w="801" w:type="dxa"/>
            <w:tcBorders/>
            <w:shd w:fill="auto" w:val="clear"/>
            <w:vAlign w:val="center"/>
          </w:tcPr>
          <w:p>
            <w:pPr>
              <w:pStyle w:val="TableContents"/>
              <w:spacing w:before="0" w:after="0"/>
              <w:jc w:val="center"/>
              <w:rPr/>
            </w:pPr>
            <w:hyperlink w:anchor="s10BCA983F2685A4EBA21A8EB575EA67B">
              <w:r>
                <w:rPr>
                  <w:rStyle w:val="InternetLink"/>
                  <w:rFonts w:ascii="inherit" w:hAnsi="inherit"/>
                  <w:sz w:val="15"/>
                </w:rPr>
                <w:t>26</w:t>
              </w:r>
            </w:hyperlink>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DB36EF7CC0CF5E428CD637007BC76C1A">
        <w:bookmarkStart w:id="4" w:name="sED835D0B437152DBBA3D6ABD13FDCC53"/>
        <w:bookmarkEnd w:id="4"/>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 FINANCIAL INFORMATION</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ITEM I. FINANCIAL STATEMENTS</w:t>
      </w:r>
    </w:p>
    <w:p>
      <w:pPr>
        <w:pStyle w:val="TextBody"/>
        <w:spacing w:lineRule="auto" w:line="288" w:before="0" w:after="0"/>
        <w:jc w:val="left"/>
        <w:rPr>
          <w:rFonts w:ascii="inherit" w:hAnsi="inherit"/>
          <w:b/>
          <w:sz w:val="17"/>
        </w:rPr>
      </w:pPr>
      <w:bookmarkStart w:id="5" w:name="sA3EFCFC68B9B5CD591FCB72546BB9042"/>
      <w:bookmarkEnd w:id="5"/>
      <w:r>
        <w:rPr>
          <w:rFonts w:ascii="inherit" w:hAnsi="inherit"/>
          <w:b/>
          <w:sz w:val="17"/>
        </w:rPr>
        <w:t>Item 1. CONSOLIDATED FINANCIAL STATEMENTS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6" w:name="s2FC2BADD20265046904103128AC1A27E"/>
      <w:bookmarkEnd w:id="6"/>
      <w:r>
        <w:rPr>
          <w:rFonts w:ascii="inherit" w:hAnsi="inherit"/>
          <w:b/>
          <w:sz w:val="17"/>
        </w:rPr>
        <w:t>CALADRIUS BIOSCIENCES, INC. AND SUBSIDIARIES</w:t>
      </w:r>
    </w:p>
    <w:p>
      <w:pPr>
        <w:pStyle w:val="TextBody"/>
        <w:spacing w:lineRule="auto" w:line="288" w:before="0" w:after="0"/>
        <w:jc w:val="center"/>
        <w:rPr>
          <w:rFonts w:ascii="inherit" w:hAnsi="inherit"/>
          <w:b/>
          <w:sz w:val="17"/>
        </w:rPr>
      </w:pPr>
      <w:r>
        <w:rPr>
          <w:rFonts w:ascii="inherit" w:hAnsi="inherit"/>
          <w:b/>
          <w:sz w:val="17"/>
        </w:rPr>
        <w:t>CONSOLIDATED BALANCE SHEETS</w:t>
      </w:r>
    </w:p>
    <w:p>
      <w:pPr>
        <w:pStyle w:val="TextBody"/>
        <w:spacing w:lineRule="auto" w:line="288" w:before="0" w:after="0"/>
        <w:jc w:val="center"/>
        <w:rPr>
          <w:rFonts w:ascii="inherit" w:hAnsi="inherit"/>
          <w:sz w:val="15"/>
        </w:rPr>
      </w:pPr>
      <w:r>
        <w:rPr>
          <w:rFonts w:ascii="inherit" w:hAnsi="inherit"/>
          <w:sz w:val="15"/>
        </w:rPr>
        <w:t>(In thousands, except share data)</w:t>
      </w:r>
    </w:p>
    <w:tbl>
      <w:tblPr>
        <w:tblW w:w="10205" w:type="dxa"/>
        <w:jc w:val="left"/>
        <w:tblInd w:w="0" w:type="dxa"/>
        <w:tblCellMar>
          <w:top w:w="0" w:type="dxa"/>
          <w:left w:w="0" w:type="dxa"/>
          <w:bottom w:w="0" w:type="dxa"/>
          <w:right w:w="0" w:type="dxa"/>
        </w:tblCellMar>
      </w:tblPr>
      <w:tblGrid>
        <w:gridCol w:w="7786"/>
        <w:gridCol w:w="151"/>
        <w:gridCol w:w="716"/>
        <w:gridCol w:w="156"/>
        <w:gridCol w:w="90"/>
        <w:gridCol w:w="117"/>
        <w:gridCol w:w="548"/>
        <w:gridCol w:w="64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7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86" w:type="dxa"/>
            <w:tcBorders/>
            <w:shd w:fill="auto" w:val="clear"/>
            <w:vAlign w:val="center"/>
          </w:tcPr>
          <w:p>
            <w:pPr>
              <w:pStyle w:val="TableContents"/>
              <w:spacing w:before="0" w:after="0"/>
              <w:ind w:left="0" w:right="0" w:firstLine="30"/>
              <w:rPr/>
            </w:pPr>
            <w:r>
              <w:rPr/>
              <w:t> </w:t>
            </w:r>
          </w:p>
        </w:tc>
        <w:tc>
          <w:tcPr>
            <w:tcW w:w="102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30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December 31, </w:t>
              <w:br/>
              <w:t>2018</w:t>
            </w:r>
          </w:p>
        </w:tc>
      </w:tr>
      <w:tr>
        <w:trPr/>
        <w:tc>
          <w:tcPr>
            <w:tcW w:w="778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ASSETS</w:t>
            </w:r>
          </w:p>
        </w:tc>
        <w:tc>
          <w:tcPr>
            <w:tcW w:w="1023" w:type="dxa"/>
            <w:gridSpan w:val="3"/>
            <w:tcBorders/>
            <w:shd w:fill="CCEEFF" w:val="clear"/>
            <w:vAlign w:val="center"/>
          </w:tcPr>
          <w:p>
            <w:pPr>
              <w:pStyle w:val="TableContents"/>
              <w:spacing w:before="0" w:after="0"/>
              <w:ind w:left="0" w:right="0" w:firstLine="30"/>
              <w:jc w:val="center"/>
              <w:rPr>
                <w:rFonts w:ascii="inherit" w:hAnsi="inherit"/>
                <w:b/>
                <w:sz w:val="15"/>
              </w:rPr>
            </w:pPr>
            <w:r>
              <w:rPr>
                <w:rFonts w:ascii="inherit" w:hAnsi="inherit"/>
                <w:b/>
                <w:sz w:val="15"/>
              </w:rPr>
              <w:t>(Unaudited)</w:t>
            </w:r>
          </w:p>
        </w:tc>
        <w:tc>
          <w:tcPr>
            <w:tcW w:w="90" w:type="dxa"/>
            <w:tcBorders/>
            <w:shd w:fill="CCEEFF" w:val="clear"/>
            <w:vAlign w:val="center"/>
          </w:tcPr>
          <w:p>
            <w:pPr>
              <w:pStyle w:val="TableContents"/>
              <w:spacing w:before="0" w:after="0"/>
              <w:ind w:left="0" w:right="0" w:firstLine="30"/>
              <w:rPr/>
            </w:pPr>
            <w:r>
              <w:rPr/>
              <w:t> </w:t>
            </w:r>
          </w:p>
        </w:tc>
        <w:tc>
          <w:tcPr>
            <w:tcW w:w="1306" w:type="dxa"/>
            <w:gridSpan w:val="3"/>
            <w:tcBorders>
              <w:top w:val="single" w:sz="2" w:space="0" w:color="000000"/>
            </w:tcBorders>
            <w:shd w:fill="CCEEFF" w:val="clear"/>
            <w:tcMar>
              <w:top w:w="30" w:type="dxa"/>
            </w:tcMar>
            <w:vAlign w:val="center"/>
          </w:tcPr>
          <w:p>
            <w:pPr>
              <w:pStyle w:val="TableContents"/>
              <w:spacing w:before="0" w:after="0"/>
              <w:ind w:left="0" w:right="0" w:firstLine="300"/>
              <w:rPr/>
            </w:pPr>
            <w:r>
              <w:rPr/>
              <w:t> </w:t>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5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11,754</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48" w:type="dxa"/>
            <w:tcBorders/>
            <w:shd w:fill="auto" w:val="clear"/>
            <w:vAlign w:val="center"/>
          </w:tcPr>
          <w:p>
            <w:pPr>
              <w:pStyle w:val="TableContents"/>
              <w:spacing w:before="0" w:after="0"/>
              <w:jc w:val="right"/>
              <w:rPr>
                <w:rFonts w:ascii="inherit" w:hAnsi="inherit"/>
                <w:sz w:val="15"/>
              </w:rPr>
            </w:pPr>
            <w:r>
              <w:rPr>
                <w:rFonts w:ascii="inherit" w:hAnsi="inherit"/>
                <w:sz w:val="15"/>
              </w:rPr>
              <w:t>10,299</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Marketable securities</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21,901</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32,754</w:t>
            </w:r>
          </w:p>
        </w:tc>
        <w:tc>
          <w:tcPr>
            <w:tcW w:w="64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and other current assets</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1,163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1,053</w:t>
            </w:r>
          </w:p>
        </w:tc>
        <w:tc>
          <w:tcPr>
            <w:tcW w:w="641"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86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34,818</w:t>
            </w:r>
          </w:p>
        </w:tc>
        <w:tc>
          <w:tcPr>
            <w:tcW w:w="15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44,106</w:t>
            </w:r>
          </w:p>
        </w:tc>
        <w:tc>
          <w:tcPr>
            <w:tcW w:w="641" w:type="dxa"/>
            <w:tcBorders>
              <w:top w:val="single" w:sz="2" w:space="0" w:color="000000"/>
            </w:tcBorders>
            <w:shd w:fill="CCEEFF"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165</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assets</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1,402</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309</w:t>
            </w:r>
          </w:p>
        </w:tc>
        <w:tc>
          <w:tcPr>
            <w:tcW w:w="641"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36,350</w:t>
            </w:r>
          </w:p>
        </w:tc>
        <w:tc>
          <w:tcPr>
            <w:tcW w:w="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4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44,580</w:t>
            </w:r>
          </w:p>
        </w:tc>
        <w:tc>
          <w:tcPr>
            <w:tcW w:w="6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rPr/>
            </w:pPr>
            <w:r>
              <w:rPr/>
              <w:t> </w:t>
            </w:r>
          </w:p>
        </w:tc>
        <w:tc>
          <w:tcPr>
            <w:tcW w:w="102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06" w:type="dxa"/>
            <w:gridSpan w:val="3"/>
            <w:tcBorders/>
            <w:shd w:fill="CCEEFF" w:val="clear"/>
            <w:vAlign w:val="center"/>
          </w:tcPr>
          <w:p>
            <w:pPr>
              <w:pStyle w:val="TableContents"/>
              <w:spacing w:before="0" w:after="0"/>
              <w:ind w:left="0" w:right="0" w:firstLine="30"/>
              <w:rPr/>
            </w:pPr>
            <w:r>
              <w:rPr/>
              <w:t> </w:t>
            </w:r>
          </w:p>
        </w:tc>
      </w:tr>
      <w:tr>
        <w:trPr/>
        <w:tc>
          <w:tcPr>
            <w:tcW w:w="7786"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LIABILITIES AND STOCKHOLDERS' EQUITY</w:t>
            </w:r>
          </w:p>
        </w:tc>
        <w:tc>
          <w:tcPr>
            <w:tcW w:w="867" w:type="dxa"/>
            <w:gridSpan w:val="2"/>
            <w:tcBorders/>
            <w:shd w:fill="auto" w:val="clear"/>
            <w:vAlign w:val="center"/>
          </w:tcPr>
          <w:p>
            <w:pPr>
              <w:pStyle w:val="TableContents"/>
              <w:spacing w:before="0" w:after="0"/>
              <w:jc w:val="right"/>
              <w:rPr/>
            </w:pPr>
            <w:r>
              <w:rPr/>
              <w:t> </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pPr>
            <w:r>
              <w:rPr/>
              <w:t> </w:t>
            </w:r>
          </w:p>
        </w:tc>
        <w:tc>
          <w:tcPr>
            <w:tcW w:w="6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Liabilities</w:t>
            </w:r>
          </w:p>
        </w:tc>
        <w:tc>
          <w:tcPr>
            <w:tcW w:w="867" w:type="dxa"/>
            <w:gridSpan w:val="2"/>
            <w:tcBorders/>
            <w:shd w:fill="CCEEFF" w:val="clear"/>
            <w:vAlign w:val="center"/>
          </w:tcPr>
          <w:p>
            <w:pPr>
              <w:pStyle w:val="TableContents"/>
              <w:spacing w:before="0" w:after="0"/>
              <w:jc w:val="right"/>
              <w:rPr/>
            </w:pPr>
            <w:r>
              <w:rPr/>
              <w:t> </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pPr>
            <w:r>
              <w:rPr/>
              <w:t> </w:t>
            </w:r>
          </w:p>
        </w:tc>
        <w:tc>
          <w:tcPr>
            <w:tcW w:w="64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w:t>
            </w:r>
          </w:p>
        </w:tc>
        <w:tc>
          <w:tcPr>
            <w:tcW w:w="15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559</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48" w:type="dxa"/>
            <w:tcBorders/>
            <w:shd w:fill="auto" w:val="clear"/>
            <w:vAlign w:val="center"/>
          </w:tcPr>
          <w:p>
            <w:pPr>
              <w:pStyle w:val="TableContents"/>
              <w:spacing w:before="0" w:after="0"/>
              <w:jc w:val="right"/>
              <w:rPr>
                <w:rFonts w:ascii="inherit" w:hAnsi="inherit"/>
                <w:sz w:val="15"/>
              </w:rPr>
            </w:pPr>
            <w:r>
              <w:rPr>
                <w:rFonts w:ascii="inherit" w:hAnsi="inherit"/>
                <w:sz w:val="15"/>
              </w:rPr>
              <w:t>762</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Accrued liabilities</w:t>
            </w:r>
          </w:p>
        </w:tc>
        <w:tc>
          <w:tcPr>
            <w:tcW w:w="86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5,153</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4,857</w:t>
            </w:r>
          </w:p>
        </w:tc>
        <w:tc>
          <w:tcPr>
            <w:tcW w:w="641"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5,712</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5,619</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long-term liabilities</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1,016</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1,507</w:t>
            </w:r>
          </w:p>
        </w:tc>
        <w:tc>
          <w:tcPr>
            <w:tcW w:w="641"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5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6,728</w:t>
            </w:r>
          </w:p>
        </w:tc>
        <w:tc>
          <w:tcPr>
            <w:tcW w:w="15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4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7,126</w:t>
            </w:r>
          </w:p>
        </w:tc>
        <w:tc>
          <w:tcPr>
            <w:tcW w:w="6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Commitments and Contingencies</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r>
          </w:p>
        </w:tc>
        <w:tc>
          <w:tcPr>
            <w:tcW w:w="6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rPr/>
            </w:pPr>
            <w:r>
              <w:rPr/>
              <w:t> </w:t>
            </w:r>
          </w:p>
        </w:tc>
        <w:tc>
          <w:tcPr>
            <w:tcW w:w="102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6" w:type="dxa"/>
            <w:gridSpan w:val="3"/>
            <w:tcBorders/>
            <w:shd w:fill="auto" w:val="clear"/>
            <w:vAlign w:val="center"/>
          </w:tcPr>
          <w:p>
            <w:pPr>
              <w:pStyle w:val="TableContents"/>
              <w:spacing w:before="0" w:after="0"/>
              <w:ind w:left="0" w:right="0" w:firstLine="30"/>
              <w:rPr/>
            </w:pPr>
            <w:r>
              <w:rPr/>
              <w:t> </w:t>
            </w:r>
          </w:p>
        </w:tc>
      </w:tr>
      <w:tr>
        <w:trPr/>
        <w:tc>
          <w:tcPr>
            <w:tcW w:w="778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Stockholders' Equity</w:t>
            </w:r>
          </w:p>
        </w:tc>
        <w:tc>
          <w:tcPr>
            <w:tcW w:w="102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pPr>
            <w:r>
              <w:rPr/>
              <w:t> </w:t>
            </w:r>
          </w:p>
        </w:tc>
        <w:tc>
          <w:tcPr>
            <w:tcW w:w="6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hanging="450"/>
              <w:rPr>
                <w:rFonts w:ascii="inherit" w:hAnsi="inherit"/>
                <w:sz w:val="15"/>
              </w:rPr>
            </w:pPr>
            <w:r>
              <w:rPr>
                <w:rFonts w:ascii="inherit" w:hAnsi="inherit"/>
                <w:sz w:val="15"/>
              </w:rPr>
              <w:t>Preferred stock, authorized, 20,000,000 shares</w:t>
            </w:r>
          </w:p>
          <w:p>
            <w:pPr>
              <w:pStyle w:val="TableContents"/>
              <w:spacing w:before="0" w:after="0"/>
              <w:ind w:left="0" w:right="0" w:firstLine="30"/>
              <w:rPr>
                <w:rFonts w:ascii="inherit" w:hAnsi="inherit"/>
                <w:sz w:val="15"/>
              </w:rPr>
            </w:pPr>
            <w:r>
              <w:rPr>
                <w:rFonts w:ascii="inherit" w:hAnsi="inherit"/>
                <w:sz w:val="15"/>
              </w:rPr>
              <w:t>Series B convertible redeemable preferred stock liquidation value, 0.001 share of common stock, $0.01 par value; 825,000 shares designated; issued and outstanding, 10,000 shares at June 30, 2019 and December 31, 2018, respectively</w:t>
            </w:r>
          </w:p>
        </w:tc>
        <w:tc>
          <w:tcPr>
            <w:tcW w:w="867" w:type="dxa"/>
            <w:gridSpan w:val="2"/>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pPr>
            <w:r>
              <w:rPr/>
              <w:t>—</w:t>
            </w:r>
          </w:p>
        </w:tc>
        <w:tc>
          <w:tcPr>
            <w:tcW w:w="6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Common stock, $0.001 par value, authorized 500,000,000 shares; issued and outstanding, 10,412,750 and 9,865,735 shares at June 30, 2019 and December 31, 2018, respectively</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w:t>
            </w:r>
          </w:p>
        </w:tc>
        <w:tc>
          <w:tcPr>
            <w:tcW w:w="641"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438,133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436,433</w:t>
            </w:r>
          </w:p>
        </w:tc>
        <w:tc>
          <w:tcPr>
            <w:tcW w:w="64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Treasury stock, at cost; 11,080 shares at June 30, 2019 and December 31, 2018</w:t>
            </w:r>
          </w:p>
        </w:tc>
        <w:tc>
          <w:tcPr>
            <w:tcW w:w="86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(708</w:t>
            </w:r>
          </w:p>
        </w:tc>
        <w:tc>
          <w:tcPr>
            <w:tcW w:w="15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(708</w:t>
            </w:r>
          </w:p>
        </w:tc>
        <w:tc>
          <w:tcPr>
            <w:tcW w:w="641"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deficit</w:t>
            </w:r>
          </w:p>
        </w:tc>
        <w:tc>
          <w:tcPr>
            <w:tcW w:w="86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(407,546</w:t>
            </w:r>
          </w:p>
        </w:tc>
        <w:tc>
          <w:tcPr>
            <w:tcW w:w="15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(397,977</w:t>
            </w:r>
          </w:p>
        </w:tc>
        <w:tc>
          <w:tcPr>
            <w:tcW w:w="641"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loss</w:t>
            </w:r>
          </w:p>
        </w:tc>
        <w:tc>
          <w:tcPr>
            <w:tcW w:w="867"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w:t>
            </w:r>
          </w:p>
        </w:tc>
        <w:tc>
          <w:tcPr>
            <w:tcW w:w="641"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7786"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Total Caladrius Biosciences, Inc. stockholders' equity</w:t>
            </w:r>
          </w:p>
        </w:tc>
        <w:tc>
          <w:tcPr>
            <w:tcW w:w="86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29,889</w:t>
            </w:r>
          </w:p>
        </w:tc>
        <w:tc>
          <w:tcPr>
            <w:tcW w:w="15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37,726</w:t>
            </w:r>
          </w:p>
        </w:tc>
        <w:tc>
          <w:tcPr>
            <w:tcW w:w="6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Noncontrolling interests</w:t>
            </w:r>
          </w:p>
        </w:tc>
        <w:tc>
          <w:tcPr>
            <w:tcW w:w="86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(267</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66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(272</w:t>
            </w:r>
          </w:p>
        </w:tc>
        <w:tc>
          <w:tcPr>
            <w:tcW w:w="641" w:type="dxa"/>
            <w:tcBorders>
              <w:bottom w:val="single" w:sz="2" w:space="0" w:color="000000"/>
            </w:tcBorders>
            <w:shd w:fill="CCEEFF" w:val="clear"/>
            <w:tcMar>
              <w:bottom w:w="30" w:type="dxa"/>
            </w:tcM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778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stockholders' equity</w:t>
            </w:r>
          </w:p>
        </w:tc>
        <w:tc>
          <w:tcPr>
            <w:tcW w:w="86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29,622</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37,454</w:t>
            </w:r>
          </w:p>
        </w:tc>
        <w:tc>
          <w:tcPr>
            <w:tcW w:w="64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78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36,350</w:t>
            </w:r>
          </w:p>
        </w:tc>
        <w:tc>
          <w:tcPr>
            <w:tcW w:w="15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44,580</w:t>
            </w:r>
          </w:p>
        </w:tc>
        <w:tc>
          <w:tcPr>
            <w:tcW w:w="6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DB36EF7CC0CF5E428CD637007BC76C1A">
        <w:bookmarkStart w:id="7" w:name="sA8CE17A0D5855F8BB1F7BE8B7251F1BA"/>
        <w:bookmarkEnd w:id="7"/>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CALADRIUS BIOSCIENCES, INC. AND SUBSIDIARIES</w:t>
      </w:r>
    </w:p>
    <w:p>
      <w:pPr>
        <w:pStyle w:val="TextBody"/>
        <w:spacing w:lineRule="auto" w:line="288" w:before="0" w:after="0"/>
        <w:jc w:val="center"/>
        <w:rPr>
          <w:rFonts w:ascii="inherit" w:hAnsi="inherit"/>
          <w:b/>
          <w:sz w:val="17"/>
        </w:rPr>
      </w:pPr>
      <w:r>
        <w:rPr>
          <w:rFonts w:ascii="inherit" w:hAnsi="inherit"/>
          <w:b/>
          <w:sz w:val="17"/>
        </w:rPr>
        <w:t>CONSOLIDATED STATEMENTS OF OPERATIONS</w:t>
      </w:r>
    </w:p>
    <w:p>
      <w:pPr>
        <w:pStyle w:val="TextBody"/>
        <w:spacing w:lineRule="auto" w:line="288" w:before="0" w:after="0"/>
        <w:jc w:val="center"/>
        <w:rPr/>
      </w:pPr>
      <w:r>
        <w:rPr/>
        <w:t> </w:t>
      </w:r>
      <w:r>
        <w:rPr>
          <w:rFonts w:ascii="inherit" w:hAnsi="inherit"/>
          <w:b/>
          <w:sz w:val="17"/>
        </w:rPr>
        <w:t>(Unaudited)</w:t>
      </w:r>
    </w:p>
    <w:p>
      <w:pPr>
        <w:pStyle w:val="TextBody"/>
        <w:spacing w:lineRule="auto" w:line="288" w:before="0" w:after="0"/>
        <w:jc w:val="center"/>
        <w:rPr>
          <w:rFonts w:ascii="inherit" w:hAnsi="inherit"/>
          <w:sz w:val="15"/>
        </w:rPr>
      </w:pPr>
      <w:r>
        <w:rPr>
          <w:rFonts w:ascii="inherit" w:hAnsi="inherit"/>
          <w:sz w:val="15"/>
        </w:rPr>
        <w:t>(In thousands, except per share data)</w:t>
      </w:r>
    </w:p>
    <w:tbl>
      <w:tblPr>
        <w:tblW w:w="10205" w:type="dxa"/>
        <w:jc w:val="center"/>
        <w:tblInd w:w="0" w:type="dxa"/>
        <w:tblCellMar>
          <w:top w:w="0" w:type="dxa"/>
          <w:left w:w="0" w:type="dxa"/>
          <w:bottom w:w="0" w:type="dxa"/>
          <w:right w:w="0" w:type="dxa"/>
        </w:tblCellMar>
      </w:tblPr>
      <w:tblGrid>
        <w:gridCol w:w="5336"/>
        <w:gridCol w:w="183"/>
        <w:gridCol w:w="810"/>
        <w:gridCol w:w="183"/>
        <w:gridCol w:w="150"/>
        <w:gridCol w:w="183"/>
        <w:gridCol w:w="810"/>
        <w:gridCol w:w="183"/>
        <w:gridCol w:w="90"/>
        <w:gridCol w:w="139"/>
        <w:gridCol w:w="617"/>
        <w:gridCol w:w="139"/>
        <w:gridCol w:w="114"/>
        <w:gridCol w:w="139"/>
        <w:gridCol w:w="617"/>
        <w:gridCol w:w="51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33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36" w:type="dxa"/>
            <w:tcBorders/>
            <w:shd w:fill="auto" w:val="clear"/>
            <w:vAlign w:val="center"/>
          </w:tcPr>
          <w:p>
            <w:pPr>
              <w:pStyle w:val="TableContents"/>
              <w:spacing w:before="0" w:after="0"/>
              <w:ind w:left="0" w:right="0" w:firstLine="30"/>
              <w:jc w:val="left"/>
              <w:rPr/>
            </w:pPr>
            <w:r>
              <w:rPr/>
              <w:t> </w:t>
            </w:r>
          </w:p>
        </w:tc>
        <w:tc>
          <w:tcPr>
            <w:tcW w:w="250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27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w:t>
            </w:r>
          </w:p>
        </w:tc>
      </w:tr>
      <w:tr>
        <w:trPr/>
        <w:tc>
          <w:tcPr>
            <w:tcW w:w="5336" w:type="dxa"/>
            <w:tcBorders/>
            <w:shd w:fill="auto" w:val="clear"/>
            <w:vAlign w:val="center"/>
          </w:tcPr>
          <w:p>
            <w:pPr>
              <w:pStyle w:val="TableContents"/>
              <w:spacing w:before="0" w:after="0"/>
              <w:ind w:left="0" w:right="0" w:firstLine="30"/>
              <w:jc w:val="left"/>
              <w:rPr/>
            </w:pPr>
            <w:r>
              <w:rPr/>
              <w:t> </w:t>
            </w:r>
          </w:p>
        </w:tc>
        <w:tc>
          <w:tcPr>
            <w:tcW w:w="11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50" w:type="dxa"/>
            <w:tcBorders/>
            <w:shd w:fill="auto" w:val="clear"/>
            <w:vAlign w:val="center"/>
          </w:tcPr>
          <w:p>
            <w:pPr>
              <w:pStyle w:val="TableContents"/>
              <w:spacing w:before="0" w:after="0"/>
              <w:ind w:left="0" w:right="0" w:firstLine="30"/>
              <w:rPr/>
            </w:pPr>
            <w:r>
              <w:rPr/>
              <w:t> </w:t>
            </w:r>
          </w:p>
        </w:tc>
        <w:tc>
          <w:tcPr>
            <w:tcW w:w="11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14" w:type="dxa"/>
            <w:tcBorders/>
            <w:shd w:fill="auto" w:val="clear"/>
            <w:vAlign w:val="center"/>
          </w:tcPr>
          <w:p>
            <w:pPr>
              <w:pStyle w:val="TableContents"/>
              <w:spacing w:before="0" w:after="0"/>
              <w:ind w:left="0" w:right="0" w:firstLine="30"/>
              <w:rPr/>
            </w:pPr>
            <w:r>
              <w:rPr/>
              <w:t> </w:t>
            </w:r>
          </w:p>
        </w:tc>
        <w:tc>
          <w:tcPr>
            <w:tcW w:w="126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r>
      <w:tr>
        <w:trPr/>
        <w:tc>
          <w:tcPr>
            <w:tcW w:w="533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Operating Expenses:</w:t>
            </w:r>
          </w:p>
        </w:tc>
        <w:tc>
          <w:tcPr>
            <w:tcW w:w="1176"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1176"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95"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268"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Research and development</w:t>
            </w:r>
          </w:p>
        </w:tc>
        <w:tc>
          <w:tcPr>
            <w:tcW w:w="18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shd w:fill="auto" w:val="clear"/>
            <w:vAlign w:val="center"/>
          </w:tcPr>
          <w:p>
            <w:pPr>
              <w:pStyle w:val="TableContents"/>
              <w:spacing w:before="0" w:after="0"/>
              <w:jc w:val="right"/>
              <w:rPr>
                <w:rFonts w:ascii="inherit" w:hAnsi="inherit"/>
                <w:sz w:val="15"/>
              </w:rPr>
            </w:pPr>
            <w:r>
              <w:rPr>
                <w:rFonts w:ascii="inherit" w:hAnsi="inherit"/>
                <w:sz w:val="15"/>
              </w:rPr>
              <w:t>2,988</w:t>
            </w:r>
          </w:p>
        </w:tc>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shd w:fill="auto" w:val="clear"/>
            <w:vAlign w:val="center"/>
          </w:tcPr>
          <w:p>
            <w:pPr>
              <w:pStyle w:val="TableContents"/>
              <w:spacing w:before="0" w:after="0"/>
              <w:jc w:val="right"/>
              <w:rPr>
                <w:rFonts w:ascii="inherit" w:hAnsi="inherit"/>
                <w:sz w:val="15"/>
              </w:rPr>
            </w:pPr>
            <w:r>
              <w:rPr>
                <w:rFonts w:ascii="inherit" w:hAnsi="inherit"/>
                <w:sz w:val="15"/>
              </w:rPr>
              <w:t>2,123</w:t>
            </w:r>
          </w:p>
        </w:tc>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shd w:fill="auto" w:val="clear"/>
            <w:vAlign w:val="center"/>
          </w:tcPr>
          <w:p>
            <w:pPr>
              <w:pStyle w:val="TableContents"/>
              <w:spacing w:before="0" w:after="0"/>
              <w:jc w:val="right"/>
              <w:rPr>
                <w:rFonts w:ascii="inherit" w:hAnsi="inherit"/>
                <w:sz w:val="15"/>
              </w:rPr>
            </w:pPr>
            <w:r>
              <w:rPr>
                <w:rFonts w:ascii="inherit" w:hAnsi="inherit"/>
                <w:sz w:val="15"/>
              </w:rPr>
              <w:t>5,026</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shd w:fill="auto" w:val="clear"/>
            <w:vAlign w:val="center"/>
          </w:tcPr>
          <w:p>
            <w:pPr>
              <w:pStyle w:val="TableContents"/>
              <w:spacing w:before="0" w:after="0"/>
              <w:jc w:val="right"/>
              <w:rPr>
                <w:rFonts w:ascii="inherit" w:hAnsi="inherit"/>
                <w:sz w:val="15"/>
              </w:rPr>
            </w:pPr>
            <w:r>
              <w:rPr>
                <w:rFonts w:ascii="inherit" w:hAnsi="inherit"/>
                <w:sz w:val="15"/>
              </w:rPr>
              <w:t>4,385</w:t>
            </w:r>
          </w:p>
        </w:tc>
        <w:tc>
          <w:tcPr>
            <w:tcW w:w="5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General and administrative</w:t>
            </w:r>
          </w:p>
        </w:tc>
        <w:tc>
          <w:tcPr>
            <w:tcW w:w="9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2,358</w:t>
            </w:r>
          </w:p>
        </w:tc>
        <w:tc>
          <w:tcPr>
            <w:tcW w:w="1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9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2,146</w:t>
            </w:r>
          </w:p>
        </w:tc>
        <w:tc>
          <w:tcPr>
            <w:tcW w:w="1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4,912</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5,043</w:t>
            </w:r>
          </w:p>
        </w:tc>
        <w:tc>
          <w:tcPr>
            <w:tcW w:w="512"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operating expenses</w:t>
            </w:r>
          </w:p>
        </w:tc>
        <w:tc>
          <w:tcPr>
            <w:tcW w:w="99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5,346</w:t>
            </w:r>
          </w:p>
        </w:tc>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4,269</w:t>
            </w:r>
          </w:p>
        </w:tc>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9,938</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9,428</w:t>
            </w:r>
          </w:p>
        </w:tc>
        <w:tc>
          <w:tcPr>
            <w:tcW w:w="5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36"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95"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0"/>
              <w:rPr/>
            </w:pPr>
            <w:r>
              <w:rPr/>
              <w:t> </w:t>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Operating loss</w:t>
            </w:r>
          </w:p>
        </w:tc>
        <w:tc>
          <w:tcPr>
            <w:tcW w:w="99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(5,346</w:t>
            </w:r>
          </w:p>
        </w:tc>
        <w:tc>
          <w:tcPr>
            <w:tcW w:w="18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5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(4,269</w:t>
            </w:r>
          </w:p>
        </w:tc>
        <w:tc>
          <w:tcPr>
            <w:tcW w:w="18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(9,938</w:t>
            </w:r>
          </w:p>
        </w:tc>
        <w:tc>
          <w:tcPr>
            <w:tcW w:w="13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(9,428</w:t>
            </w:r>
          </w:p>
        </w:tc>
        <w:tc>
          <w:tcPr>
            <w:tcW w:w="51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336"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95"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w:t>
            </w:r>
          </w:p>
        </w:tc>
        <w:tc>
          <w:tcPr>
            <w:tcW w:w="1176"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0"/>
              <w:rPr/>
            </w:pPr>
            <w:r>
              <w:rPr/>
              <w:t> </w:t>
            </w:r>
          </w:p>
        </w:tc>
      </w:tr>
      <w:tr>
        <w:trPr/>
        <w:tc>
          <w:tcPr>
            <w:tcW w:w="53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 income, net</w:t>
            </w:r>
          </w:p>
        </w:tc>
        <w:tc>
          <w:tcPr>
            <w:tcW w:w="99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209</w:t>
            </w:r>
          </w:p>
        </w:tc>
        <w:tc>
          <w:tcPr>
            <w:tcW w:w="1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993"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194</w:t>
            </w:r>
          </w:p>
        </w:tc>
        <w:tc>
          <w:tcPr>
            <w:tcW w:w="1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436</w:t>
            </w:r>
          </w:p>
        </w:tc>
        <w:tc>
          <w:tcPr>
            <w:tcW w:w="1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75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371</w:t>
            </w:r>
          </w:p>
        </w:tc>
        <w:tc>
          <w:tcPr>
            <w:tcW w:w="512"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w:t>
            </w:r>
          </w:p>
        </w:tc>
        <w:tc>
          <w:tcPr>
            <w:tcW w:w="99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9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w:t>
            </w:r>
          </w:p>
        </w:tc>
        <w:tc>
          <w:tcPr>
            <w:tcW w:w="18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w:t>
            </w:r>
          </w:p>
        </w:tc>
        <w:tc>
          <w:tcPr>
            <w:tcW w:w="512" w:type="dxa"/>
            <w:tcBorders>
              <w:bottom w:val="single" w:sz="2" w:space="0" w:color="000000"/>
            </w:tcBorders>
            <w:shd w:fill="auto" w:val="clear"/>
            <w:tcMar>
              <w:bottom w:w="30" w:type="dxa"/>
            </w:tcM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3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other income (expense), net</w:t>
            </w:r>
          </w:p>
        </w:tc>
        <w:tc>
          <w:tcPr>
            <w:tcW w:w="9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209</w:t>
            </w:r>
          </w:p>
        </w:tc>
        <w:tc>
          <w:tcPr>
            <w:tcW w:w="1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9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192</w:t>
            </w:r>
          </w:p>
        </w:tc>
        <w:tc>
          <w:tcPr>
            <w:tcW w:w="1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436</w:t>
            </w:r>
          </w:p>
        </w:tc>
        <w:tc>
          <w:tcPr>
            <w:tcW w:w="1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CCEEFF"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366</w:t>
            </w:r>
          </w:p>
        </w:tc>
        <w:tc>
          <w:tcPr>
            <w:tcW w:w="5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36"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
              <w:rPr/>
            </w:pPr>
            <w:r>
              <w:rPr/>
              <w:t> </w:t>
            </w:r>
          </w:p>
        </w:tc>
      </w:tr>
      <w:tr>
        <w:trPr/>
        <w:tc>
          <w:tcPr>
            <w:tcW w:w="53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loss</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(5,137</w:t>
            </w:r>
          </w:p>
        </w:tc>
        <w:tc>
          <w:tcPr>
            <w:tcW w:w="18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50" w:type="dxa"/>
            <w:tcBorders/>
            <w:shd w:fill="CCEEFF" w:val="clear"/>
            <w:vAlign w:val="center"/>
          </w:tcPr>
          <w:p>
            <w:pPr>
              <w:pStyle w:val="TableContents"/>
              <w:spacing w:before="0" w:after="0"/>
              <w:ind w:left="0" w:right="0" w:firstLine="30"/>
              <w:rPr/>
            </w:pPr>
            <w:r>
              <w:rPr/>
              <w:t> </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(4,077</w:t>
            </w:r>
          </w:p>
        </w:tc>
        <w:tc>
          <w:tcPr>
            <w:tcW w:w="18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(9,502</w:t>
            </w:r>
          </w:p>
        </w:tc>
        <w:tc>
          <w:tcPr>
            <w:tcW w:w="13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(9,062</w:t>
            </w:r>
          </w:p>
        </w:tc>
        <w:tc>
          <w:tcPr>
            <w:tcW w:w="51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Less - net income (loss) attributable to noncontrolling interests</w:t>
            </w:r>
          </w:p>
        </w:tc>
        <w:tc>
          <w:tcPr>
            <w:tcW w:w="9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1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9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18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7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51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3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loss attributable to Caladrius Biosciences, Inc. common stockholders</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(5,140</w:t>
            </w:r>
          </w:p>
        </w:tc>
        <w:tc>
          <w:tcPr>
            <w:tcW w:w="18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50" w:type="dxa"/>
            <w:tcBorders/>
            <w:shd w:fill="CCEEFF" w:val="clear"/>
            <w:vAlign w:val="center"/>
          </w:tcPr>
          <w:p>
            <w:pPr>
              <w:pStyle w:val="TableContents"/>
              <w:spacing w:before="0" w:after="0"/>
              <w:ind w:left="0" w:right="0" w:firstLine="30"/>
              <w:rPr/>
            </w:pPr>
            <w:r>
              <w:rPr/>
              <w:t> </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(4,076</w:t>
            </w:r>
          </w:p>
        </w:tc>
        <w:tc>
          <w:tcPr>
            <w:tcW w:w="18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(9,507</w:t>
            </w:r>
          </w:p>
        </w:tc>
        <w:tc>
          <w:tcPr>
            <w:tcW w:w="13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(9,059</w:t>
            </w:r>
          </w:p>
        </w:tc>
        <w:tc>
          <w:tcPr>
            <w:tcW w:w="51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336"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
              <w:rPr/>
            </w:pPr>
            <w:r>
              <w:rPr/>
              <w:t> </w:t>
            </w:r>
          </w:p>
        </w:tc>
      </w:tr>
      <w:tr>
        <w:trPr/>
        <w:tc>
          <w:tcPr>
            <w:tcW w:w="5336"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95"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r>
      <w:tr>
        <w:trPr/>
        <w:tc>
          <w:tcPr>
            <w:tcW w:w="5336"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Basic and diluted loss per share</w:t>
            </w:r>
          </w:p>
        </w:tc>
        <w:tc>
          <w:tcPr>
            <w:tcW w:w="1176"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
              <w:rPr/>
            </w:pPr>
            <w:r>
              <w:rPr/>
              <w:t> </w:t>
            </w:r>
          </w:p>
        </w:tc>
      </w:tr>
      <w:tr>
        <w:trPr/>
        <w:tc>
          <w:tcPr>
            <w:tcW w:w="533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Caladrius Biosciences, Inc. common stockholders</w:t>
            </w:r>
          </w:p>
        </w:tc>
        <w:tc>
          <w:tcPr>
            <w:tcW w:w="18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shd w:fill="CCEEFF" w:val="clear"/>
            <w:vAlign w:val="center"/>
          </w:tcPr>
          <w:p>
            <w:pPr>
              <w:pStyle w:val="TableContents"/>
              <w:spacing w:before="0" w:after="0"/>
              <w:jc w:val="right"/>
              <w:rPr>
                <w:rFonts w:ascii="inherit" w:hAnsi="inherit"/>
                <w:sz w:val="15"/>
              </w:rPr>
            </w:pPr>
            <w:r>
              <w:rPr>
                <w:rFonts w:ascii="inherit" w:hAnsi="inherit"/>
                <w:sz w:val="15"/>
              </w:rPr>
              <w:t>(0.49</w:t>
            </w:r>
          </w:p>
        </w:tc>
        <w:tc>
          <w:tcPr>
            <w:tcW w:w="18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50" w:type="dxa"/>
            <w:tcBorders/>
            <w:shd w:fill="CCEEFF" w:val="clear"/>
            <w:vAlign w:val="center"/>
          </w:tcPr>
          <w:p>
            <w:pPr>
              <w:pStyle w:val="TableContents"/>
              <w:spacing w:before="0" w:after="0"/>
              <w:ind w:left="0" w:right="0" w:firstLine="30"/>
              <w:rPr/>
            </w:pPr>
            <w:r>
              <w:rPr/>
              <w:t> </w:t>
            </w:r>
          </w:p>
        </w:tc>
        <w:tc>
          <w:tcPr>
            <w:tcW w:w="18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10" w:type="dxa"/>
            <w:tcBorders/>
            <w:shd w:fill="CCEEFF" w:val="clear"/>
            <w:vAlign w:val="center"/>
          </w:tcPr>
          <w:p>
            <w:pPr>
              <w:pStyle w:val="TableContents"/>
              <w:spacing w:before="0" w:after="0"/>
              <w:jc w:val="right"/>
              <w:rPr>
                <w:rFonts w:ascii="inherit" w:hAnsi="inherit"/>
                <w:sz w:val="15"/>
              </w:rPr>
            </w:pPr>
            <w:r>
              <w:rPr>
                <w:rFonts w:ascii="inherit" w:hAnsi="inherit"/>
                <w:sz w:val="15"/>
              </w:rPr>
              <w:t>(0.42</w:t>
            </w:r>
          </w:p>
        </w:tc>
        <w:tc>
          <w:tcPr>
            <w:tcW w:w="18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shd w:fill="CCEEFF" w:val="clear"/>
            <w:vAlign w:val="center"/>
          </w:tcPr>
          <w:p>
            <w:pPr>
              <w:pStyle w:val="TableContents"/>
              <w:spacing w:before="0" w:after="0"/>
              <w:jc w:val="right"/>
              <w:rPr>
                <w:rFonts w:ascii="inherit" w:hAnsi="inherit"/>
                <w:sz w:val="15"/>
              </w:rPr>
            </w:pPr>
            <w:r>
              <w:rPr>
                <w:rFonts w:ascii="inherit" w:hAnsi="inherit"/>
                <w:sz w:val="15"/>
              </w:rPr>
              <w:t>(0.93</w:t>
            </w:r>
          </w:p>
        </w:tc>
        <w:tc>
          <w:tcPr>
            <w:tcW w:w="13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4"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17" w:type="dxa"/>
            <w:tcBorders/>
            <w:shd w:fill="CCEEFF" w:val="clear"/>
            <w:vAlign w:val="center"/>
          </w:tcPr>
          <w:p>
            <w:pPr>
              <w:pStyle w:val="TableContents"/>
              <w:spacing w:before="0" w:after="0"/>
              <w:jc w:val="right"/>
              <w:rPr>
                <w:rFonts w:ascii="inherit" w:hAnsi="inherit"/>
                <w:sz w:val="15"/>
              </w:rPr>
            </w:pPr>
            <w:r>
              <w:rPr>
                <w:rFonts w:ascii="inherit" w:hAnsi="inherit"/>
                <w:sz w:val="15"/>
              </w:rPr>
              <w:t>(0.95</w:t>
            </w:r>
          </w:p>
        </w:tc>
        <w:tc>
          <w:tcPr>
            <w:tcW w:w="51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336"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117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shd w:fill="auto" w:val="clear"/>
            <w:vAlign w:val="center"/>
          </w:tcPr>
          <w:p>
            <w:pPr>
              <w:pStyle w:val="TableContents"/>
              <w:spacing w:before="0" w:after="0"/>
              <w:ind w:left="0" w:right="0" w:firstLine="30"/>
              <w:rPr/>
            </w:pPr>
            <w:r>
              <w:rPr/>
              <w:t> </w:t>
            </w:r>
          </w:p>
        </w:tc>
        <w:tc>
          <w:tcPr>
            <w:tcW w:w="114"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30"/>
              <w:rPr/>
            </w:pPr>
            <w:r>
              <w:rPr/>
              <w:t> </w:t>
            </w:r>
          </w:p>
        </w:tc>
      </w:tr>
      <w:tr>
        <w:trPr/>
        <w:tc>
          <w:tcPr>
            <w:tcW w:w="5336"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Weighted average common shares outstanding</w:t>
            </w:r>
          </w:p>
        </w:tc>
        <w:tc>
          <w:tcPr>
            <w:tcW w:w="1176"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117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95" w:type="dxa"/>
            <w:gridSpan w:val="3"/>
            <w:tcBorders/>
            <w:shd w:fill="CCEEFF" w:val="clear"/>
            <w:vAlign w:val="center"/>
          </w:tcPr>
          <w:p>
            <w:pPr>
              <w:pStyle w:val="TableContents"/>
              <w:spacing w:before="0" w:after="0"/>
              <w:ind w:left="0" w:right="0" w:firstLine="30"/>
              <w:rPr/>
            </w:pPr>
            <w:r>
              <w:rPr/>
              <w:t> </w:t>
            </w:r>
          </w:p>
        </w:tc>
        <w:tc>
          <w:tcPr>
            <w:tcW w:w="114"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30"/>
              <w:rPr/>
            </w:pPr>
            <w:r>
              <w:rPr/>
              <w:t> </w:t>
            </w:r>
          </w:p>
        </w:tc>
      </w:tr>
      <w:tr>
        <w:trPr/>
        <w:tc>
          <w:tcPr>
            <w:tcW w:w="533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and diluted shares</w:t>
            </w:r>
          </w:p>
        </w:tc>
        <w:tc>
          <w:tcPr>
            <w:tcW w:w="99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10,393</w:t>
            </w:r>
          </w:p>
        </w:tc>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993"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9,592</w:t>
            </w:r>
          </w:p>
        </w:tc>
        <w:tc>
          <w:tcPr>
            <w:tcW w:w="1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10,211</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4" w:type="dxa"/>
            <w:tcBorders/>
            <w:shd w:fill="auto" w:val="clear"/>
            <w:vAlign w:val="center"/>
          </w:tcPr>
          <w:p>
            <w:pPr>
              <w:pStyle w:val="TableContents"/>
              <w:spacing w:before="0" w:after="0"/>
              <w:ind w:left="0" w:right="0" w:firstLine="30"/>
              <w:rPr/>
            </w:pPr>
            <w:r>
              <w:rPr/>
              <w:t> </w:t>
            </w:r>
          </w:p>
        </w:tc>
        <w:tc>
          <w:tcPr>
            <w:tcW w:w="75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9,577</w:t>
            </w:r>
          </w:p>
        </w:tc>
        <w:tc>
          <w:tcPr>
            <w:tcW w:w="51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DB36EF7CC0CF5E428CD637007BC76C1A">
        <w:bookmarkStart w:id="8" w:name="s538E5C0481AF5CF68D59CE049FF175BC"/>
        <w:bookmarkEnd w:id="8"/>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CALADRIUS BIOSCIENCES, INC. AND SUBSIDIARIES</w:t>
      </w:r>
    </w:p>
    <w:p>
      <w:pPr>
        <w:pStyle w:val="TextBody"/>
        <w:spacing w:lineRule="auto" w:line="288" w:before="0" w:after="0"/>
        <w:jc w:val="center"/>
        <w:rPr>
          <w:rFonts w:ascii="inherit" w:hAnsi="inherit"/>
          <w:b/>
          <w:sz w:val="17"/>
        </w:rPr>
      </w:pPr>
      <w:r>
        <w:rPr>
          <w:rFonts w:ascii="inherit" w:hAnsi="inherit"/>
          <w:b/>
          <w:sz w:val="17"/>
        </w:rPr>
        <w:t>CONSOLIDATED STATEMENTS OF COMPREHENSIVE LOSS</w:t>
      </w:r>
    </w:p>
    <w:p>
      <w:pPr>
        <w:pStyle w:val="TextBody"/>
        <w:spacing w:lineRule="auto" w:line="288" w:before="0" w:after="0"/>
        <w:jc w:val="center"/>
        <w:rPr>
          <w:rFonts w:ascii="inherit" w:hAnsi="inherit"/>
          <w:b/>
          <w:sz w:val="17"/>
        </w:rPr>
      </w:pPr>
      <w:r>
        <w:rPr>
          <w:rFonts w:ascii="inherit" w:hAnsi="inherit"/>
          <w:b/>
          <w:sz w:val="17"/>
        </w:rPr>
        <w:t>(Unaudited) </w:t>
      </w:r>
    </w:p>
    <w:p>
      <w:pPr>
        <w:pStyle w:val="TextBody"/>
        <w:spacing w:lineRule="auto" w:line="288" w:before="0" w:after="0"/>
        <w:jc w:val="center"/>
        <w:rPr>
          <w:rFonts w:ascii="inherit" w:hAnsi="inherit"/>
          <w:sz w:val="15"/>
        </w:rPr>
      </w:pPr>
      <w:r>
        <w:rPr>
          <w:rFonts w:ascii="inherit" w:hAnsi="inherit"/>
          <w:sz w:val="15"/>
        </w:rPr>
        <w:t>(In thousands)</w:t>
      </w:r>
    </w:p>
    <w:tbl>
      <w:tblPr>
        <w:tblW w:w="10205" w:type="dxa"/>
        <w:jc w:val="center"/>
        <w:tblInd w:w="0" w:type="dxa"/>
        <w:tblCellMar>
          <w:top w:w="0" w:type="dxa"/>
          <w:left w:w="0" w:type="dxa"/>
          <w:bottom w:w="0" w:type="dxa"/>
          <w:right w:w="0" w:type="dxa"/>
        </w:tblCellMar>
      </w:tblPr>
      <w:tblGrid>
        <w:gridCol w:w="5540"/>
        <w:gridCol w:w="173"/>
        <w:gridCol w:w="766"/>
        <w:gridCol w:w="173"/>
        <w:gridCol w:w="141"/>
        <w:gridCol w:w="173"/>
        <w:gridCol w:w="766"/>
        <w:gridCol w:w="173"/>
        <w:gridCol w:w="90"/>
        <w:gridCol w:w="135"/>
        <w:gridCol w:w="599"/>
        <w:gridCol w:w="135"/>
        <w:gridCol w:w="111"/>
        <w:gridCol w:w="135"/>
        <w:gridCol w:w="599"/>
        <w:gridCol w:w="49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ind w:left="0" w:right="0" w:firstLine="300"/>
              <w:rPr>
                <w:sz w:val="4"/>
                <w:szCs w:val="4"/>
              </w:rPr>
            </w:pPr>
            <w:r>
              <w:rPr>
                <w:sz w:val="4"/>
                <w:szCs w:val="4"/>
              </w:rPr>
            </w:r>
          </w:p>
        </w:tc>
      </w:tr>
      <w:tr>
        <w:trPr/>
        <w:tc>
          <w:tcPr>
            <w:tcW w:w="5540" w:type="dxa"/>
            <w:tcBorders/>
            <w:shd w:fill="auto" w:val="clear"/>
            <w:vAlign w:val="center"/>
          </w:tcPr>
          <w:p>
            <w:pPr>
              <w:pStyle w:val="TableContents"/>
              <w:spacing w:before="0" w:after="0"/>
              <w:ind w:left="0" w:right="0" w:firstLine="30"/>
              <w:jc w:val="left"/>
              <w:rPr/>
            </w:pPr>
            <w:r>
              <w:rPr/>
              <w:t> </w:t>
            </w:r>
          </w:p>
        </w:tc>
        <w:tc>
          <w:tcPr>
            <w:tcW w:w="236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221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w:t>
            </w:r>
          </w:p>
        </w:tc>
      </w:tr>
      <w:tr>
        <w:trPr/>
        <w:tc>
          <w:tcPr>
            <w:tcW w:w="5540" w:type="dxa"/>
            <w:tcBorders/>
            <w:shd w:fill="auto" w:val="clear"/>
            <w:vAlign w:val="center"/>
          </w:tcPr>
          <w:p>
            <w:pPr>
              <w:pStyle w:val="TableContents"/>
              <w:spacing w:before="0" w:after="0"/>
              <w:ind w:left="0" w:right="0" w:firstLine="30"/>
              <w:jc w:val="left"/>
              <w:rPr/>
            </w:pPr>
            <w:r>
              <w:rPr/>
              <w:t> </w:t>
            </w:r>
          </w:p>
        </w:tc>
        <w:tc>
          <w:tcPr>
            <w:tcW w:w="111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11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c>
          <w:tcPr>
            <w:tcW w:w="90" w:type="dxa"/>
            <w:tcBorders/>
            <w:shd w:fill="auto" w:val="clear"/>
            <w:vAlign w:val="center"/>
          </w:tcPr>
          <w:p>
            <w:pPr>
              <w:pStyle w:val="TableContents"/>
              <w:spacing w:before="0" w:after="0"/>
              <w:ind w:left="0" w:right="0" w:firstLine="30"/>
              <w:rPr/>
            </w:pPr>
            <w:r>
              <w:rPr/>
              <w:t> </w:t>
            </w:r>
          </w:p>
        </w:tc>
        <w:tc>
          <w:tcPr>
            <w:tcW w:w="86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111" w:type="dxa"/>
            <w:tcBorders/>
            <w:shd w:fill="auto" w:val="clear"/>
            <w:vAlign w:val="center"/>
          </w:tcPr>
          <w:p>
            <w:pPr>
              <w:pStyle w:val="TableContents"/>
              <w:spacing w:before="0" w:after="0"/>
              <w:ind w:left="0" w:right="0" w:firstLine="30"/>
              <w:rPr/>
            </w:pPr>
            <w:r>
              <w:rPr/>
              <w:t> </w:t>
            </w:r>
          </w:p>
        </w:tc>
        <w:tc>
          <w:tcPr>
            <w:tcW w:w="12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r>
      <w:tr>
        <w:trPr/>
        <w:tc>
          <w:tcPr>
            <w:tcW w:w="5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loss</w:t>
            </w:r>
          </w:p>
        </w:tc>
        <w:tc>
          <w:tcPr>
            <w:tcW w:w="17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76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(5,137</w:t>
            </w:r>
          </w:p>
        </w:tc>
        <w:tc>
          <w:tcPr>
            <w:tcW w:w="17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4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7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76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(4,077</w:t>
            </w:r>
          </w:p>
        </w:tc>
        <w:tc>
          <w:tcPr>
            <w:tcW w:w="17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59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(9,502</w:t>
            </w:r>
          </w:p>
        </w:tc>
        <w:tc>
          <w:tcPr>
            <w:tcW w:w="13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1" w:type="dxa"/>
            <w:tcBorders/>
            <w:shd w:fill="CCEEFF" w:val="clear"/>
            <w:vAlign w:val="center"/>
          </w:tcPr>
          <w:p>
            <w:pPr>
              <w:pStyle w:val="TableContents"/>
              <w:spacing w:before="0" w:after="0"/>
              <w:ind w:left="0" w:right="0" w:firstLine="30"/>
              <w:rPr/>
            </w:pPr>
            <w:r>
              <w:rPr/>
              <w:t> </w:t>
            </w:r>
          </w:p>
        </w:tc>
        <w:tc>
          <w:tcPr>
            <w:tcW w:w="13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5"/>
              </w:rPr>
            </w:pPr>
            <w:r>
              <w:rPr>
                <w:rFonts w:ascii="inherit" w:hAnsi="inherit"/>
                <w:sz w:val="15"/>
              </w:rPr>
              <w:t>$</w:t>
            </w:r>
          </w:p>
        </w:tc>
        <w:tc>
          <w:tcPr>
            <w:tcW w:w="59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(9,062</w:t>
            </w:r>
          </w:p>
        </w:tc>
        <w:tc>
          <w:tcPr>
            <w:tcW w:w="496"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40"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9"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300"/>
              <w:rPr/>
            </w:pPr>
            <w:r>
              <w:rPr/>
              <w:t> </w:t>
            </w:r>
          </w:p>
        </w:tc>
      </w:tr>
      <w:tr>
        <w:trPr/>
        <w:tc>
          <w:tcPr>
            <w:tcW w:w="5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income (loss):</w:t>
            </w:r>
          </w:p>
        </w:tc>
        <w:tc>
          <w:tcPr>
            <w:tcW w:w="1112"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11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69"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230" w:type="dxa"/>
            <w:gridSpan w:val="3"/>
            <w:tcBorders/>
            <w:shd w:fill="CCEEFF" w:val="clear"/>
            <w:vAlign w:val="center"/>
          </w:tcPr>
          <w:p>
            <w:pPr>
              <w:pStyle w:val="TableContents"/>
              <w:spacing w:before="0" w:after="0"/>
              <w:ind w:left="0" w:right="0" w:firstLine="300"/>
              <w:rPr/>
            </w:pPr>
            <w:r>
              <w:rPr/>
              <w:t> </w:t>
            </w:r>
          </w:p>
        </w:tc>
      </w:tr>
      <w:tr>
        <w:trPr/>
        <w:tc>
          <w:tcPr>
            <w:tcW w:w="554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Available for sale securities - net unrealized income (loss)</w:t>
            </w:r>
          </w:p>
        </w:tc>
        <w:tc>
          <w:tcPr>
            <w:tcW w:w="9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9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3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73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w:t>
            </w:r>
          </w:p>
        </w:tc>
        <w:tc>
          <w:tcPr>
            <w:tcW w:w="496"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other comprehensive income (loss)</w:t>
            </w:r>
          </w:p>
        </w:tc>
        <w:tc>
          <w:tcPr>
            <w:tcW w:w="93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17</w:t>
            </w:r>
          </w:p>
        </w:tc>
        <w:tc>
          <w:tcPr>
            <w:tcW w:w="173"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93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w:t>
            </w:r>
          </w:p>
        </w:tc>
        <w:tc>
          <w:tcPr>
            <w:tcW w:w="173"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3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31</w:t>
            </w:r>
          </w:p>
        </w:tc>
        <w:tc>
          <w:tcPr>
            <w:tcW w:w="13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73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49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40"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9"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30"/>
              <w:rPr/>
            </w:pPr>
            <w:r>
              <w:rPr/>
              <w:t> </w:t>
            </w:r>
          </w:p>
        </w:tc>
      </w:tr>
      <w:tr>
        <w:trPr/>
        <w:tc>
          <w:tcPr>
            <w:tcW w:w="5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loss</w:t>
            </w:r>
          </w:p>
        </w:tc>
        <w:tc>
          <w:tcPr>
            <w:tcW w:w="9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(5,120</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41" w:type="dxa"/>
            <w:tcBorders/>
            <w:shd w:fill="CCEEFF" w:val="clear"/>
            <w:vAlign w:val="center"/>
          </w:tcPr>
          <w:p>
            <w:pPr>
              <w:pStyle w:val="TableContents"/>
              <w:spacing w:before="0" w:after="0"/>
              <w:ind w:left="0" w:right="0" w:firstLine="30"/>
              <w:rPr/>
            </w:pPr>
            <w:r>
              <w:rPr/>
              <w:t> </w:t>
            </w:r>
          </w:p>
        </w:tc>
        <w:tc>
          <w:tcPr>
            <w:tcW w:w="9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(4,049</w:t>
            </w:r>
          </w:p>
        </w:tc>
        <w:tc>
          <w:tcPr>
            <w:tcW w:w="17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3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(9,471</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1" w:type="dxa"/>
            <w:tcBorders/>
            <w:shd w:fill="CCEEFF" w:val="clear"/>
            <w:vAlign w:val="center"/>
          </w:tcPr>
          <w:p>
            <w:pPr>
              <w:pStyle w:val="TableContents"/>
              <w:spacing w:before="0" w:after="0"/>
              <w:ind w:left="0" w:right="0" w:firstLine="30"/>
              <w:rPr/>
            </w:pPr>
            <w:r>
              <w:rPr/>
              <w:t> </w:t>
            </w:r>
          </w:p>
        </w:tc>
        <w:tc>
          <w:tcPr>
            <w:tcW w:w="73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(9,065</w:t>
            </w:r>
          </w:p>
        </w:tc>
        <w:tc>
          <w:tcPr>
            <w:tcW w:w="49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40"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9"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300"/>
              <w:rPr/>
            </w:pPr>
            <w:r>
              <w:rPr/>
              <w:t> </w:t>
            </w:r>
          </w:p>
        </w:tc>
      </w:tr>
      <w:tr>
        <w:trPr/>
        <w:tc>
          <w:tcPr>
            <w:tcW w:w="5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income (loss) attributable to noncontrolling interests</w:t>
            </w:r>
          </w:p>
        </w:tc>
        <w:tc>
          <w:tcPr>
            <w:tcW w:w="9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1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9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w:t>
            </w:r>
          </w:p>
        </w:tc>
        <w:tc>
          <w:tcPr>
            <w:tcW w:w="17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7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73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49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540"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11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9"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30"/>
              <w:rPr/>
            </w:pPr>
            <w:r>
              <w:rPr/>
              <w:t> </w:t>
            </w:r>
          </w:p>
        </w:tc>
      </w:tr>
      <w:tr>
        <w:trPr/>
        <w:tc>
          <w:tcPr>
            <w:tcW w:w="5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Comprehensive loss attributable to Caladrius Biosciences, Inc. common stockholders</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(5,123</w:t>
            </w:r>
          </w:p>
        </w:tc>
        <w:tc>
          <w:tcPr>
            <w:tcW w:w="17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41"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(4,048</w:t>
            </w:r>
          </w:p>
        </w:tc>
        <w:tc>
          <w:tcPr>
            <w:tcW w:w="17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3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(9,476</w:t>
            </w:r>
          </w:p>
        </w:tc>
        <w:tc>
          <w:tcPr>
            <w:tcW w:w="13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1" w:type="dxa"/>
            <w:tcBorders/>
            <w:shd w:fill="CCEEFF" w:val="clear"/>
            <w:vAlign w:val="center"/>
          </w:tcPr>
          <w:p>
            <w:pPr>
              <w:pStyle w:val="TableContents"/>
              <w:spacing w:before="0" w:after="0"/>
              <w:ind w:left="0" w:right="0" w:firstLine="30"/>
              <w:rPr/>
            </w:pPr>
            <w:r>
              <w:rPr/>
              <w:t> </w:t>
            </w:r>
          </w:p>
        </w:tc>
        <w:tc>
          <w:tcPr>
            <w:tcW w:w="13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(9,062</w:t>
            </w:r>
          </w:p>
        </w:tc>
        <w:tc>
          <w:tcPr>
            <w:tcW w:w="49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DB36EF7CC0CF5E428CD637007BC76C1A">
        <w:bookmarkStart w:id="9" w:name="sD627794E9072584192AA48C48C2A8BB2"/>
        <w:bookmarkEnd w:id="9"/>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CALADRIUS BIOSCIENCES, INC. AND SUBSIDIARIES</w:t>
      </w:r>
    </w:p>
    <w:p>
      <w:pPr>
        <w:pStyle w:val="TextBody"/>
        <w:spacing w:lineRule="auto" w:line="288" w:before="0" w:after="0"/>
        <w:jc w:val="center"/>
        <w:rPr>
          <w:rFonts w:ascii="inherit" w:hAnsi="inherit"/>
          <w:b/>
          <w:sz w:val="17"/>
        </w:rPr>
      </w:pPr>
      <w:r>
        <w:rPr>
          <w:rFonts w:ascii="inherit" w:hAnsi="inherit"/>
          <w:b/>
          <w:sz w:val="17"/>
        </w:rPr>
        <w:t>CONSOLIDATED STATEMENTS OF EQUITY</w:t>
      </w:r>
    </w:p>
    <w:p>
      <w:pPr>
        <w:pStyle w:val="TextBody"/>
        <w:spacing w:lineRule="auto" w:line="288" w:before="0" w:after="0"/>
        <w:jc w:val="center"/>
        <w:rPr>
          <w:rFonts w:ascii="inherit" w:hAnsi="inherit"/>
          <w:b/>
          <w:sz w:val="17"/>
        </w:rPr>
      </w:pPr>
      <w:r>
        <w:rPr>
          <w:rFonts w:ascii="inherit" w:hAnsi="inherit"/>
          <w:b/>
          <w:sz w:val="17"/>
        </w:rPr>
        <w:t>(Unaudited) </w:t>
      </w:r>
    </w:p>
    <w:p>
      <w:pPr>
        <w:pStyle w:val="TextBody"/>
        <w:spacing w:lineRule="auto" w:line="288" w:before="0" w:after="0"/>
        <w:jc w:val="center"/>
        <w:rPr>
          <w:rFonts w:ascii="inherit" w:hAnsi="inherit"/>
          <w:sz w:val="15"/>
        </w:rPr>
      </w:pPr>
      <w:r>
        <w:rPr>
          <w:rFonts w:ascii="inherit" w:hAnsi="inherit"/>
          <w:sz w:val="15"/>
        </w:rPr>
        <w:t>(In thousands)</w:t>
      </w:r>
    </w:p>
    <w:tbl>
      <w:tblPr>
        <w:tblW w:w="10205" w:type="dxa"/>
        <w:jc w:val="left"/>
        <w:tblInd w:w="0" w:type="dxa"/>
        <w:tblCellMar>
          <w:top w:w="0" w:type="dxa"/>
          <w:left w:w="0" w:type="dxa"/>
          <w:bottom w:w="0" w:type="dxa"/>
          <w:right w:w="0" w:type="dxa"/>
        </w:tblCellMar>
      </w:tblPr>
      <w:tblGrid>
        <w:gridCol w:w="1269"/>
        <w:gridCol w:w="465"/>
        <w:gridCol w:w="50"/>
        <w:gridCol w:w="97"/>
        <w:gridCol w:w="196"/>
        <w:gridCol w:w="354"/>
        <w:gridCol w:w="36"/>
        <w:gridCol w:w="90"/>
        <w:gridCol w:w="517"/>
        <w:gridCol w:w="30"/>
        <w:gridCol w:w="90"/>
        <w:gridCol w:w="186"/>
        <w:gridCol w:w="338"/>
        <w:gridCol w:w="51"/>
        <w:gridCol w:w="90"/>
        <w:gridCol w:w="110"/>
        <w:gridCol w:w="605"/>
        <w:gridCol w:w="30"/>
        <w:gridCol w:w="90"/>
        <w:gridCol w:w="241"/>
        <w:gridCol w:w="571"/>
        <w:gridCol w:w="243"/>
        <w:gridCol w:w="90"/>
        <w:gridCol w:w="112"/>
        <w:gridCol w:w="680"/>
        <w:gridCol w:w="113"/>
        <w:gridCol w:w="90"/>
        <w:gridCol w:w="116"/>
        <w:gridCol w:w="371"/>
        <w:gridCol w:w="118"/>
        <w:gridCol w:w="90"/>
        <w:gridCol w:w="142"/>
        <w:gridCol w:w="670"/>
        <w:gridCol w:w="143"/>
        <w:gridCol w:w="90"/>
        <w:gridCol w:w="151"/>
        <w:gridCol w:w="482"/>
        <w:gridCol w:w="152"/>
        <w:gridCol w:w="90"/>
        <w:gridCol w:w="110"/>
        <w:gridCol w:w="515"/>
        <w:gridCol w:w="131"/>
      </w:tblGrid>
      <w:tr>
        <w:trPr/>
        <w:tc>
          <w:tcPr>
            <w:tcW w:w="10205" w:type="dxa"/>
            <w:gridSpan w:val="42"/>
            <w:tcBorders/>
            <w:shd w:fill="auto" w:val="clear"/>
            <w:vAlign w:val="center"/>
          </w:tcPr>
          <w:p>
            <w:pPr>
              <w:pStyle w:val="TableContents"/>
              <w:spacing w:before="0" w:after="283"/>
              <w:rPr>
                <w:sz w:val="4"/>
                <w:szCs w:val="4"/>
              </w:rPr>
            </w:pPr>
            <w:r>
              <w:rPr>
                <w:sz w:val="4"/>
                <w:szCs w:val="4"/>
              </w:rPr>
            </w:r>
          </w:p>
        </w:tc>
      </w:tr>
      <w:tr>
        <w:trPr/>
        <w:tc>
          <w:tcPr>
            <w:tcW w:w="126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69" w:type="dxa"/>
            <w:tcBorders/>
            <w:shd w:fill="auto" w:val="clear"/>
            <w:vAlign w:val="center"/>
          </w:tcPr>
          <w:p>
            <w:pPr>
              <w:pStyle w:val="TableContents"/>
              <w:spacing w:before="0" w:after="0"/>
              <w:ind w:left="0" w:right="0" w:firstLine="30"/>
              <w:jc w:val="left"/>
              <w:rPr/>
            </w:pPr>
            <w:r>
              <w:rPr/>
              <w:t> </w:t>
            </w:r>
          </w:p>
        </w:tc>
        <w:tc>
          <w:tcPr>
            <w:tcW w:w="1198" w:type="dxa"/>
            <w:gridSpan w:val="6"/>
            <w:tcBorders>
              <w:bottom w:val="single" w:sz="1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Series B Convertible</w:t>
            </w:r>
          </w:p>
          <w:p>
            <w:pPr>
              <w:pStyle w:val="TableContents"/>
              <w:spacing w:before="0" w:after="0"/>
              <w:ind w:left="0" w:right="0" w:firstLine="30"/>
              <w:jc w:val="center"/>
              <w:rPr>
                <w:rFonts w:ascii="inherit" w:hAnsi="inherit"/>
                <w:b/>
                <w:sz w:val="12"/>
              </w:rPr>
            </w:pPr>
            <w:r>
              <w:rPr>
                <w:rFonts w:ascii="inherit" w:hAnsi="inherit"/>
                <w:b/>
                <w:sz w:val="12"/>
              </w:rPr>
              <w:t>Preferred Stock</w:t>
            </w:r>
          </w:p>
        </w:tc>
        <w:tc>
          <w:tcPr>
            <w:tcW w:w="90" w:type="dxa"/>
            <w:tcBorders/>
            <w:shd w:fill="auto" w:val="clear"/>
            <w:vAlign w:val="center"/>
          </w:tcPr>
          <w:p>
            <w:pPr>
              <w:pStyle w:val="TableContents"/>
              <w:spacing w:before="0" w:after="0"/>
              <w:ind w:left="0" w:right="0" w:firstLine="30"/>
              <w:rPr/>
            </w:pPr>
            <w:r>
              <w:rPr/>
              <w:t> </w:t>
            </w:r>
          </w:p>
        </w:tc>
        <w:tc>
          <w:tcPr>
            <w:tcW w:w="1212" w:type="dxa"/>
            <w:gridSpan w:val="6"/>
            <w:tcBorders>
              <w:bottom w:val="single" w:sz="1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Common Stock</w:t>
            </w:r>
          </w:p>
        </w:tc>
        <w:tc>
          <w:tcPr>
            <w:tcW w:w="90" w:type="dxa"/>
            <w:tcBorders/>
            <w:shd w:fill="auto" w:val="clear"/>
            <w:vAlign w:val="center"/>
          </w:tcPr>
          <w:p>
            <w:pPr>
              <w:pStyle w:val="TableContents"/>
              <w:spacing w:before="0" w:after="0"/>
              <w:ind w:left="0" w:right="0" w:firstLine="30"/>
              <w:rPr/>
            </w:pPr>
            <w:r>
              <w:rPr/>
              <w:t> </w:t>
            </w:r>
          </w:p>
        </w:tc>
        <w:tc>
          <w:tcPr>
            <w:tcW w:w="74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Additional</w:t>
            </w:r>
          </w:p>
          <w:p>
            <w:pPr>
              <w:pStyle w:val="TableContents"/>
              <w:spacing w:before="0" w:after="0"/>
              <w:jc w:val="center"/>
              <w:rPr>
                <w:rFonts w:ascii="inherit" w:hAnsi="inherit"/>
                <w:b/>
                <w:sz w:val="12"/>
              </w:rPr>
            </w:pPr>
            <w:r>
              <w:rPr>
                <w:rFonts w:ascii="inherit" w:hAnsi="inherit"/>
                <w:b/>
                <w:sz w:val="12"/>
              </w:rPr>
              <w:t>Paid in</w:t>
            </w:r>
          </w:p>
          <w:p>
            <w:pPr>
              <w:pStyle w:val="TableContents"/>
              <w:spacing w:before="0" w:after="0"/>
              <w:ind w:left="0" w:right="0" w:firstLine="30"/>
              <w:jc w:val="center"/>
              <w:rPr>
                <w:rFonts w:ascii="inherit" w:hAnsi="inherit"/>
                <w:b/>
                <w:sz w:val="12"/>
              </w:rPr>
            </w:pPr>
            <w:r>
              <w:rPr>
                <w:rFonts w:ascii="inherit" w:hAnsi="inherit"/>
                <w:b/>
                <w:sz w:val="12"/>
              </w:rPr>
              <w:t>Capital</w:t>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jc w:val="center"/>
              <w:rPr>
                <w:rFonts w:ascii="inherit" w:hAnsi="inherit"/>
                <w:b/>
                <w:sz w:val="12"/>
              </w:rPr>
            </w:pPr>
            <w:r>
              <w:rPr>
                <w:rFonts w:ascii="inherit" w:hAnsi="inherit"/>
                <w:b/>
                <w:sz w:val="12"/>
              </w:rPr>
              <w:t>Other</w:t>
            </w:r>
          </w:p>
          <w:p>
            <w:pPr>
              <w:pStyle w:val="TableContents"/>
              <w:spacing w:before="0" w:after="0"/>
              <w:jc w:val="center"/>
              <w:rPr>
                <w:rFonts w:ascii="inherit" w:hAnsi="inherit"/>
                <w:b/>
                <w:sz w:val="12"/>
              </w:rPr>
            </w:pPr>
            <w:r>
              <w:rPr>
                <w:rFonts w:ascii="inherit" w:hAnsi="inherit"/>
                <w:b/>
                <w:sz w:val="12"/>
              </w:rPr>
              <w:t>Comprehensive</w:t>
            </w:r>
          </w:p>
          <w:p>
            <w:pPr>
              <w:pStyle w:val="TableContents"/>
              <w:spacing w:before="0" w:after="0"/>
              <w:ind w:left="0" w:right="0" w:firstLine="30"/>
              <w:jc w:val="center"/>
              <w:rPr>
                <w:rFonts w:ascii="inherit" w:hAnsi="inherit"/>
                <w:b/>
                <w:sz w:val="12"/>
              </w:rPr>
            </w:pPr>
            <w:r>
              <w:rPr>
                <w:rFonts w:ascii="inherit" w:hAnsi="inherit"/>
                <w:b/>
                <w:sz w:val="12"/>
              </w:rPr>
              <w:t>Loss</w:t>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ind w:left="0" w:right="0" w:firstLine="30"/>
              <w:jc w:val="center"/>
              <w:rPr>
                <w:rFonts w:ascii="inherit" w:hAnsi="inherit"/>
                <w:b/>
                <w:sz w:val="12"/>
              </w:rPr>
            </w:pPr>
            <w:r>
              <w:rPr>
                <w:rFonts w:ascii="inherit" w:hAnsi="inherit"/>
                <w:b/>
                <w:sz w:val="12"/>
              </w:rPr>
              <w:t>Deficit</w:t>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Treasury</w:t>
            </w:r>
          </w:p>
          <w:p>
            <w:pPr>
              <w:pStyle w:val="TableContents"/>
              <w:spacing w:before="0" w:after="0"/>
              <w:ind w:left="0" w:right="0" w:firstLine="30"/>
              <w:jc w:val="center"/>
              <w:rPr>
                <w:rFonts w:ascii="inherit" w:hAnsi="inherit"/>
                <w:b/>
                <w:sz w:val="12"/>
              </w:rPr>
            </w:pPr>
            <w:r>
              <w:rPr>
                <w:rFonts w:ascii="inherit" w:hAnsi="inherit"/>
                <w:b/>
                <w:sz w:val="12"/>
              </w:rPr>
              <w:t>Stock</w:t>
            </w:r>
          </w:p>
        </w:tc>
        <w:tc>
          <w:tcPr>
            <w:tcW w:w="90" w:type="dxa"/>
            <w:tcBorders/>
            <w:shd w:fill="auto" w:val="clear"/>
            <w:vAlign w:val="center"/>
          </w:tcPr>
          <w:p>
            <w:pPr>
              <w:pStyle w:val="TableContents"/>
              <w:spacing w:before="0" w:after="0"/>
              <w:ind w:left="0" w:right="0" w:firstLine="30"/>
              <w:rPr/>
            </w:pPr>
            <w:r>
              <w:rPr/>
              <w:t> </w:t>
            </w:r>
          </w:p>
        </w:tc>
        <w:tc>
          <w:tcPr>
            <w:tcW w:w="95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jc w:val="center"/>
              <w:rPr>
                <w:rFonts w:ascii="inherit" w:hAnsi="inherit"/>
                <w:b/>
                <w:sz w:val="12"/>
              </w:rPr>
            </w:pPr>
            <w:r>
              <w:rPr>
                <w:rFonts w:ascii="inherit" w:hAnsi="inherit"/>
                <w:b/>
                <w:sz w:val="12"/>
              </w:rPr>
              <w:t>Caladrius Biosciences,</w:t>
            </w:r>
          </w:p>
          <w:p>
            <w:pPr>
              <w:pStyle w:val="TableContents"/>
              <w:spacing w:before="0" w:after="0"/>
              <w:jc w:val="center"/>
              <w:rPr>
                <w:rFonts w:ascii="inherit" w:hAnsi="inherit"/>
                <w:b/>
                <w:sz w:val="12"/>
              </w:rPr>
            </w:pPr>
            <w:r>
              <w:rPr>
                <w:rFonts w:ascii="inherit" w:hAnsi="inherit"/>
                <w:b/>
                <w:sz w:val="12"/>
              </w:rPr>
              <w:t>Inc.</w:t>
            </w:r>
          </w:p>
          <w:p>
            <w:pPr>
              <w:pStyle w:val="TableContents"/>
              <w:spacing w:before="0" w:after="0"/>
              <w:jc w:val="center"/>
              <w:rPr>
                <w:rFonts w:ascii="inherit" w:hAnsi="inherit"/>
                <w:b/>
                <w:sz w:val="12"/>
              </w:rPr>
            </w:pPr>
            <w:r>
              <w:rPr>
                <w:rFonts w:ascii="inherit" w:hAnsi="inherit"/>
                <w:b/>
                <w:sz w:val="12"/>
              </w:rPr>
              <w:t>Stockholders'</w:t>
            </w:r>
          </w:p>
          <w:p>
            <w:pPr>
              <w:pStyle w:val="TableContents"/>
              <w:spacing w:before="0" w:after="0"/>
              <w:ind w:left="0" w:right="0" w:firstLine="30"/>
              <w:jc w:val="center"/>
              <w:rPr>
                <w:rFonts w:ascii="inherit" w:hAnsi="inherit"/>
                <w:b/>
                <w:sz w:val="12"/>
              </w:rPr>
            </w:pPr>
            <w:r>
              <w:rPr>
                <w:rFonts w:ascii="inherit" w:hAnsi="inherit"/>
                <w:b/>
                <w:sz w:val="12"/>
              </w:rPr>
              <w:t>Equity</w:t>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Non-</w:t>
            </w:r>
          </w:p>
          <w:p>
            <w:pPr>
              <w:pStyle w:val="TableContents"/>
              <w:spacing w:before="0" w:after="0"/>
              <w:jc w:val="center"/>
              <w:rPr>
                <w:rFonts w:ascii="inherit" w:hAnsi="inherit"/>
                <w:b/>
                <w:sz w:val="12"/>
              </w:rPr>
            </w:pPr>
            <w:r>
              <w:rPr>
                <w:rFonts w:ascii="inherit" w:hAnsi="inherit"/>
                <w:b/>
                <w:sz w:val="12"/>
              </w:rPr>
              <w:t>Controlling</w:t>
            </w:r>
          </w:p>
          <w:p>
            <w:pPr>
              <w:pStyle w:val="TableContents"/>
              <w:spacing w:before="0" w:after="0"/>
              <w:jc w:val="center"/>
              <w:rPr>
                <w:rFonts w:ascii="inherit" w:hAnsi="inherit"/>
                <w:b/>
                <w:sz w:val="12"/>
              </w:rPr>
            </w:pPr>
            <w:r>
              <w:rPr>
                <w:rFonts w:ascii="inherit" w:hAnsi="inherit"/>
                <w:b/>
                <w:sz w:val="12"/>
              </w:rPr>
              <w:t>Interest in</w:t>
            </w:r>
          </w:p>
          <w:p>
            <w:pPr>
              <w:pStyle w:val="TableContents"/>
              <w:spacing w:before="0" w:after="0"/>
              <w:ind w:left="0" w:right="0" w:firstLine="30"/>
              <w:jc w:val="center"/>
              <w:rPr>
                <w:rFonts w:ascii="inherit" w:hAnsi="inherit"/>
                <w:b/>
                <w:sz w:val="12"/>
              </w:rPr>
            </w:pPr>
            <w:r>
              <w:rPr>
                <w:rFonts w:ascii="inherit" w:hAnsi="inherit"/>
                <w:b/>
                <w:sz w:val="12"/>
              </w:rPr>
              <w:t>Subsidiary</w:t>
            </w:r>
          </w:p>
        </w:tc>
        <w:tc>
          <w:tcPr>
            <w:tcW w:w="90" w:type="dxa"/>
            <w:tcBorders/>
            <w:shd w:fill="auto" w:val="clear"/>
            <w:vAlign w:val="center"/>
          </w:tcPr>
          <w:p>
            <w:pPr>
              <w:pStyle w:val="TableContents"/>
              <w:spacing w:before="0" w:after="0"/>
              <w:ind w:left="0" w:right="0" w:firstLine="30"/>
              <w:rPr/>
            </w:pPr>
            <w:r>
              <w:rPr/>
              <w:t> </w:t>
            </w:r>
          </w:p>
        </w:tc>
        <w:tc>
          <w:tcPr>
            <w:tcW w:w="756"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Equity</w:t>
            </w:r>
          </w:p>
        </w:tc>
      </w:tr>
      <w:tr>
        <w:trPr/>
        <w:tc>
          <w:tcPr>
            <w:tcW w:w="1269" w:type="dxa"/>
            <w:tcBorders/>
            <w:shd w:fill="auto" w:val="clear"/>
            <w:vAlign w:val="center"/>
          </w:tcPr>
          <w:p>
            <w:pPr>
              <w:pStyle w:val="TableContents"/>
              <w:spacing w:before="0" w:after="0"/>
              <w:ind w:left="0" w:right="0" w:firstLine="30"/>
              <w:jc w:val="left"/>
              <w:rPr/>
            </w:pPr>
            <w:r>
              <w:rPr/>
              <w:t> </w:t>
            </w:r>
          </w:p>
        </w:tc>
        <w:tc>
          <w:tcPr>
            <w:tcW w:w="515" w:type="dxa"/>
            <w:gridSpan w:val="2"/>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7" w:type="dxa"/>
            <w:tcBorders/>
            <w:shd w:fill="auto" w:val="clear"/>
            <w:vAlign w:val="center"/>
          </w:tcPr>
          <w:p>
            <w:pPr>
              <w:pStyle w:val="TableContents"/>
              <w:spacing w:before="0" w:after="0"/>
              <w:ind w:left="0" w:right="0" w:firstLine="30"/>
              <w:rPr/>
            </w:pPr>
            <w:r>
              <w:rPr/>
              <w:t> </w:t>
            </w:r>
          </w:p>
        </w:tc>
        <w:tc>
          <w:tcPr>
            <w:tcW w:w="586"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74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5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56" w:type="dxa"/>
            <w:gridSpan w:val="3"/>
            <w:vMerge w:val="continue"/>
            <w:tcBorders/>
            <w:shd w:fill="auto" w:val="clear"/>
            <w:vAlign w:val="center"/>
          </w:tcPr>
          <w:p>
            <w:pPr>
              <w:pStyle w:val="Normal"/>
              <w:rPr/>
            </w:pPr>
            <w:r>
              <w:rPr/>
            </w:r>
          </w:p>
        </w:tc>
      </w:tr>
      <w:tr>
        <w:trPr/>
        <w:tc>
          <w:tcPr>
            <w:tcW w:w="1269" w:type="dxa"/>
            <w:tcBorders/>
            <w:shd w:fill="CCEEFF"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March 31, 2018</w:t>
            </w:r>
          </w:p>
        </w:tc>
        <w:tc>
          <w:tcPr>
            <w:tcW w:w="46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4"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pPr>
            <w:r>
              <w:rPr/>
              <w:t>—</w:t>
            </w:r>
          </w:p>
        </w:tc>
        <w:tc>
          <w:tcPr>
            <w:tcW w:w="36"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9,575</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433,138</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(59</w:t>
            </w:r>
          </w:p>
        </w:tc>
        <w:tc>
          <w:tcPr>
            <w:tcW w:w="24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(386,793</w:t>
            </w:r>
          </w:p>
        </w:tc>
        <w:tc>
          <w:tcPr>
            <w:tcW w:w="11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7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45,588</w:t>
            </w:r>
          </w:p>
        </w:tc>
        <w:tc>
          <w:tcPr>
            <w:tcW w:w="143"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(272</w:t>
            </w:r>
          </w:p>
        </w:tc>
        <w:tc>
          <w:tcPr>
            <w:tcW w:w="15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45,316</w:t>
            </w:r>
          </w:p>
        </w:tc>
        <w:tc>
          <w:tcPr>
            <w:tcW w:w="13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loss</w:t>
            </w:r>
          </w:p>
        </w:tc>
        <w:tc>
          <w:tcPr>
            <w:tcW w:w="465" w:type="dxa"/>
            <w:tcBorders>
              <w:top w:val="single" w:sz="6" w:space="0" w:color="000000"/>
            </w:tcBorders>
            <w:shd w:fill="auto" w:val="clear"/>
            <w:tcMar>
              <w:top w:w="30" w:type="dxa"/>
            </w:tcMar>
            <w:vAlign w:val="center"/>
          </w:tcPr>
          <w:p>
            <w:pPr>
              <w:pStyle w:val="TableContents"/>
              <w:spacing w:before="0" w:after="0"/>
              <w:jc w:val="right"/>
              <w:rPr/>
            </w:pPr>
            <w:r>
              <w:rPr/>
              <w:t>—</w:t>
            </w:r>
          </w:p>
        </w:tc>
        <w:tc>
          <w:tcPr>
            <w:tcW w:w="50" w:type="dxa"/>
            <w:tcBorders>
              <w:top w:val="sing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7"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(4,076</w:t>
            </w:r>
          </w:p>
        </w:tc>
        <w:tc>
          <w:tcPr>
            <w:tcW w:w="11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(4,076</w:t>
            </w:r>
          </w:p>
        </w:tc>
        <w:tc>
          <w:tcPr>
            <w:tcW w:w="14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15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(4,077</w:t>
            </w:r>
          </w:p>
        </w:tc>
        <w:tc>
          <w:tcPr>
            <w:tcW w:w="13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126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gain on marketable securities</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50" w:type="dxa"/>
            <w:gridSpan w:val="2"/>
            <w:tcBorders/>
            <w:shd w:fill="CCEEFF" w:val="clear"/>
            <w:vAlign w:val="center"/>
          </w:tcPr>
          <w:p>
            <w:pPr>
              <w:pStyle w:val="TableContents"/>
              <w:spacing w:before="0" w:after="0"/>
              <w:jc w:val="right"/>
              <w:rPr/>
            </w:pPr>
            <w:r>
              <w:rPr/>
              <w:t>—</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Share-based compensation</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7" w:type="dxa"/>
            <w:tcBorders/>
            <w:shd w:fill="auto" w:val="clear"/>
            <w:vAlign w:val="center"/>
          </w:tcPr>
          <w:p>
            <w:pPr>
              <w:pStyle w:val="TableContents"/>
              <w:spacing w:before="0" w:after="0"/>
              <w:jc w:val="right"/>
              <w:rPr>
                <w:rFonts w:ascii="inherit" w:hAnsi="inherit"/>
                <w:sz w:val="13"/>
              </w:rPr>
            </w:pPr>
            <w:r>
              <w:rPr>
                <w:rFonts w:ascii="inherit" w:hAnsi="inherit"/>
                <w:sz w:val="13"/>
              </w:rPr>
              <w:t>47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1,610</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1,610</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proceeds from issuance of common stock</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50" w:type="dxa"/>
            <w:gridSpan w:val="2"/>
            <w:tcBorders/>
            <w:shd w:fill="CCEEFF" w:val="clear"/>
            <w:vAlign w:val="center"/>
          </w:tcPr>
          <w:p>
            <w:pPr>
              <w:pStyle w:val="TableContents"/>
              <w:spacing w:before="0" w:after="0"/>
              <w:jc w:val="right"/>
              <w:rPr/>
            </w:pPr>
            <w:r>
              <w:rPr/>
              <w:t>—</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shd w:fill="CCEEFF" w:val="clear"/>
            <w:vAlign w:val="center"/>
          </w:tcPr>
          <w:p>
            <w:pPr>
              <w:pStyle w:val="TableContents"/>
              <w:spacing w:before="0" w:after="0"/>
              <w:jc w:val="right"/>
              <w:rPr>
                <w:rFonts w:ascii="inherit" w:hAnsi="inherit"/>
                <w:sz w:val="13"/>
              </w:rPr>
            </w:pPr>
            <w:r>
              <w:rPr>
                <w:rFonts w:ascii="inherit" w:hAnsi="inherit"/>
                <w:sz w:val="13"/>
              </w:rPr>
              <w:t>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pPr>
            <w:r>
              <w:rPr/>
              <w:t>—</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288</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288</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option exercises</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7" w:type="dxa"/>
            <w:tcBorders/>
            <w:shd w:fill="auto" w:val="clear"/>
            <w:vAlign w:val="center"/>
          </w:tcPr>
          <w:p>
            <w:pPr>
              <w:pStyle w:val="TableContents"/>
              <w:spacing w:before="0" w:after="0"/>
              <w:jc w:val="right"/>
              <w:rPr>
                <w:rFonts w:ascii="inherit" w:hAnsi="inherit"/>
                <w:sz w:val="13"/>
              </w:rPr>
            </w:pPr>
            <w:r>
              <w:rPr>
                <w:rFonts w:ascii="inherit" w:hAnsi="inherit"/>
                <w:sz w:val="13"/>
              </w:rPr>
              <w:t>63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302</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302</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CCEEFF"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June 30, 2018</w:t>
            </w:r>
          </w:p>
        </w:tc>
        <w:tc>
          <w:tcPr>
            <w:tcW w:w="46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4"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pPr>
            <w:r>
              <w:rPr/>
              <w:t>—</w:t>
            </w:r>
          </w:p>
        </w:tc>
        <w:tc>
          <w:tcPr>
            <w:tcW w:w="36"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9,735</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435,338</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(31</w:t>
            </w:r>
          </w:p>
        </w:tc>
        <w:tc>
          <w:tcPr>
            <w:tcW w:w="24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(390,869</w:t>
            </w:r>
          </w:p>
        </w:tc>
        <w:tc>
          <w:tcPr>
            <w:tcW w:w="11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7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43,740</w:t>
            </w:r>
          </w:p>
        </w:tc>
        <w:tc>
          <w:tcPr>
            <w:tcW w:w="143"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(273</w:t>
            </w:r>
          </w:p>
        </w:tc>
        <w:tc>
          <w:tcPr>
            <w:tcW w:w="15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43,467</w:t>
            </w:r>
          </w:p>
        </w:tc>
        <w:tc>
          <w:tcPr>
            <w:tcW w:w="13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rPr/>
            </w:pPr>
            <w:r>
              <w:rPr/>
              <w:t> </w:t>
            </w:r>
          </w:p>
        </w:tc>
        <w:tc>
          <w:tcPr>
            <w:tcW w:w="515" w:type="dxa"/>
            <w:gridSpan w:val="2"/>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58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ind w:left="0" w:right="0" w:firstLine="30"/>
              <w:rPr/>
            </w:pPr>
            <w:r>
              <w:rPr/>
              <w:t> </w:t>
            </w:r>
          </w:p>
        </w:tc>
      </w:tr>
      <w:tr>
        <w:trPr/>
        <w:tc>
          <w:tcPr>
            <w:tcW w:w="1269" w:type="dxa"/>
            <w:tcBorders/>
            <w:shd w:fill="auto" w:val="clear"/>
            <w:vAlign w:val="center"/>
          </w:tcPr>
          <w:p>
            <w:pPr>
              <w:pStyle w:val="TableContents"/>
              <w:spacing w:before="0" w:after="0"/>
              <w:ind w:left="0" w:right="0" w:firstLine="30"/>
              <w:jc w:val="left"/>
              <w:rPr/>
            </w:pPr>
            <w:r>
              <w:rPr/>
              <w:t> </w:t>
            </w:r>
          </w:p>
        </w:tc>
        <w:tc>
          <w:tcPr>
            <w:tcW w:w="1198" w:type="dxa"/>
            <w:gridSpan w:val="6"/>
            <w:tcBorders>
              <w:bottom w:val="single" w:sz="1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Series B Convertible</w:t>
            </w:r>
          </w:p>
          <w:p>
            <w:pPr>
              <w:pStyle w:val="TableContents"/>
              <w:spacing w:before="0" w:after="0"/>
              <w:ind w:left="0" w:right="0" w:firstLine="30"/>
              <w:jc w:val="center"/>
              <w:rPr>
                <w:rFonts w:ascii="inherit" w:hAnsi="inherit"/>
                <w:b/>
                <w:sz w:val="12"/>
              </w:rPr>
            </w:pPr>
            <w:r>
              <w:rPr>
                <w:rFonts w:ascii="inherit" w:hAnsi="inherit"/>
                <w:b/>
                <w:sz w:val="12"/>
              </w:rPr>
              <w:t>Preferred Stock</w:t>
            </w:r>
          </w:p>
        </w:tc>
        <w:tc>
          <w:tcPr>
            <w:tcW w:w="90" w:type="dxa"/>
            <w:tcBorders/>
            <w:shd w:fill="auto" w:val="clear"/>
            <w:vAlign w:val="center"/>
          </w:tcPr>
          <w:p>
            <w:pPr>
              <w:pStyle w:val="TableContents"/>
              <w:spacing w:before="0" w:after="0"/>
              <w:ind w:left="0" w:right="0" w:firstLine="30"/>
              <w:rPr/>
            </w:pPr>
            <w:r>
              <w:rPr/>
              <w:t> </w:t>
            </w:r>
          </w:p>
        </w:tc>
        <w:tc>
          <w:tcPr>
            <w:tcW w:w="1212" w:type="dxa"/>
            <w:gridSpan w:val="6"/>
            <w:tcBorders>
              <w:bottom w:val="single" w:sz="1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Common Stock</w:t>
            </w:r>
          </w:p>
        </w:tc>
        <w:tc>
          <w:tcPr>
            <w:tcW w:w="90" w:type="dxa"/>
            <w:tcBorders/>
            <w:shd w:fill="auto" w:val="clear"/>
            <w:vAlign w:val="center"/>
          </w:tcPr>
          <w:p>
            <w:pPr>
              <w:pStyle w:val="TableContents"/>
              <w:spacing w:before="0" w:after="0"/>
              <w:ind w:left="0" w:right="0" w:firstLine="30"/>
              <w:rPr/>
            </w:pPr>
            <w:r>
              <w:rPr/>
              <w:t> </w:t>
            </w:r>
          </w:p>
        </w:tc>
        <w:tc>
          <w:tcPr>
            <w:tcW w:w="74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Additional</w:t>
            </w:r>
          </w:p>
          <w:p>
            <w:pPr>
              <w:pStyle w:val="TableContents"/>
              <w:spacing w:before="0" w:after="0"/>
              <w:jc w:val="center"/>
              <w:rPr>
                <w:rFonts w:ascii="inherit" w:hAnsi="inherit"/>
                <w:b/>
                <w:sz w:val="12"/>
              </w:rPr>
            </w:pPr>
            <w:r>
              <w:rPr>
                <w:rFonts w:ascii="inherit" w:hAnsi="inherit"/>
                <w:b/>
                <w:sz w:val="12"/>
              </w:rPr>
              <w:t>Paid in</w:t>
            </w:r>
          </w:p>
          <w:p>
            <w:pPr>
              <w:pStyle w:val="TableContents"/>
              <w:spacing w:before="0" w:after="0"/>
              <w:ind w:left="0" w:right="0" w:firstLine="30"/>
              <w:jc w:val="center"/>
              <w:rPr>
                <w:rFonts w:ascii="inherit" w:hAnsi="inherit"/>
                <w:b/>
                <w:sz w:val="12"/>
              </w:rPr>
            </w:pPr>
            <w:r>
              <w:rPr>
                <w:rFonts w:ascii="inherit" w:hAnsi="inherit"/>
                <w:b/>
                <w:sz w:val="12"/>
              </w:rPr>
              <w:t>Capital</w:t>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jc w:val="center"/>
              <w:rPr>
                <w:rFonts w:ascii="inherit" w:hAnsi="inherit"/>
                <w:b/>
                <w:sz w:val="12"/>
              </w:rPr>
            </w:pPr>
            <w:r>
              <w:rPr>
                <w:rFonts w:ascii="inherit" w:hAnsi="inherit"/>
                <w:b/>
                <w:sz w:val="12"/>
              </w:rPr>
              <w:t>Other</w:t>
            </w:r>
          </w:p>
          <w:p>
            <w:pPr>
              <w:pStyle w:val="TableContents"/>
              <w:spacing w:before="0" w:after="0"/>
              <w:jc w:val="center"/>
              <w:rPr>
                <w:rFonts w:ascii="inherit" w:hAnsi="inherit"/>
                <w:b/>
                <w:sz w:val="12"/>
              </w:rPr>
            </w:pPr>
            <w:r>
              <w:rPr>
                <w:rFonts w:ascii="inherit" w:hAnsi="inherit"/>
                <w:b/>
                <w:sz w:val="12"/>
              </w:rPr>
              <w:t>Comprehensive</w:t>
            </w:r>
          </w:p>
          <w:p>
            <w:pPr>
              <w:pStyle w:val="TableContents"/>
              <w:spacing w:before="0" w:after="0"/>
              <w:ind w:left="0" w:right="0" w:firstLine="30"/>
              <w:jc w:val="center"/>
              <w:rPr>
                <w:rFonts w:ascii="inherit" w:hAnsi="inherit"/>
                <w:b/>
                <w:sz w:val="12"/>
              </w:rPr>
            </w:pPr>
            <w:r>
              <w:rPr>
                <w:rFonts w:ascii="inherit" w:hAnsi="inherit"/>
                <w:b/>
                <w:sz w:val="12"/>
              </w:rPr>
              <w:t>Loss</w:t>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ind w:left="0" w:right="0" w:firstLine="30"/>
              <w:jc w:val="center"/>
              <w:rPr>
                <w:rFonts w:ascii="inherit" w:hAnsi="inherit"/>
                <w:b/>
                <w:sz w:val="12"/>
              </w:rPr>
            </w:pPr>
            <w:r>
              <w:rPr>
                <w:rFonts w:ascii="inherit" w:hAnsi="inherit"/>
                <w:b/>
                <w:sz w:val="12"/>
              </w:rPr>
              <w:t>Deficit</w:t>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Treasury</w:t>
            </w:r>
          </w:p>
          <w:p>
            <w:pPr>
              <w:pStyle w:val="TableContents"/>
              <w:spacing w:before="0" w:after="0"/>
              <w:ind w:left="0" w:right="0" w:firstLine="30"/>
              <w:jc w:val="center"/>
              <w:rPr>
                <w:rFonts w:ascii="inherit" w:hAnsi="inherit"/>
                <w:b/>
                <w:sz w:val="12"/>
              </w:rPr>
            </w:pPr>
            <w:r>
              <w:rPr>
                <w:rFonts w:ascii="inherit" w:hAnsi="inherit"/>
                <w:b/>
                <w:sz w:val="12"/>
              </w:rPr>
              <w:t>Stock</w:t>
            </w:r>
          </w:p>
        </w:tc>
        <w:tc>
          <w:tcPr>
            <w:tcW w:w="90" w:type="dxa"/>
            <w:tcBorders/>
            <w:shd w:fill="auto" w:val="clear"/>
            <w:vAlign w:val="center"/>
          </w:tcPr>
          <w:p>
            <w:pPr>
              <w:pStyle w:val="TableContents"/>
              <w:spacing w:before="0" w:after="0"/>
              <w:ind w:left="0" w:right="0" w:firstLine="30"/>
              <w:rPr/>
            </w:pPr>
            <w:r>
              <w:rPr/>
              <w:t> </w:t>
            </w:r>
          </w:p>
        </w:tc>
        <w:tc>
          <w:tcPr>
            <w:tcW w:w="95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jc w:val="center"/>
              <w:rPr>
                <w:rFonts w:ascii="inherit" w:hAnsi="inherit"/>
                <w:b/>
                <w:sz w:val="12"/>
              </w:rPr>
            </w:pPr>
            <w:r>
              <w:rPr>
                <w:rFonts w:ascii="inherit" w:hAnsi="inherit"/>
                <w:b/>
                <w:sz w:val="12"/>
              </w:rPr>
              <w:t>Caladrius Biosciences,</w:t>
            </w:r>
          </w:p>
          <w:p>
            <w:pPr>
              <w:pStyle w:val="TableContents"/>
              <w:spacing w:before="0" w:after="0"/>
              <w:jc w:val="center"/>
              <w:rPr>
                <w:rFonts w:ascii="inherit" w:hAnsi="inherit"/>
                <w:b/>
                <w:sz w:val="12"/>
              </w:rPr>
            </w:pPr>
            <w:r>
              <w:rPr>
                <w:rFonts w:ascii="inherit" w:hAnsi="inherit"/>
                <w:b/>
                <w:sz w:val="12"/>
              </w:rPr>
              <w:t>Inc.</w:t>
            </w:r>
          </w:p>
          <w:p>
            <w:pPr>
              <w:pStyle w:val="TableContents"/>
              <w:spacing w:before="0" w:after="0"/>
              <w:jc w:val="center"/>
              <w:rPr>
                <w:rFonts w:ascii="inherit" w:hAnsi="inherit"/>
                <w:b/>
                <w:sz w:val="12"/>
              </w:rPr>
            </w:pPr>
            <w:r>
              <w:rPr>
                <w:rFonts w:ascii="inherit" w:hAnsi="inherit"/>
                <w:b/>
                <w:sz w:val="12"/>
              </w:rPr>
              <w:t>Stockholders'</w:t>
            </w:r>
          </w:p>
          <w:p>
            <w:pPr>
              <w:pStyle w:val="TableContents"/>
              <w:spacing w:before="0" w:after="0"/>
              <w:ind w:left="0" w:right="0" w:firstLine="30"/>
              <w:jc w:val="center"/>
              <w:rPr>
                <w:rFonts w:ascii="inherit" w:hAnsi="inherit"/>
                <w:b/>
                <w:sz w:val="12"/>
              </w:rPr>
            </w:pPr>
            <w:r>
              <w:rPr>
                <w:rFonts w:ascii="inherit" w:hAnsi="inherit"/>
                <w:b/>
                <w:sz w:val="12"/>
              </w:rPr>
              <w:t>Equity</w:t>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Non-</w:t>
            </w:r>
          </w:p>
          <w:p>
            <w:pPr>
              <w:pStyle w:val="TableContents"/>
              <w:spacing w:before="0" w:after="0"/>
              <w:jc w:val="center"/>
              <w:rPr>
                <w:rFonts w:ascii="inherit" w:hAnsi="inherit"/>
                <w:b/>
                <w:sz w:val="12"/>
              </w:rPr>
            </w:pPr>
            <w:r>
              <w:rPr>
                <w:rFonts w:ascii="inherit" w:hAnsi="inherit"/>
                <w:b/>
                <w:sz w:val="12"/>
              </w:rPr>
              <w:t>Controlling</w:t>
            </w:r>
          </w:p>
          <w:p>
            <w:pPr>
              <w:pStyle w:val="TableContents"/>
              <w:spacing w:before="0" w:after="0"/>
              <w:jc w:val="center"/>
              <w:rPr>
                <w:rFonts w:ascii="inherit" w:hAnsi="inherit"/>
                <w:b/>
                <w:sz w:val="12"/>
              </w:rPr>
            </w:pPr>
            <w:r>
              <w:rPr>
                <w:rFonts w:ascii="inherit" w:hAnsi="inherit"/>
                <w:b/>
                <w:sz w:val="12"/>
              </w:rPr>
              <w:t>Interest in</w:t>
            </w:r>
          </w:p>
          <w:p>
            <w:pPr>
              <w:pStyle w:val="TableContents"/>
              <w:spacing w:before="0" w:after="0"/>
              <w:ind w:left="0" w:right="0" w:firstLine="30"/>
              <w:jc w:val="center"/>
              <w:rPr>
                <w:rFonts w:ascii="inherit" w:hAnsi="inherit"/>
                <w:b/>
                <w:sz w:val="12"/>
              </w:rPr>
            </w:pPr>
            <w:r>
              <w:rPr>
                <w:rFonts w:ascii="inherit" w:hAnsi="inherit"/>
                <w:b/>
                <w:sz w:val="12"/>
              </w:rPr>
              <w:t>Subsidiary</w:t>
            </w:r>
          </w:p>
        </w:tc>
        <w:tc>
          <w:tcPr>
            <w:tcW w:w="90" w:type="dxa"/>
            <w:tcBorders/>
            <w:shd w:fill="auto" w:val="clear"/>
            <w:vAlign w:val="center"/>
          </w:tcPr>
          <w:p>
            <w:pPr>
              <w:pStyle w:val="TableContents"/>
              <w:spacing w:before="0" w:after="0"/>
              <w:ind w:left="0" w:right="0" w:firstLine="30"/>
              <w:rPr/>
            </w:pPr>
            <w:r>
              <w:rPr/>
              <w:t> </w:t>
            </w:r>
          </w:p>
        </w:tc>
        <w:tc>
          <w:tcPr>
            <w:tcW w:w="756"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Equity</w:t>
            </w:r>
          </w:p>
        </w:tc>
      </w:tr>
      <w:tr>
        <w:trPr/>
        <w:tc>
          <w:tcPr>
            <w:tcW w:w="1269" w:type="dxa"/>
            <w:tcBorders/>
            <w:shd w:fill="auto" w:val="clear"/>
            <w:vAlign w:val="center"/>
          </w:tcPr>
          <w:p>
            <w:pPr>
              <w:pStyle w:val="TableContents"/>
              <w:spacing w:before="0" w:after="0"/>
              <w:ind w:left="0" w:right="0" w:firstLine="30"/>
              <w:jc w:val="left"/>
              <w:rPr/>
            </w:pPr>
            <w:r>
              <w:rPr/>
              <w:t> </w:t>
            </w:r>
          </w:p>
        </w:tc>
        <w:tc>
          <w:tcPr>
            <w:tcW w:w="515" w:type="dxa"/>
            <w:gridSpan w:val="2"/>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7" w:type="dxa"/>
            <w:tcBorders/>
            <w:shd w:fill="auto" w:val="clear"/>
            <w:vAlign w:val="center"/>
          </w:tcPr>
          <w:p>
            <w:pPr>
              <w:pStyle w:val="TableContents"/>
              <w:spacing w:before="0" w:after="0"/>
              <w:ind w:left="0" w:right="0" w:firstLine="30"/>
              <w:rPr/>
            </w:pPr>
            <w:r>
              <w:rPr/>
              <w:t> </w:t>
            </w:r>
          </w:p>
        </w:tc>
        <w:tc>
          <w:tcPr>
            <w:tcW w:w="586" w:type="dxa"/>
            <w:gridSpan w:val="3"/>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547" w:type="dxa"/>
            <w:gridSpan w:val="2"/>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74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bottom w:val="single" w:sz="6" w:space="0" w:color="000000"/>
            </w:tcBorders>
            <w:shd w:fill="auto" w:val="clear"/>
            <w:tcMar>
              <w:bottom w:w="30" w:type="dxa"/>
            </w:tcMar>
            <w:vAlign w:val="center"/>
          </w:tcPr>
          <w:p>
            <w:pPr>
              <w:pStyle w:val="TableContents"/>
              <w:spacing w:before="0" w:after="0"/>
              <w:ind w:left="0" w:right="0" w:firstLine="30"/>
              <w:rPr/>
            </w:pPr>
            <w:r>
              <w:rPr/>
              <w:t> </w:t>
            </w:r>
          </w:p>
        </w:tc>
        <w:tc>
          <w:tcPr>
            <w:tcW w:w="95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56" w:type="dxa"/>
            <w:gridSpan w:val="3"/>
            <w:vMerge w:val="continue"/>
            <w:tcBorders>
              <w:bottom w:val="single" w:sz="6" w:space="0" w:color="000000"/>
            </w:tcBorders>
            <w:shd w:fill="auto" w:val="clear"/>
            <w:tcMar>
              <w:bottom w:w="30" w:type="dxa"/>
            </w:tcMar>
            <w:vAlign w:val="center"/>
          </w:tcPr>
          <w:p>
            <w:pPr>
              <w:pStyle w:val="Normal"/>
              <w:rPr/>
            </w:pPr>
            <w:r>
              <w:rPr/>
            </w:r>
          </w:p>
        </w:tc>
      </w:tr>
      <w:tr>
        <w:trPr/>
        <w:tc>
          <w:tcPr>
            <w:tcW w:w="1269" w:type="dxa"/>
            <w:tcBorders/>
            <w:shd w:fill="CCEEFF"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March 31, 2019</w:t>
            </w:r>
          </w:p>
        </w:tc>
        <w:tc>
          <w:tcPr>
            <w:tcW w:w="46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4"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pPr>
            <w:r>
              <w:rPr/>
              <w:t>—</w:t>
            </w:r>
          </w:p>
        </w:tc>
        <w:tc>
          <w:tcPr>
            <w:tcW w:w="36"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10,393</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437,850</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(18</w:t>
            </w:r>
          </w:p>
        </w:tc>
        <w:tc>
          <w:tcPr>
            <w:tcW w:w="24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(402,406</w:t>
            </w:r>
          </w:p>
        </w:tc>
        <w:tc>
          <w:tcPr>
            <w:tcW w:w="11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7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34,728</w:t>
            </w:r>
          </w:p>
        </w:tc>
        <w:tc>
          <w:tcPr>
            <w:tcW w:w="143"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(270</w:t>
            </w:r>
          </w:p>
        </w:tc>
        <w:tc>
          <w:tcPr>
            <w:tcW w:w="15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34,458</w:t>
            </w:r>
          </w:p>
        </w:tc>
        <w:tc>
          <w:tcPr>
            <w:tcW w:w="13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loss</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7"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(5,140</w:t>
            </w:r>
          </w:p>
        </w:tc>
        <w:tc>
          <w:tcPr>
            <w:tcW w:w="11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(5,140</w:t>
            </w:r>
          </w:p>
        </w:tc>
        <w:tc>
          <w:tcPr>
            <w:tcW w:w="14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(5,137</w:t>
            </w:r>
          </w:p>
        </w:tc>
        <w:tc>
          <w:tcPr>
            <w:tcW w:w="13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126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gain on marketable securities</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50" w:type="dxa"/>
            <w:gridSpan w:val="2"/>
            <w:tcBorders/>
            <w:shd w:fill="CCEEFF" w:val="clear"/>
            <w:vAlign w:val="center"/>
          </w:tcPr>
          <w:p>
            <w:pPr>
              <w:pStyle w:val="TableContents"/>
              <w:spacing w:before="0" w:after="0"/>
              <w:jc w:val="right"/>
              <w:rPr/>
            </w:pPr>
            <w:r>
              <w:rPr/>
              <w:t>—</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Share-based compensation</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jc w:val="right"/>
              <w:rPr/>
            </w:pPr>
            <w:r>
              <w:rPr/>
              <w:t>—</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7"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246</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proceeds from issuance of common stock</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50" w:type="dxa"/>
            <w:gridSpan w:val="2"/>
            <w:tcBorders/>
            <w:shd w:fill="CCEEFF" w:val="clear"/>
            <w:vAlign w:val="center"/>
          </w:tcPr>
          <w:p>
            <w:pPr>
              <w:pStyle w:val="TableContents"/>
              <w:spacing w:before="0" w:after="0"/>
              <w:jc w:val="right"/>
              <w:rPr/>
            </w:pPr>
            <w:r>
              <w:rPr/>
              <w:t>—</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7" w:type="dxa"/>
            <w:tcBorders/>
            <w:shd w:fill="CCEEFF" w:val="clear"/>
            <w:vAlign w:val="center"/>
          </w:tcPr>
          <w:p>
            <w:pPr>
              <w:pStyle w:val="TableContents"/>
              <w:spacing w:before="0" w:after="0"/>
              <w:jc w:val="right"/>
              <w:rPr>
                <w:rFonts w:ascii="inherit" w:hAnsi="inherit"/>
                <w:sz w:val="13"/>
              </w:rPr>
            </w:pPr>
            <w:r>
              <w:rPr>
                <w:rFonts w:ascii="inherit" w:hAnsi="inherit"/>
                <w:sz w:val="13"/>
              </w:rPr>
              <w:t>20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pPr>
            <w:r>
              <w:rPr/>
              <w:t>—</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June 30, 2019</w:t>
            </w:r>
          </w:p>
        </w:tc>
        <w:tc>
          <w:tcPr>
            <w:tcW w:w="46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4"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pPr>
            <w:r>
              <w:rPr/>
              <w:t>—</w:t>
            </w:r>
          </w:p>
        </w:tc>
        <w:tc>
          <w:tcPr>
            <w:tcW w:w="36"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7"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10,413</w:t>
            </w:r>
          </w:p>
        </w:tc>
        <w:tc>
          <w:tcPr>
            <w:tcW w:w="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438,133</w:t>
            </w:r>
          </w:p>
        </w:tc>
        <w:tc>
          <w:tcPr>
            <w:tcW w:w="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pPr>
            <w:r>
              <w:rPr/>
              <w:t>—</w:t>
            </w:r>
          </w:p>
        </w:tc>
        <w:tc>
          <w:tcPr>
            <w:tcW w:w="243"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(407,546</w:t>
            </w:r>
          </w:p>
        </w:tc>
        <w:tc>
          <w:tcPr>
            <w:tcW w:w="113"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7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29,889</w:t>
            </w:r>
          </w:p>
        </w:tc>
        <w:tc>
          <w:tcPr>
            <w:tcW w:w="143"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(267</w:t>
            </w:r>
          </w:p>
        </w:tc>
        <w:tc>
          <w:tcPr>
            <w:tcW w:w="15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29,622</w:t>
            </w:r>
          </w:p>
        </w:tc>
        <w:tc>
          <w:tcPr>
            <w:tcW w:w="13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69" w:type="dxa"/>
            <w:tcBorders/>
            <w:shd w:fill="auto" w:val="clear"/>
            <w:vAlign w:val="center"/>
          </w:tcPr>
          <w:p>
            <w:pPr>
              <w:pStyle w:val="TableContents"/>
              <w:spacing w:before="0" w:after="0"/>
              <w:ind w:left="0" w:right="0" w:firstLine="30"/>
              <w:rPr/>
            </w:pPr>
            <w:r>
              <w:rPr/>
              <w:t> </w:t>
            </w:r>
          </w:p>
        </w:tc>
        <w:tc>
          <w:tcPr>
            <w:tcW w:w="515" w:type="dxa"/>
            <w:gridSpan w:val="2"/>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58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6" w:type="dxa"/>
            <w:gridSpan w:val="3"/>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12"/>
        <w:gridCol w:w="465"/>
        <w:gridCol w:w="50"/>
        <w:gridCol w:w="95"/>
        <w:gridCol w:w="196"/>
        <w:gridCol w:w="351"/>
        <w:gridCol w:w="35"/>
        <w:gridCol w:w="90"/>
        <w:gridCol w:w="516"/>
        <w:gridCol w:w="30"/>
        <w:gridCol w:w="90"/>
        <w:gridCol w:w="186"/>
        <w:gridCol w:w="338"/>
        <w:gridCol w:w="51"/>
        <w:gridCol w:w="90"/>
        <w:gridCol w:w="110"/>
        <w:gridCol w:w="605"/>
        <w:gridCol w:w="110"/>
        <w:gridCol w:w="90"/>
        <w:gridCol w:w="241"/>
        <w:gridCol w:w="571"/>
        <w:gridCol w:w="243"/>
        <w:gridCol w:w="90"/>
        <w:gridCol w:w="112"/>
        <w:gridCol w:w="680"/>
        <w:gridCol w:w="113"/>
        <w:gridCol w:w="90"/>
        <w:gridCol w:w="116"/>
        <w:gridCol w:w="371"/>
        <w:gridCol w:w="118"/>
        <w:gridCol w:w="90"/>
        <w:gridCol w:w="140"/>
        <w:gridCol w:w="659"/>
        <w:gridCol w:w="141"/>
        <w:gridCol w:w="90"/>
        <w:gridCol w:w="151"/>
        <w:gridCol w:w="482"/>
        <w:gridCol w:w="152"/>
        <w:gridCol w:w="90"/>
        <w:gridCol w:w="110"/>
        <w:gridCol w:w="515"/>
        <w:gridCol w:w="130"/>
      </w:tblGrid>
      <w:tr>
        <w:trPr/>
        <w:tc>
          <w:tcPr>
            <w:tcW w:w="10205" w:type="dxa"/>
            <w:gridSpan w:val="42"/>
            <w:tcBorders/>
            <w:shd w:fill="auto" w:val="clear"/>
            <w:vAlign w:val="center"/>
          </w:tcPr>
          <w:p>
            <w:pPr>
              <w:pStyle w:val="TableContents"/>
              <w:spacing w:before="0" w:after="283"/>
              <w:rPr>
                <w:sz w:val="4"/>
                <w:szCs w:val="4"/>
              </w:rPr>
            </w:pPr>
            <w:r>
              <w:rPr>
                <w:sz w:val="4"/>
                <w:szCs w:val="4"/>
              </w:rPr>
            </w:r>
          </w:p>
        </w:tc>
      </w:tr>
      <w:tr>
        <w:trPr/>
        <w:tc>
          <w:tcPr>
            <w:tcW w:w="121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12" w:type="dxa"/>
            <w:tcBorders/>
            <w:shd w:fill="auto" w:val="clear"/>
            <w:vAlign w:val="center"/>
          </w:tcPr>
          <w:p>
            <w:pPr>
              <w:pStyle w:val="TableContents"/>
              <w:spacing w:before="0" w:after="0"/>
              <w:ind w:left="0" w:right="0" w:firstLine="30"/>
              <w:jc w:val="left"/>
              <w:rPr/>
            </w:pPr>
            <w:r>
              <w:rPr/>
              <w:t> </w:t>
            </w:r>
          </w:p>
        </w:tc>
        <w:tc>
          <w:tcPr>
            <w:tcW w:w="1192" w:type="dxa"/>
            <w:gridSpan w:val="6"/>
            <w:tcBorders>
              <w:bottom w:val="single" w:sz="1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Series B Convertible</w:t>
            </w:r>
          </w:p>
          <w:p>
            <w:pPr>
              <w:pStyle w:val="TableContents"/>
              <w:spacing w:before="0" w:after="0"/>
              <w:ind w:left="0" w:right="0" w:firstLine="30"/>
              <w:jc w:val="center"/>
              <w:rPr>
                <w:rFonts w:ascii="inherit" w:hAnsi="inherit"/>
                <w:b/>
                <w:sz w:val="12"/>
              </w:rPr>
            </w:pPr>
            <w:r>
              <w:rPr>
                <w:rFonts w:ascii="inherit" w:hAnsi="inherit"/>
                <w:b/>
                <w:sz w:val="12"/>
              </w:rPr>
              <w:t>Preferred Stock</w:t>
            </w:r>
          </w:p>
        </w:tc>
        <w:tc>
          <w:tcPr>
            <w:tcW w:w="90" w:type="dxa"/>
            <w:tcBorders/>
            <w:shd w:fill="auto" w:val="clear"/>
            <w:vAlign w:val="center"/>
          </w:tcPr>
          <w:p>
            <w:pPr>
              <w:pStyle w:val="TableContents"/>
              <w:spacing w:before="0" w:after="0"/>
              <w:ind w:left="0" w:right="0" w:firstLine="30"/>
              <w:rPr/>
            </w:pPr>
            <w:r>
              <w:rPr/>
              <w:t> </w:t>
            </w:r>
          </w:p>
        </w:tc>
        <w:tc>
          <w:tcPr>
            <w:tcW w:w="1211" w:type="dxa"/>
            <w:gridSpan w:val="6"/>
            <w:tcBorders>
              <w:bottom w:val="single" w:sz="1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Common Stock</w:t>
            </w:r>
          </w:p>
        </w:tc>
        <w:tc>
          <w:tcPr>
            <w:tcW w:w="90" w:type="dxa"/>
            <w:tcBorders/>
            <w:shd w:fill="auto" w:val="clear"/>
            <w:vAlign w:val="center"/>
          </w:tcPr>
          <w:p>
            <w:pPr>
              <w:pStyle w:val="TableContents"/>
              <w:spacing w:before="0" w:after="0"/>
              <w:ind w:left="0" w:right="0" w:firstLine="30"/>
              <w:rPr/>
            </w:pPr>
            <w:r>
              <w:rPr/>
              <w:t> </w:t>
            </w:r>
          </w:p>
        </w:tc>
        <w:tc>
          <w:tcPr>
            <w:tcW w:w="82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Additional</w:t>
            </w:r>
          </w:p>
          <w:p>
            <w:pPr>
              <w:pStyle w:val="TableContents"/>
              <w:spacing w:before="0" w:after="0"/>
              <w:jc w:val="center"/>
              <w:rPr>
                <w:rFonts w:ascii="inherit" w:hAnsi="inherit"/>
                <w:b/>
                <w:sz w:val="12"/>
              </w:rPr>
            </w:pPr>
            <w:r>
              <w:rPr>
                <w:rFonts w:ascii="inherit" w:hAnsi="inherit"/>
                <w:b/>
                <w:sz w:val="12"/>
              </w:rPr>
              <w:t>Paid in</w:t>
            </w:r>
          </w:p>
          <w:p>
            <w:pPr>
              <w:pStyle w:val="TableContents"/>
              <w:spacing w:before="0" w:after="0"/>
              <w:ind w:left="0" w:right="0" w:firstLine="30"/>
              <w:jc w:val="center"/>
              <w:rPr>
                <w:rFonts w:ascii="inherit" w:hAnsi="inherit"/>
                <w:b/>
                <w:sz w:val="12"/>
              </w:rPr>
            </w:pPr>
            <w:r>
              <w:rPr>
                <w:rFonts w:ascii="inherit" w:hAnsi="inherit"/>
                <w:b/>
                <w:sz w:val="12"/>
              </w:rPr>
              <w:t>Capital</w:t>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jc w:val="center"/>
              <w:rPr>
                <w:rFonts w:ascii="inherit" w:hAnsi="inherit"/>
                <w:b/>
                <w:sz w:val="12"/>
              </w:rPr>
            </w:pPr>
            <w:r>
              <w:rPr>
                <w:rFonts w:ascii="inherit" w:hAnsi="inherit"/>
                <w:b/>
                <w:sz w:val="12"/>
              </w:rPr>
              <w:t>Other</w:t>
            </w:r>
          </w:p>
          <w:p>
            <w:pPr>
              <w:pStyle w:val="TableContents"/>
              <w:spacing w:before="0" w:after="0"/>
              <w:jc w:val="center"/>
              <w:rPr>
                <w:rFonts w:ascii="inherit" w:hAnsi="inherit"/>
                <w:b/>
                <w:sz w:val="12"/>
              </w:rPr>
            </w:pPr>
            <w:r>
              <w:rPr>
                <w:rFonts w:ascii="inherit" w:hAnsi="inherit"/>
                <w:b/>
                <w:sz w:val="12"/>
              </w:rPr>
              <w:t>Comprehensive</w:t>
            </w:r>
          </w:p>
          <w:p>
            <w:pPr>
              <w:pStyle w:val="TableContents"/>
              <w:spacing w:before="0" w:after="0"/>
              <w:ind w:left="0" w:right="0" w:firstLine="30"/>
              <w:jc w:val="center"/>
              <w:rPr>
                <w:rFonts w:ascii="inherit" w:hAnsi="inherit"/>
                <w:b/>
                <w:sz w:val="12"/>
              </w:rPr>
            </w:pPr>
            <w:r>
              <w:rPr>
                <w:rFonts w:ascii="inherit" w:hAnsi="inherit"/>
                <w:b/>
                <w:sz w:val="12"/>
              </w:rPr>
              <w:t>Loss</w:t>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ind w:left="0" w:right="0" w:firstLine="30"/>
              <w:jc w:val="center"/>
              <w:rPr>
                <w:rFonts w:ascii="inherit" w:hAnsi="inherit"/>
                <w:b/>
                <w:sz w:val="12"/>
              </w:rPr>
            </w:pPr>
            <w:r>
              <w:rPr>
                <w:rFonts w:ascii="inherit" w:hAnsi="inherit"/>
                <w:b/>
                <w:sz w:val="12"/>
              </w:rPr>
              <w:t>Deficit</w:t>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Treasury</w:t>
            </w:r>
          </w:p>
          <w:p>
            <w:pPr>
              <w:pStyle w:val="TableContents"/>
              <w:spacing w:before="0" w:after="0"/>
              <w:ind w:left="0" w:right="0" w:firstLine="30"/>
              <w:jc w:val="center"/>
              <w:rPr>
                <w:rFonts w:ascii="inherit" w:hAnsi="inherit"/>
                <w:b/>
                <w:sz w:val="12"/>
              </w:rPr>
            </w:pPr>
            <w:r>
              <w:rPr>
                <w:rFonts w:ascii="inherit" w:hAnsi="inherit"/>
                <w:b/>
                <w:sz w:val="12"/>
              </w:rPr>
              <w:t>Stock</w:t>
            </w:r>
          </w:p>
        </w:tc>
        <w:tc>
          <w:tcPr>
            <w:tcW w:w="90" w:type="dxa"/>
            <w:tcBorders/>
            <w:shd w:fill="auto" w:val="clear"/>
            <w:vAlign w:val="center"/>
          </w:tcPr>
          <w:p>
            <w:pPr>
              <w:pStyle w:val="TableContents"/>
              <w:spacing w:before="0" w:after="0"/>
              <w:ind w:left="0" w:right="0" w:firstLine="30"/>
              <w:rPr/>
            </w:pPr>
            <w:r>
              <w:rPr/>
              <w:t> </w:t>
            </w:r>
          </w:p>
        </w:tc>
        <w:tc>
          <w:tcPr>
            <w:tcW w:w="940"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jc w:val="center"/>
              <w:rPr>
                <w:rFonts w:ascii="inherit" w:hAnsi="inherit"/>
                <w:b/>
                <w:sz w:val="12"/>
              </w:rPr>
            </w:pPr>
            <w:r>
              <w:rPr>
                <w:rFonts w:ascii="inherit" w:hAnsi="inherit"/>
                <w:b/>
                <w:sz w:val="12"/>
              </w:rPr>
              <w:t>Caladrius Biosciences,</w:t>
            </w:r>
          </w:p>
          <w:p>
            <w:pPr>
              <w:pStyle w:val="TableContents"/>
              <w:spacing w:before="0" w:after="0"/>
              <w:jc w:val="center"/>
              <w:rPr>
                <w:rFonts w:ascii="inherit" w:hAnsi="inherit"/>
                <w:b/>
                <w:sz w:val="12"/>
              </w:rPr>
            </w:pPr>
            <w:r>
              <w:rPr>
                <w:rFonts w:ascii="inherit" w:hAnsi="inherit"/>
                <w:b/>
                <w:sz w:val="12"/>
              </w:rPr>
              <w:t>Inc.</w:t>
            </w:r>
          </w:p>
          <w:p>
            <w:pPr>
              <w:pStyle w:val="TableContents"/>
              <w:spacing w:before="0" w:after="0"/>
              <w:jc w:val="center"/>
              <w:rPr>
                <w:rFonts w:ascii="inherit" w:hAnsi="inherit"/>
                <w:b/>
                <w:sz w:val="12"/>
              </w:rPr>
            </w:pPr>
            <w:r>
              <w:rPr>
                <w:rFonts w:ascii="inherit" w:hAnsi="inherit"/>
                <w:b/>
                <w:sz w:val="12"/>
              </w:rPr>
              <w:t>Stockholders'</w:t>
            </w:r>
          </w:p>
          <w:p>
            <w:pPr>
              <w:pStyle w:val="TableContents"/>
              <w:spacing w:before="0" w:after="0"/>
              <w:ind w:left="0" w:right="0" w:firstLine="30"/>
              <w:jc w:val="center"/>
              <w:rPr>
                <w:rFonts w:ascii="inherit" w:hAnsi="inherit"/>
                <w:b/>
                <w:sz w:val="12"/>
              </w:rPr>
            </w:pPr>
            <w:r>
              <w:rPr>
                <w:rFonts w:ascii="inherit" w:hAnsi="inherit"/>
                <w:b/>
                <w:sz w:val="12"/>
              </w:rPr>
              <w:t>Equity</w:t>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Non-</w:t>
            </w:r>
          </w:p>
          <w:p>
            <w:pPr>
              <w:pStyle w:val="TableContents"/>
              <w:spacing w:before="0" w:after="0"/>
              <w:jc w:val="center"/>
              <w:rPr>
                <w:rFonts w:ascii="inherit" w:hAnsi="inherit"/>
                <w:b/>
                <w:sz w:val="12"/>
              </w:rPr>
            </w:pPr>
            <w:r>
              <w:rPr>
                <w:rFonts w:ascii="inherit" w:hAnsi="inherit"/>
                <w:b/>
                <w:sz w:val="12"/>
              </w:rPr>
              <w:t>Controlling</w:t>
            </w:r>
          </w:p>
          <w:p>
            <w:pPr>
              <w:pStyle w:val="TableContents"/>
              <w:spacing w:before="0" w:after="0"/>
              <w:jc w:val="center"/>
              <w:rPr>
                <w:rFonts w:ascii="inherit" w:hAnsi="inherit"/>
                <w:b/>
                <w:sz w:val="12"/>
              </w:rPr>
            </w:pPr>
            <w:r>
              <w:rPr>
                <w:rFonts w:ascii="inherit" w:hAnsi="inherit"/>
                <w:b/>
                <w:sz w:val="12"/>
              </w:rPr>
              <w:t>Interest in</w:t>
            </w:r>
          </w:p>
          <w:p>
            <w:pPr>
              <w:pStyle w:val="TableContents"/>
              <w:spacing w:before="0" w:after="0"/>
              <w:ind w:left="0" w:right="0" w:firstLine="30"/>
              <w:jc w:val="center"/>
              <w:rPr>
                <w:rFonts w:ascii="inherit" w:hAnsi="inherit"/>
                <w:b/>
                <w:sz w:val="12"/>
              </w:rPr>
            </w:pPr>
            <w:r>
              <w:rPr>
                <w:rFonts w:ascii="inherit" w:hAnsi="inherit"/>
                <w:b/>
                <w:sz w:val="12"/>
              </w:rPr>
              <w:t>Subsidiary</w:t>
            </w:r>
          </w:p>
        </w:tc>
        <w:tc>
          <w:tcPr>
            <w:tcW w:w="90" w:type="dxa"/>
            <w:tcBorders/>
            <w:shd w:fill="auto" w:val="clear"/>
            <w:vAlign w:val="center"/>
          </w:tcPr>
          <w:p>
            <w:pPr>
              <w:pStyle w:val="TableContents"/>
              <w:spacing w:before="0" w:after="0"/>
              <w:ind w:left="0" w:right="0" w:firstLine="30"/>
              <w:rPr/>
            </w:pPr>
            <w:r>
              <w:rPr/>
              <w:t> </w:t>
            </w:r>
          </w:p>
        </w:tc>
        <w:tc>
          <w:tcPr>
            <w:tcW w:w="755" w:type="dxa"/>
            <w:gridSpan w:val="3"/>
            <w:vMerge w:val="restart"/>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Equity</w:t>
            </w:r>
          </w:p>
        </w:tc>
      </w:tr>
      <w:tr>
        <w:trPr/>
        <w:tc>
          <w:tcPr>
            <w:tcW w:w="1212" w:type="dxa"/>
            <w:tcBorders/>
            <w:shd w:fill="auto" w:val="clear"/>
            <w:vAlign w:val="center"/>
          </w:tcPr>
          <w:p>
            <w:pPr>
              <w:pStyle w:val="TableContents"/>
              <w:spacing w:before="0" w:after="0"/>
              <w:ind w:left="0" w:right="0" w:firstLine="30"/>
              <w:jc w:val="left"/>
              <w:rPr/>
            </w:pPr>
            <w:r>
              <w:rPr/>
              <w:t> </w:t>
            </w:r>
          </w:p>
        </w:tc>
        <w:tc>
          <w:tcPr>
            <w:tcW w:w="515" w:type="dxa"/>
            <w:gridSpan w:val="2"/>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5" w:type="dxa"/>
            <w:tcBorders/>
            <w:shd w:fill="auto" w:val="clear"/>
            <w:vAlign w:val="center"/>
          </w:tcPr>
          <w:p>
            <w:pPr>
              <w:pStyle w:val="TableContents"/>
              <w:spacing w:before="0" w:after="0"/>
              <w:ind w:left="0" w:right="0" w:firstLine="30"/>
              <w:rPr/>
            </w:pPr>
            <w:r>
              <w:rPr/>
              <w:t> </w:t>
            </w:r>
          </w:p>
        </w:tc>
        <w:tc>
          <w:tcPr>
            <w:tcW w:w="582"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82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40"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continue"/>
            <w:tcBorders/>
            <w:shd w:fill="auto" w:val="cle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55" w:type="dxa"/>
            <w:gridSpan w:val="3"/>
            <w:vMerge w:val="continue"/>
            <w:tcBorders/>
            <w:shd w:fill="auto" w:val="clear"/>
            <w:vAlign w:val="center"/>
          </w:tcPr>
          <w:p>
            <w:pPr>
              <w:pStyle w:val="Normal"/>
              <w:rPr/>
            </w:pPr>
            <w:r>
              <w:rPr/>
            </w:r>
          </w:p>
        </w:tc>
      </w:tr>
      <w:tr>
        <w:trPr/>
        <w:tc>
          <w:tcPr>
            <w:tcW w:w="1212" w:type="dxa"/>
            <w:tcBorders/>
            <w:shd w:fill="CCEEFF"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December 31, 2017</w:t>
            </w:r>
          </w:p>
        </w:tc>
        <w:tc>
          <w:tcPr>
            <w:tcW w:w="46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pPr>
            <w:r>
              <w:rPr/>
              <w:t>—</w:t>
            </w:r>
          </w:p>
        </w:tc>
        <w:tc>
          <w:tcPr>
            <w:tcW w:w="35"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9,484</w:t>
            </w:r>
          </w:p>
        </w:tc>
        <w:tc>
          <w:tcPr>
            <w:tcW w:w="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w:t>
            </w:r>
          </w:p>
        </w:tc>
        <w:tc>
          <w:tcPr>
            <w:tcW w:w="5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433,044</w:t>
            </w:r>
          </w:p>
        </w:tc>
        <w:tc>
          <w:tcPr>
            <w:tcW w:w="11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(28</w:t>
            </w:r>
          </w:p>
        </w:tc>
        <w:tc>
          <w:tcPr>
            <w:tcW w:w="24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(381,810</w:t>
            </w:r>
          </w:p>
        </w:tc>
        <w:tc>
          <w:tcPr>
            <w:tcW w:w="113"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59"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50,507</w:t>
            </w:r>
          </w:p>
        </w:tc>
        <w:tc>
          <w:tcPr>
            <w:tcW w:w="141"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(318</w:t>
            </w:r>
          </w:p>
        </w:tc>
        <w:tc>
          <w:tcPr>
            <w:tcW w:w="152"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50,189</w:t>
            </w:r>
          </w:p>
        </w:tc>
        <w:tc>
          <w:tcPr>
            <w:tcW w:w="130" w:type="dxa"/>
            <w:tcBorders>
              <w:top w:val="single" w:sz="6" w:space="0" w:color="000000"/>
              <w:bottom w:val="sing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loss</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jc w:val="right"/>
              <w:rPr/>
            </w:pPr>
            <w:r>
              <w:rPr/>
              <w:t>—</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(9,059</w:t>
            </w:r>
          </w:p>
        </w:tc>
        <w:tc>
          <w:tcPr>
            <w:tcW w:w="11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(9,059</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w:t>
            </w:r>
          </w:p>
        </w:tc>
        <w:tc>
          <w:tcPr>
            <w:tcW w:w="15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(9,062</w:t>
            </w:r>
          </w:p>
        </w:tc>
        <w:tc>
          <w:tcPr>
            <w:tcW w:w="1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12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loss on marketable securities</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547"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24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1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12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Share-based compensation</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jc w:val="right"/>
              <w:rPr/>
            </w:pPr>
            <w:r>
              <w:rPr/>
              <w:t>—</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rFonts w:ascii="inherit" w:hAnsi="inherit"/>
                <w:sz w:val="13"/>
              </w:rPr>
            </w:pPr>
            <w:r>
              <w:rPr>
                <w:rFonts w:ascii="inherit" w:hAnsi="inherit"/>
                <w:sz w:val="13"/>
              </w:rPr>
              <w:t>126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1,713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1,713</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proceeds from issuance of common stock</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547"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rFonts w:ascii="inherit" w:hAnsi="inherit"/>
                <w:sz w:val="13"/>
              </w:rPr>
            </w:pPr>
            <w:r>
              <w:rPr>
                <w:rFonts w:ascii="inherit" w:hAnsi="inherit"/>
                <w:sz w:val="13"/>
              </w:rPr>
              <w:t>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pPr>
            <w:r>
              <w:rPr/>
              <w:t>—</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288</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288</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option exercises</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jc w:val="right"/>
              <w:rPr/>
            </w:pPr>
            <w:r>
              <w:rPr/>
              <w:t>—</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rFonts w:ascii="inherit" w:hAnsi="inherit"/>
                <w:sz w:val="13"/>
              </w:rPr>
            </w:pPr>
            <w:r>
              <w:rPr>
                <w:rFonts w:ascii="inherit" w:hAnsi="inherit"/>
                <w:sz w:val="13"/>
              </w:rPr>
              <w:t>75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342</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Change in ownership in subsidiary</w:t>
            </w:r>
          </w:p>
        </w:tc>
        <w:tc>
          <w:tcPr>
            <w:tcW w:w="465" w:type="dxa"/>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5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547" w:type="dxa"/>
            <w:gridSpan w:val="2"/>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35"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51"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w:t>
            </w:r>
          </w:p>
        </w:tc>
        <w:tc>
          <w:tcPr>
            <w:tcW w:w="1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243"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113"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bottom w:val="single" w:sz="6" w:space="0" w:color="000000"/>
            </w:tcBorders>
            <w:shd w:fill="CCEEFF" w:val="clear"/>
            <w:tcMar>
              <w:bottom w:w="30" w:type="dxa"/>
            </w:tcMar>
            <w:vAlign w:val="center"/>
          </w:tcPr>
          <w:p>
            <w:pPr>
              <w:pStyle w:val="TableContents"/>
              <w:spacing w:before="0" w:after="0"/>
              <w:jc w:val="right"/>
              <w:rPr/>
            </w:pPr>
            <w:r>
              <w:rPr/>
              <w:t>—</w:t>
            </w:r>
          </w:p>
        </w:tc>
        <w:tc>
          <w:tcPr>
            <w:tcW w:w="118"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June 30, 2018</w:t>
            </w:r>
          </w:p>
        </w:tc>
        <w:tc>
          <w:tcPr>
            <w:tcW w:w="46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pPr>
            <w:r>
              <w:rPr/>
              <w:t>—</w:t>
            </w:r>
          </w:p>
        </w:tc>
        <w:tc>
          <w:tcPr>
            <w:tcW w:w="3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9,735</w:t>
            </w:r>
          </w:p>
        </w:tc>
        <w:tc>
          <w:tcPr>
            <w:tcW w:w="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435,338</w:t>
            </w:r>
          </w:p>
        </w:tc>
        <w:tc>
          <w:tcPr>
            <w:tcW w:w="11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(31</w:t>
            </w:r>
          </w:p>
        </w:tc>
        <w:tc>
          <w:tcPr>
            <w:tcW w:w="243"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(390,869</w:t>
            </w:r>
          </w:p>
        </w:tc>
        <w:tc>
          <w:tcPr>
            <w:tcW w:w="113"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59"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43,740</w:t>
            </w:r>
          </w:p>
        </w:tc>
        <w:tc>
          <w:tcPr>
            <w:tcW w:w="14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(273</w:t>
            </w:r>
          </w:p>
        </w:tc>
        <w:tc>
          <w:tcPr>
            <w:tcW w:w="15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43,467</w:t>
            </w:r>
          </w:p>
        </w:tc>
        <w:tc>
          <w:tcPr>
            <w:tcW w:w="1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rPr/>
            </w:pPr>
            <w:r>
              <w:rPr/>
              <w:t> </w:t>
            </w:r>
          </w:p>
        </w:tc>
        <w:tc>
          <w:tcPr>
            <w:tcW w:w="515" w:type="dxa"/>
            <w:gridSpan w:val="2"/>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58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ind w:left="0" w:right="0" w:firstLine="30"/>
              <w:rPr/>
            </w:pPr>
            <w:r>
              <w:rPr/>
              <w:t> </w:t>
            </w:r>
          </w:p>
        </w:tc>
      </w:tr>
      <w:tr>
        <w:trPr/>
        <w:tc>
          <w:tcPr>
            <w:tcW w:w="1212" w:type="dxa"/>
            <w:tcBorders/>
            <w:shd w:fill="auto" w:val="clear"/>
            <w:vAlign w:val="center"/>
          </w:tcPr>
          <w:p>
            <w:pPr>
              <w:pStyle w:val="TableContents"/>
              <w:spacing w:before="0" w:after="0"/>
              <w:ind w:left="0" w:right="0" w:firstLine="30"/>
              <w:jc w:val="left"/>
              <w:rPr/>
            </w:pPr>
            <w:r>
              <w:rPr/>
              <w:t> </w:t>
            </w:r>
          </w:p>
        </w:tc>
        <w:tc>
          <w:tcPr>
            <w:tcW w:w="1192" w:type="dxa"/>
            <w:gridSpan w:val="6"/>
            <w:tcBorders>
              <w:bottom w:val="single" w:sz="12"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Series B Convertible</w:t>
            </w:r>
          </w:p>
          <w:p>
            <w:pPr>
              <w:pStyle w:val="TableContents"/>
              <w:spacing w:before="0" w:after="0"/>
              <w:ind w:left="0" w:right="0" w:firstLine="30"/>
              <w:jc w:val="center"/>
              <w:rPr>
                <w:rFonts w:ascii="inherit" w:hAnsi="inherit"/>
                <w:b/>
                <w:sz w:val="12"/>
              </w:rPr>
            </w:pPr>
            <w:r>
              <w:rPr>
                <w:rFonts w:ascii="inherit" w:hAnsi="inherit"/>
                <w:b/>
                <w:sz w:val="12"/>
              </w:rPr>
              <w:t>Preferred Stock</w:t>
            </w:r>
          </w:p>
        </w:tc>
        <w:tc>
          <w:tcPr>
            <w:tcW w:w="90" w:type="dxa"/>
            <w:tcBorders/>
            <w:shd w:fill="auto" w:val="clear"/>
            <w:vAlign w:val="center"/>
          </w:tcPr>
          <w:p>
            <w:pPr>
              <w:pStyle w:val="TableContents"/>
              <w:spacing w:before="0" w:after="0"/>
              <w:ind w:left="0" w:right="0" w:firstLine="30"/>
              <w:rPr/>
            </w:pPr>
            <w:r>
              <w:rPr/>
              <w:t> </w:t>
            </w:r>
          </w:p>
        </w:tc>
        <w:tc>
          <w:tcPr>
            <w:tcW w:w="1211" w:type="dxa"/>
            <w:gridSpan w:val="6"/>
            <w:tcBorders>
              <w:bottom w:val="single" w:sz="1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Common Stock</w:t>
            </w:r>
          </w:p>
        </w:tc>
        <w:tc>
          <w:tcPr>
            <w:tcW w:w="90" w:type="dxa"/>
            <w:tcBorders/>
            <w:shd w:fill="auto" w:val="clear"/>
            <w:vAlign w:val="center"/>
          </w:tcPr>
          <w:p>
            <w:pPr>
              <w:pStyle w:val="TableContents"/>
              <w:spacing w:before="0" w:after="0"/>
              <w:ind w:left="0" w:right="0" w:firstLine="30"/>
              <w:rPr/>
            </w:pPr>
            <w:r>
              <w:rPr/>
              <w:t> </w:t>
            </w:r>
          </w:p>
        </w:tc>
        <w:tc>
          <w:tcPr>
            <w:tcW w:w="82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Additional</w:t>
            </w:r>
          </w:p>
          <w:p>
            <w:pPr>
              <w:pStyle w:val="TableContents"/>
              <w:spacing w:before="0" w:after="0"/>
              <w:jc w:val="center"/>
              <w:rPr>
                <w:rFonts w:ascii="inherit" w:hAnsi="inherit"/>
                <w:b/>
                <w:sz w:val="12"/>
              </w:rPr>
            </w:pPr>
            <w:r>
              <w:rPr>
                <w:rFonts w:ascii="inherit" w:hAnsi="inherit"/>
                <w:b/>
                <w:sz w:val="12"/>
              </w:rPr>
              <w:t>Paid in</w:t>
            </w:r>
          </w:p>
          <w:p>
            <w:pPr>
              <w:pStyle w:val="TableContents"/>
              <w:spacing w:before="0" w:after="0"/>
              <w:ind w:left="0" w:right="0" w:firstLine="30"/>
              <w:jc w:val="center"/>
              <w:rPr>
                <w:rFonts w:ascii="inherit" w:hAnsi="inherit"/>
                <w:b/>
                <w:sz w:val="12"/>
              </w:rPr>
            </w:pPr>
            <w:r>
              <w:rPr>
                <w:rFonts w:ascii="inherit" w:hAnsi="inherit"/>
                <w:b/>
                <w:sz w:val="12"/>
              </w:rPr>
              <w:t>Capital</w:t>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jc w:val="center"/>
              <w:rPr>
                <w:rFonts w:ascii="inherit" w:hAnsi="inherit"/>
                <w:b/>
                <w:sz w:val="12"/>
              </w:rPr>
            </w:pPr>
            <w:r>
              <w:rPr>
                <w:rFonts w:ascii="inherit" w:hAnsi="inherit"/>
                <w:b/>
                <w:sz w:val="12"/>
              </w:rPr>
              <w:t>Other</w:t>
            </w:r>
          </w:p>
          <w:p>
            <w:pPr>
              <w:pStyle w:val="TableContents"/>
              <w:spacing w:before="0" w:after="0"/>
              <w:jc w:val="center"/>
              <w:rPr>
                <w:rFonts w:ascii="inherit" w:hAnsi="inherit"/>
                <w:b/>
                <w:sz w:val="12"/>
              </w:rPr>
            </w:pPr>
            <w:r>
              <w:rPr>
                <w:rFonts w:ascii="inherit" w:hAnsi="inherit"/>
                <w:b/>
                <w:sz w:val="12"/>
              </w:rPr>
              <w:t>Comprehensive</w:t>
            </w:r>
          </w:p>
          <w:p>
            <w:pPr>
              <w:pStyle w:val="TableContents"/>
              <w:spacing w:before="0" w:after="0"/>
              <w:ind w:left="0" w:right="0" w:firstLine="30"/>
              <w:jc w:val="center"/>
              <w:rPr>
                <w:rFonts w:ascii="inherit" w:hAnsi="inherit"/>
                <w:b/>
                <w:sz w:val="12"/>
              </w:rPr>
            </w:pPr>
            <w:r>
              <w:rPr>
                <w:rFonts w:ascii="inherit" w:hAnsi="inherit"/>
                <w:b/>
                <w:sz w:val="12"/>
              </w:rPr>
              <w:t>Loss</w:t>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Accumulated</w:t>
            </w:r>
          </w:p>
          <w:p>
            <w:pPr>
              <w:pStyle w:val="TableContents"/>
              <w:spacing w:before="0" w:after="0"/>
              <w:ind w:left="0" w:right="0" w:firstLine="30"/>
              <w:jc w:val="center"/>
              <w:rPr>
                <w:rFonts w:ascii="inherit" w:hAnsi="inherit"/>
                <w:b/>
                <w:sz w:val="12"/>
              </w:rPr>
            </w:pPr>
            <w:r>
              <w:rPr>
                <w:rFonts w:ascii="inherit" w:hAnsi="inherit"/>
                <w:b/>
                <w:sz w:val="12"/>
              </w:rPr>
              <w:t>Deficit</w:t>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Treasury</w:t>
            </w:r>
          </w:p>
          <w:p>
            <w:pPr>
              <w:pStyle w:val="TableContents"/>
              <w:spacing w:before="0" w:after="0"/>
              <w:ind w:left="0" w:right="0" w:firstLine="30"/>
              <w:jc w:val="center"/>
              <w:rPr>
                <w:rFonts w:ascii="inherit" w:hAnsi="inherit"/>
                <w:b/>
                <w:sz w:val="12"/>
              </w:rPr>
            </w:pPr>
            <w:r>
              <w:rPr>
                <w:rFonts w:ascii="inherit" w:hAnsi="inherit"/>
                <w:b/>
                <w:sz w:val="12"/>
              </w:rPr>
              <w:t>Stock</w:t>
            </w:r>
          </w:p>
        </w:tc>
        <w:tc>
          <w:tcPr>
            <w:tcW w:w="90" w:type="dxa"/>
            <w:tcBorders/>
            <w:shd w:fill="auto" w:val="clear"/>
            <w:vAlign w:val="center"/>
          </w:tcPr>
          <w:p>
            <w:pPr>
              <w:pStyle w:val="TableContents"/>
              <w:spacing w:before="0" w:after="0"/>
              <w:ind w:left="0" w:right="0" w:firstLine="30"/>
              <w:rPr/>
            </w:pPr>
            <w:r>
              <w:rPr/>
              <w:t> </w:t>
            </w:r>
          </w:p>
        </w:tc>
        <w:tc>
          <w:tcPr>
            <w:tcW w:w="940"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jc w:val="center"/>
              <w:rPr>
                <w:rFonts w:ascii="inherit" w:hAnsi="inherit"/>
                <w:b/>
                <w:sz w:val="12"/>
              </w:rPr>
            </w:pPr>
            <w:r>
              <w:rPr>
                <w:rFonts w:ascii="inherit" w:hAnsi="inherit"/>
                <w:b/>
                <w:sz w:val="12"/>
              </w:rPr>
              <w:t>Caladrius Biosciences,</w:t>
            </w:r>
          </w:p>
          <w:p>
            <w:pPr>
              <w:pStyle w:val="TableContents"/>
              <w:spacing w:before="0" w:after="0"/>
              <w:jc w:val="center"/>
              <w:rPr>
                <w:rFonts w:ascii="inherit" w:hAnsi="inherit"/>
                <w:b/>
                <w:sz w:val="12"/>
              </w:rPr>
            </w:pPr>
            <w:r>
              <w:rPr>
                <w:rFonts w:ascii="inherit" w:hAnsi="inherit"/>
                <w:b/>
                <w:sz w:val="12"/>
              </w:rPr>
              <w:t>Inc.</w:t>
            </w:r>
          </w:p>
          <w:p>
            <w:pPr>
              <w:pStyle w:val="TableContents"/>
              <w:spacing w:before="0" w:after="0"/>
              <w:jc w:val="center"/>
              <w:rPr>
                <w:rFonts w:ascii="inherit" w:hAnsi="inherit"/>
                <w:b/>
                <w:sz w:val="12"/>
              </w:rPr>
            </w:pPr>
            <w:r>
              <w:rPr>
                <w:rFonts w:ascii="inherit" w:hAnsi="inherit"/>
                <w:b/>
                <w:sz w:val="12"/>
              </w:rPr>
              <w:t>Stockholders'</w:t>
            </w:r>
          </w:p>
          <w:p>
            <w:pPr>
              <w:pStyle w:val="TableContents"/>
              <w:spacing w:before="0" w:after="0"/>
              <w:ind w:left="0" w:right="0" w:firstLine="30"/>
              <w:jc w:val="center"/>
              <w:rPr>
                <w:rFonts w:ascii="inherit" w:hAnsi="inherit"/>
                <w:b/>
                <w:sz w:val="12"/>
              </w:rPr>
            </w:pPr>
            <w:r>
              <w:rPr>
                <w:rFonts w:ascii="inherit" w:hAnsi="inherit"/>
                <w:b/>
                <w:sz w:val="12"/>
              </w:rPr>
              <w:t>Equity</w:t>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Non-</w:t>
            </w:r>
          </w:p>
          <w:p>
            <w:pPr>
              <w:pStyle w:val="TableContents"/>
              <w:spacing w:before="0" w:after="0"/>
              <w:jc w:val="center"/>
              <w:rPr>
                <w:rFonts w:ascii="inherit" w:hAnsi="inherit"/>
                <w:b/>
                <w:sz w:val="12"/>
              </w:rPr>
            </w:pPr>
            <w:r>
              <w:rPr>
                <w:rFonts w:ascii="inherit" w:hAnsi="inherit"/>
                <w:b/>
                <w:sz w:val="12"/>
              </w:rPr>
              <w:t>Controlling</w:t>
            </w:r>
          </w:p>
          <w:p>
            <w:pPr>
              <w:pStyle w:val="TableContents"/>
              <w:spacing w:before="0" w:after="0"/>
              <w:jc w:val="center"/>
              <w:rPr>
                <w:rFonts w:ascii="inherit" w:hAnsi="inherit"/>
                <w:b/>
                <w:sz w:val="12"/>
              </w:rPr>
            </w:pPr>
            <w:r>
              <w:rPr>
                <w:rFonts w:ascii="inherit" w:hAnsi="inherit"/>
                <w:b/>
                <w:sz w:val="12"/>
              </w:rPr>
              <w:t>Interest in</w:t>
            </w:r>
          </w:p>
          <w:p>
            <w:pPr>
              <w:pStyle w:val="TableContents"/>
              <w:spacing w:before="0" w:after="0"/>
              <w:ind w:left="0" w:right="0" w:firstLine="30"/>
              <w:jc w:val="center"/>
              <w:rPr>
                <w:rFonts w:ascii="inherit" w:hAnsi="inherit"/>
                <w:b/>
                <w:sz w:val="12"/>
              </w:rPr>
            </w:pPr>
            <w:r>
              <w:rPr>
                <w:rFonts w:ascii="inherit" w:hAnsi="inherit"/>
                <w:b/>
                <w:sz w:val="12"/>
              </w:rPr>
              <w:t>Subsidiary</w:t>
            </w:r>
          </w:p>
        </w:tc>
        <w:tc>
          <w:tcPr>
            <w:tcW w:w="90" w:type="dxa"/>
            <w:tcBorders/>
            <w:shd w:fill="auto" w:val="clear"/>
            <w:vAlign w:val="center"/>
          </w:tcPr>
          <w:p>
            <w:pPr>
              <w:pStyle w:val="TableContents"/>
              <w:spacing w:before="0" w:after="0"/>
              <w:ind w:left="0" w:right="0" w:firstLine="30"/>
              <w:rPr/>
            </w:pPr>
            <w:r>
              <w:rPr/>
              <w:t> </w:t>
            </w:r>
          </w:p>
        </w:tc>
        <w:tc>
          <w:tcPr>
            <w:tcW w:w="755" w:type="dxa"/>
            <w:gridSpan w:val="3"/>
            <w:vMerge w:val="restart"/>
            <w:tcBorders>
              <w:bottom w:val="single" w:sz="6" w:space="0" w:color="000000"/>
            </w:tcBorders>
            <w:shd w:fill="auto" w:val="clear"/>
            <w:tcMar>
              <w:bottom w:w="30" w:type="dxa"/>
            </w:tcM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Equity</w:t>
            </w:r>
          </w:p>
        </w:tc>
      </w:tr>
      <w:tr>
        <w:trPr/>
        <w:tc>
          <w:tcPr>
            <w:tcW w:w="1212" w:type="dxa"/>
            <w:tcBorders/>
            <w:shd w:fill="auto" w:val="clear"/>
            <w:vAlign w:val="center"/>
          </w:tcPr>
          <w:p>
            <w:pPr>
              <w:pStyle w:val="TableContents"/>
              <w:spacing w:before="0" w:after="0"/>
              <w:ind w:left="0" w:right="0" w:firstLine="30"/>
              <w:jc w:val="left"/>
              <w:rPr/>
            </w:pPr>
            <w:r>
              <w:rPr/>
              <w:t> </w:t>
            </w:r>
          </w:p>
        </w:tc>
        <w:tc>
          <w:tcPr>
            <w:tcW w:w="515" w:type="dxa"/>
            <w:gridSpan w:val="2"/>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5" w:type="dxa"/>
            <w:tcBorders/>
            <w:shd w:fill="auto" w:val="clear"/>
            <w:vAlign w:val="center"/>
          </w:tcPr>
          <w:p>
            <w:pPr>
              <w:pStyle w:val="TableContents"/>
              <w:spacing w:before="0" w:after="0"/>
              <w:ind w:left="0" w:right="0" w:firstLine="30"/>
              <w:rPr/>
            </w:pPr>
            <w:r>
              <w:rPr/>
              <w:t> </w:t>
            </w:r>
          </w:p>
        </w:tc>
        <w:tc>
          <w:tcPr>
            <w:tcW w:w="582" w:type="dxa"/>
            <w:gridSpan w:val="3"/>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546" w:type="dxa"/>
            <w:gridSpan w:val="2"/>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Shares</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bottom w:val="single" w:sz="6"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Amount</w:t>
            </w:r>
          </w:p>
        </w:tc>
        <w:tc>
          <w:tcPr>
            <w:tcW w:w="90" w:type="dxa"/>
            <w:tcBorders/>
            <w:shd w:fill="auto" w:val="clear"/>
            <w:vAlign w:val="center"/>
          </w:tcPr>
          <w:p>
            <w:pPr>
              <w:pStyle w:val="TableContents"/>
              <w:spacing w:before="0" w:after="0"/>
              <w:ind w:left="0" w:right="0" w:firstLine="30"/>
              <w:rPr/>
            </w:pPr>
            <w:r>
              <w:rPr/>
              <w:t> </w:t>
            </w:r>
          </w:p>
        </w:tc>
        <w:tc>
          <w:tcPr>
            <w:tcW w:w="82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05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0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60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bottom w:val="single" w:sz="6" w:space="0" w:color="000000"/>
            </w:tcBorders>
            <w:shd w:fill="auto" w:val="clear"/>
            <w:tcMar>
              <w:bottom w:w="30" w:type="dxa"/>
            </w:tcMar>
            <w:vAlign w:val="center"/>
          </w:tcPr>
          <w:p>
            <w:pPr>
              <w:pStyle w:val="TableContents"/>
              <w:spacing w:before="0" w:after="0"/>
              <w:ind w:left="0" w:right="0" w:firstLine="30"/>
              <w:rPr/>
            </w:pPr>
            <w:r>
              <w:rPr/>
              <w:t> </w:t>
            </w:r>
          </w:p>
        </w:tc>
        <w:tc>
          <w:tcPr>
            <w:tcW w:w="940"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85" w:type="dxa"/>
            <w:gridSpan w:val="3"/>
            <w:vMerge w:val="continue"/>
            <w:tcBorders>
              <w:bottom w:val="single" w:sz="6"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755" w:type="dxa"/>
            <w:gridSpan w:val="3"/>
            <w:vMerge w:val="continue"/>
            <w:tcBorders>
              <w:bottom w:val="single" w:sz="6" w:space="0" w:color="000000"/>
            </w:tcBorders>
            <w:shd w:fill="auto" w:val="clear"/>
            <w:tcMar>
              <w:bottom w:w="30" w:type="dxa"/>
            </w:tcMar>
            <w:vAlign w:val="center"/>
          </w:tcPr>
          <w:p>
            <w:pPr>
              <w:pStyle w:val="Normal"/>
              <w:rPr/>
            </w:pPr>
            <w:r>
              <w:rPr/>
            </w:r>
          </w:p>
        </w:tc>
      </w:tr>
      <w:tr>
        <w:trPr/>
        <w:tc>
          <w:tcPr>
            <w:tcW w:w="121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December 31, 2018</w:t>
            </w:r>
          </w:p>
        </w:tc>
        <w:tc>
          <w:tcPr>
            <w:tcW w:w="46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pPr>
            <w:r>
              <w:rPr/>
              <w:t>—</w:t>
            </w:r>
          </w:p>
        </w:tc>
        <w:tc>
          <w:tcPr>
            <w:tcW w:w="3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9,866</w:t>
            </w:r>
          </w:p>
        </w:tc>
        <w:tc>
          <w:tcPr>
            <w:tcW w:w="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436,433</w:t>
            </w:r>
          </w:p>
        </w:tc>
        <w:tc>
          <w:tcPr>
            <w:tcW w:w="11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(32</w:t>
            </w:r>
          </w:p>
        </w:tc>
        <w:tc>
          <w:tcPr>
            <w:tcW w:w="243"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(397,977</w:t>
            </w:r>
          </w:p>
        </w:tc>
        <w:tc>
          <w:tcPr>
            <w:tcW w:w="113"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59"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37,726</w:t>
            </w:r>
          </w:p>
        </w:tc>
        <w:tc>
          <w:tcPr>
            <w:tcW w:w="14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(272</w:t>
            </w:r>
          </w:p>
        </w:tc>
        <w:tc>
          <w:tcPr>
            <w:tcW w:w="15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37,454</w:t>
            </w:r>
          </w:p>
        </w:tc>
        <w:tc>
          <w:tcPr>
            <w:tcW w:w="1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Adoption of accounting standard</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547"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pPr>
            <w:r>
              <w:rPr/>
              <w:t>—</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w:t>
            </w:r>
          </w:p>
        </w:tc>
        <w:tc>
          <w:tcPr>
            <w:tcW w:w="11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w:t>
            </w:r>
          </w:p>
        </w:tc>
        <w:tc>
          <w:tcPr>
            <w:tcW w:w="1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12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loss</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jc w:val="right"/>
              <w:rPr/>
            </w:pPr>
            <w:r>
              <w:rPr/>
              <w:t>—</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(9,507</w:t>
            </w:r>
          </w:p>
        </w:tc>
        <w:tc>
          <w:tcPr>
            <w:tcW w:w="11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(9,507</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(9,502</w:t>
            </w:r>
          </w:p>
        </w:tc>
        <w:tc>
          <w:tcPr>
            <w:tcW w:w="1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12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gain on marketable securities</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547"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Share-based compensation</w:t>
            </w:r>
          </w:p>
        </w:tc>
        <w:tc>
          <w:tcPr>
            <w:tcW w:w="465" w:type="dxa"/>
            <w:tcBorders/>
            <w:shd w:fill="auto" w:val="clear"/>
            <w:vAlign w:val="center"/>
          </w:tcPr>
          <w:p>
            <w:pPr>
              <w:pStyle w:val="TableContents"/>
              <w:spacing w:before="0" w:after="0"/>
              <w:jc w:val="right"/>
              <w:rPr/>
            </w:pPr>
            <w:r>
              <w:rPr/>
              <w:t>—</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547" w:type="dxa"/>
            <w:gridSpan w:val="2"/>
            <w:tcBorders/>
            <w:shd w:fill="auto" w:val="clear"/>
            <w:vAlign w:val="center"/>
          </w:tcPr>
          <w:p>
            <w:pPr>
              <w:pStyle w:val="TableContents"/>
              <w:spacing w:before="0" w:after="0"/>
              <w:jc w:val="right"/>
              <w:rPr/>
            </w:pPr>
            <w:r>
              <w:rPr/>
              <w:t>—</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rFonts w:ascii="inherit" w:hAnsi="inherit"/>
                <w:sz w:val="13"/>
              </w:rPr>
            </w:pPr>
            <w:r>
              <w:rPr>
                <w:rFonts w:ascii="inherit" w:hAnsi="inherit"/>
                <w:sz w:val="13"/>
              </w:rPr>
              <w:t>96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shd w:fill="auto" w:val="clear"/>
            <w:vAlign w:val="center"/>
          </w:tcPr>
          <w:p>
            <w:pPr>
              <w:pStyle w:val="TableContents"/>
              <w:spacing w:before="0" w:after="0"/>
              <w:jc w:val="right"/>
              <w:rPr/>
            </w:pPr>
            <w:r>
              <w:rPr/>
              <w:t>—</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663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2" w:type="dxa"/>
            <w:gridSpan w:val="2"/>
            <w:tcBorders/>
            <w:shd w:fill="auto" w:val="clear"/>
            <w:vAlign w:val="center"/>
          </w:tcPr>
          <w:p>
            <w:pPr>
              <w:pStyle w:val="TableContents"/>
              <w:spacing w:before="0" w:after="0"/>
              <w:jc w:val="right"/>
              <w:rPr/>
            </w:pPr>
            <w:r>
              <w:rPr/>
              <w:t>—</w:t>
            </w:r>
          </w:p>
        </w:tc>
        <w:tc>
          <w:tcPr>
            <w:tcW w:w="2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7" w:type="dxa"/>
            <w:gridSpan w:val="2"/>
            <w:tcBorders/>
            <w:shd w:fill="auto" w:val="clear"/>
            <w:vAlign w:val="center"/>
          </w:tcPr>
          <w:p>
            <w:pPr>
              <w:pStyle w:val="TableContents"/>
              <w:spacing w:before="0" w:after="0"/>
              <w:jc w:val="right"/>
              <w:rPr/>
            </w:pPr>
            <w:r>
              <w:rPr/>
              <w:t>—</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663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3"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663</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proceeds from issuance of common stock</w:t>
            </w:r>
          </w:p>
        </w:tc>
        <w:tc>
          <w:tcPr>
            <w:tcW w:w="465" w:type="dxa"/>
            <w:tcBorders/>
            <w:shd w:fill="CCEEFF" w:val="clear"/>
            <w:vAlign w:val="center"/>
          </w:tcPr>
          <w:p>
            <w:pPr>
              <w:pStyle w:val="TableContents"/>
              <w:spacing w:before="0" w:after="0"/>
              <w:jc w:val="right"/>
              <w:rPr/>
            </w:pPr>
            <w:r>
              <w:rPr/>
              <w:t>—</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547"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rFonts w:ascii="inherit" w:hAnsi="inherit"/>
                <w:sz w:val="13"/>
              </w:rPr>
            </w:pPr>
            <w:r>
              <w:rPr>
                <w:rFonts w:ascii="inherit" w:hAnsi="inherit"/>
                <w:sz w:val="13"/>
              </w:rPr>
              <w:t>451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4" w:type="dxa"/>
            <w:gridSpan w:val="2"/>
            <w:tcBorders/>
            <w:shd w:fill="CCEEFF" w:val="clear"/>
            <w:vAlign w:val="center"/>
          </w:tcPr>
          <w:p>
            <w:pPr>
              <w:pStyle w:val="TableContents"/>
              <w:spacing w:before="0" w:after="0"/>
              <w:jc w:val="right"/>
              <w:rPr/>
            </w:pPr>
            <w:r>
              <w:rPr/>
              <w:t>—</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1,037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2" w:type="dxa"/>
            <w:gridSpan w:val="2"/>
            <w:tcBorders/>
            <w:shd w:fill="CCEEFF" w:val="clear"/>
            <w:vAlign w:val="center"/>
          </w:tcPr>
          <w:p>
            <w:pPr>
              <w:pStyle w:val="TableContents"/>
              <w:spacing w:before="0" w:after="0"/>
              <w:jc w:val="right"/>
              <w:rPr/>
            </w:pPr>
            <w:r>
              <w:rPr/>
              <w:t>—</w:t>
            </w:r>
          </w:p>
        </w:tc>
        <w:tc>
          <w:tcPr>
            <w:tcW w:w="2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2" w:type="dxa"/>
            <w:gridSpan w:val="2"/>
            <w:tcBorders/>
            <w:shd w:fill="CCEEFF" w:val="clear"/>
            <w:vAlign w:val="center"/>
          </w:tcPr>
          <w:p>
            <w:pPr>
              <w:pStyle w:val="TableContents"/>
              <w:spacing w:before="0" w:after="0"/>
              <w:jc w:val="right"/>
              <w:rPr/>
            </w:pPr>
            <w:r>
              <w:rPr/>
              <w:t>—</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7" w:type="dxa"/>
            <w:gridSpan w:val="2"/>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1,037</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3"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2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1,037</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Balance at June 30, 2019</w:t>
            </w:r>
          </w:p>
        </w:tc>
        <w:tc>
          <w:tcPr>
            <w:tcW w:w="46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9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pPr>
            <w:r>
              <w:rPr/>
              <w:t>—</w:t>
            </w:r>
          </w:p>
        </w:tc>
        <w:tc>
          <w:tcPr>
            <w:tcW w:w="3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10,413</w:t>
            </w:r>
          </w:p>
        </w:tc>
        <w:tc>
          <w:tcPr>
            <w:tcW w:w="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3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w:t>
            </w:r>
          </w:p>
        </w:tc>
        <w:tc>
          <w:tcPr>
            <w:tcW w:w="5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438,133</w:t>
            </w:r>
          </w:p>
        </w:tc>
        <w:tc>
          <w:tcPr>
            <w:tcW w:w="11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pPr>
            <w:r>
              <w:rPr/>
              <w:t>—</w:t>
            </w:r>
          </w:p>
        </w:tc>
        <w:tc>
          <w:tcPr>
            <w:tcW w:w="243"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8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(407,546</w:t>
            </w:r>
          </w:p>
        </w:tc>
        <w:tc>
          <w:tcPr>
            <w:tcW w:w="113"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6"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37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(708</w:t>
            </w:r>
          </w:p>
        </w:tc>
        <w:tc>
          <w:tcPr>
            <w:tcW w:w="118"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59"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29,889</w:t>
            </w:r>
          </w:p>
        </w:tc>
        <w:tc>
          <w:tcPr>
            <w:tcW w:w="141"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48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(267</w:t>
            </w:r>
          </w:p>
        </w:tc>
        <w:tc>
          <w:tcPr>
            <w:tcW w:w="152"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15" w:type="dxa"/>
            <w:tcBorders>
              <w:top w:val="single" w:sz="6"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29,622</w:t>
            </w:r>
          </w:p>
        </w:tc>
        <w:tc>
          <w:tcPr>
            <w:tcW w:w="13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212" w:type="dxa"/>
            <w:tcBorders/>
            <w:shd w:fill="auto" w:val="clear"/>
            <w:vAlign w:val="center"/>
          </w:tcPr>
          <w:p>
            <w:pPr>
              <w:pStyle w:val="TableContents"/>
              <w:spacing w:before="0" w:after="0"/>
              <w:ind w:left="0" w:right="0" w:firstLine="30"/>
              <w:rPr/>
            </w:pPr>
            <w:r>
              <w:rPr/>
              <w:t> </w:t>
            </w:r>
          </w:p>
        </w:tc>
        <w:tc>
          <w:tcPr>
            <w:tcW w:w="515" w:type="dxa"/>
            <w:gridSpan w:val="2"/>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58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5" w:type="dxa"/>
            <w:gridSpan w:val="3"/>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lineRule="auto" w:line="288" w:before="0" w:after="0"/>
        <w:jc w:val="center"/>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DB36EF7CC0CF5E428CD637007BC76C1A">
        <w:bookmarkStart w:id="10" w:name="s2C50EA05B97359C78C09BAE7C738BBF6"/>
        <w:bookmarkEnd w:id="10"/>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CALADRIUS BIOSCIENCES, INC. AND SUBSIDIARIES</w:t>
      </w:r>
    </w:p>
    <w:p>
      <w:pPr>
        <w:pStyle w:val="TextBody"/>
        <w:spacing w:lineRule="auto" w:line="288" w:before="0" w:after="0"/>
        <w:jc w:val="center"/>
        <w:rPr>
          <w:rFonts w:ascii="inherit" w:hAnsi="inherit"/>
          <w:b/>
          <w:sz w:val="17"/>
        </w:rPr>
      </w:pPr>
      <w:r>
        <w:rPr>
          <w:rFonts w:ascii="inherit" w:hAnsi="inherit"/>
          <w:b/>
          <w:sz w:val="17"/>
        </w:rPr>
        <w:t>CONSOLIDATED STATEMENTS OF CASH FLOWS</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sz w:val="15"/>
        </w:rPr>
      </w:pPr>
      <w:r>
        <w:rPr>
          <w:rFonts w:ascii="inherit" w:hAnsi="inherit"/>
          <w:sz w:val="15"/>
        </w:rPr>
        <w:t>(In thousands)</w:t>
      </w:r>
    </w:p>
    <w:p>
      <w:pPr>
        <w:pStyle w:val="TextBody"/>
        <w:spacing w:lineRule="auto" w:line="288" w:before="0" w:after="0"/>
        <w:rPr/>
      </w:pPr>
      <w:r>
        <w:rPr/>
        <w:t> </w:t>
      </w:r>
    </w:p>
    <w:tbl>
      <w:tblPr>
        <w:tblW w:w="7731" w:type="dxa"/>
        <w:jc w:val="left"/>
        <w:tblInd w:w="0" w:type="dxa"/>
        <w:tblCellMar>
          <w:top w:w="0" w:type="dxa"/>
          <w:left w:w="0" w:type="dxa"/>
          <w:bottom w:w="0" w:type="dxa"/>
          <w:right w:w="0" w:type="dxa"/>
        </w:tblCellMar>
      </w:tblPr>
      <w:tblGrid>
        <w:gridCol w:w="5450"/>
        <w:gridCol w:w="111"/>
        <w:gridCol w:w="524"/>
        <w:gridCol w:w="111"/>
        <w:gridCol w:w="91"/>
        <w:gridCol w:w="111"/>
        <w:gridCol w:w="524"/>
        <w:gridCol w:w="809"/>
      </w:tblGrid>
      <w:tr>
        <w:trPr/>
        <w:tc>
          <w:tcPr>
            <w:tcW w:w="7731" w:type="dxa"/>
            <w:gridSpan w:val="8"/>
            <w:tcBorders/>
            <w:shd w:fill="auto" w:val="clear"/>
            <w:vAlign w:val="center"/>
          </w:tcPr>
          <w:p>
            <w:pPr>
              <w:pStyle w:val="TableContents"/>
              <w:spacing w:before="0" w:after="283"/>
              <w:rPr>
                <w:sz w:val="4"/>
                <w:szCs w:val="4"/>
              </w:rPr>
            </w:pPr>
            <w:r>
              <w:rPr>
                <w:sz w:val="4"/>
                <w:szCs w:val="4"/>
              </w:rPr>
            </w:r>
          </w:p>
        </w:tc>
      </w:tr>
      <w:tr>
        <w:trPr/>
        <w:tc>
          <w:tcPr>
            <w:tcW w:w="545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50" w:type="dxa"/>
            <w:tcBorders/>
            <w:shd w:fill="auto" w:val="clear"/>
            <w:vAlign w:val="center"/>
          </w:tcPr>
          <w:p>
            <w:pPr>
              <w:pStyle w:val="TableContents"/>
              <w:spacing w:before="0" w:after="0"/>
              <w:ind w:left="0" w:right="0" w:firstLine="30"/>
              <w:jc w:val="left"/>
              <w:rPr/>
            </w:pPr>
            <w:r>
              <w:rPr/>
              <w:t> </w:t>
            </w:r>
          </w:p>
        </w:tc>
        <w:tc>
          <w:tcPr>
            <w:tcW w:w="228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w:t>
            </w:r>
          </w:p>
        </w:tc>
      </w:tr>
      <w:tr>
        <w:trPr/>
        <w:tc>
          <w:tcPr>
            <w:tcW w:w="5450" w:type="dxa"/>
            <w:tcBorders/>
            <w:shd w:fill="auto" w:val="clear"/>
            <w:vAlign w:val="center"/>
          </w:tcPr>
          <w:p>
            <w:pPr>
              <w:pStyle w:val="TableContents"/>
              <w:spacing w:before="0" w:after="0"/>
              <w:ind w:left="0" w:right="0" w:firstLine="30"/>
              <w:jc w:val="left"/>
              <w:rPr/>
            </w:pPr>
            <w:r>
              <w:rPr/>
              <w:t> </w:t>
            </w:r>
          </w:p>
        </w:tc>
        <w:tc>
          <w:tcPr>
            <w:tcW w:w="74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91" w:type="dxa"/>
            <w:tcBorders/>
            <w:shd w:fill="auto" w:val="clear"/>
            <w:vAlign w:val="center"/>
          </w:tcPr>
          <w:p>
            <w:pPr>
              <w:pStyle w:val="TableContents"/>
              <w:spacing w:before="0" w:after="0"/>
              <w:ind w:left="0" w:right="0" w:firstLine="30"/>
              <w:rPr/>
            </w:pPr>
            <w:r>
              <w:rPr/>
              <w:t> </w:t>
            </w:r>
          </w:p>
        </w:tc>
        <w:tc>
          <w:tcPr>
            <w:tcW w:w="144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flows from operating activities:</w:t>
            </w:r>
          </w:p>
        </w:tc>
        <w:tc>
          <w:tcPr>
            <w:tcW w:w="635" w:type="dxa"/>
            <w:gridSpan w:val="2"/>
            <w:tcBorders/>
            <w:shd w:fill="CCEEFF" w:val="clear"/>
            <w:vAlign w:val="center"/>
          </w:tcPr>
          <w:p>
            <w:pPr>
              <w:pStyle w:val="TableContents"/>
              <w:spacing w:before="0" w:after="0"/>
              <w:jc w:val="right"/>
              <w:rPr/>
            </w:pPr>
            <w:r>
              <w:rPr/>
              <w:t> </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pPr>
            <w:r>
              <w:rPr/>
              <w:t> </w:t>
            </w:r>
          </w:p>
        </w:tc>
        <w:tc>
          <w:tcPr>
            <w:tcW w:w="80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loss</w:t>
            </w:r>
          </w:p>
        </w:tc>
        <w:tc>
          <w:tcPr>
            <w:tcW w:w="11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24" w:type="dxa"/>
            <w:tcBorders/>
            <w:shd w:fill="auto" w:val="clear"/>
            <w:vAlign w:val="center"/>
          </w:tcPr>
          <w:p>
            <w:pPr>
              <w:pStyle w:val="TableContents"/>
              <w:spacing w:before="0" w:after="0"/>
              <w:jc w:val="right"/>
              <w:rPr>
                <w:rFonts w:ascii="inherit" w:hAnsi="inherit"/>
                <w:sz w:val="15"/>
              </w:rPr>
            </w:pPr>
            <w:r>
              <w:rPr>
                <w:rFonts w:ascii="inherit" w:hAnsi="inherit"/>
                <w:sz w:val="15"/>
              </w:rPr>
              <w:t>(9,502</w:t>
            </w:r>
          </w:p>
        </w:tc>
        <w:tc>
          <w:tcPr>
            <w:tcW w:w="1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1" w:type="dxa"/>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24" w:type="dxa"/>
            <w:tcBorders/>
            <w:shd w:fill="auto" w:val="clear"/>
            <w:vAlign w:val="center"/>
          </w:tcPr>
          <w:p>
            <w:pPr>
              <w:pStyle w:val="TableContents"/>
              <w:spacing w:before="0" w:after="0"/>
              <w:jc w:val="right"/>
              <w:rPr>
                <w:rFonts w:ascii="inherit" w:hAnsi="inherit"/>
                <w:sz w:val="15"/>
              </w:rPr>
            </w:pPr>
            <w:r>
              <w:rPr>
                <w:rFonts w:ascii="inherit" w:hAnsi="inherit"/>
                <w:sz w:val="15"/>
              </w:rPr>
              <w:t>(9,062</w:t>
            </w:r>
          </w:p>
        </w:tc>
        <w:tc>
          <w:tcPr>
            <w:tcW w:w="809"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Adjustments to reconcile net loss to net cash used in operating activities:</w:t>
            </w:r>
          </w:p>
        </w:tc>
        <w:tc>
          <w:tcPr>
            <w:tcW w:w="635" w:type="dxa"/>
            <w:gridSpan w:val="2"/>
            <w:tcBorders/>
            <w:shd w:fill="CCEEFF" w:val="clear"/>
            <w:vAlign w:val="center"/>
          </w:tcPr>
          <w:p>
            <w:pPr>
              <w:pStyle w:val="TableContents"/>
              <w:spacing w:before="0" w:after="0"/>
              <w:jc w:val="right"/>
              <w:rPr/>
            </w:pPr>
            <w:r>
              <w:rPr/>
              <w:t> </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pPr>
            <w:r>
              <w:rPr/>
              <w:t> </w:t>
            </w:r>
          </w:p>
        </w:tc>
        <w:tc>
          <w:tcPr>
            <w:tcW w:w="809"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Share-based compensation</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793</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2,115</w:t>
            </w:r>
          </w:p>
        </w:tc>
        <w:tc>
          <w:tcPr>
            <w:tcW w:w="809"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35</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169</w:t>
            </w:r>
          </w:p>
        </w:tc>
        <w:tc>
          <w:tcPr>
            <w:tcW w:w="809"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Gain on disposal of assets</w:t>
            </w:r>
          </w:p>
        </w:tc>
        <w:tc>
          <w:tcPr>
            <w:tcW w:w="635" w:type="dxa"/>
            <w:gridSpan w:val="2"/>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(1,379</w:t>
            </w:r>
          </w:p>
        </w:tc>
        <w:tc>
          <w:tcPr>
            <w:tcW w:w="809" w:type="dxa"/>
            <w:tcBorders/>
            <w:shd w:fill="auto"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Accretion on marketable securities</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133</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155</w:t>
            </w:r>
          </w:p>
        </w:tc>
        <w:tc>
          <w:tcPr>
            <w:tcW w:w="809"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Changes in operating assets and liabilities:</w:t>
            </w:r>
          </w:p>
        </w:tc>
        <w:tc>
          <w:tcPr>
            <w:tcW w:w="635" w:type="dxa"/>
            <w:gridSpan w:val="2"/>
            <w:tcBorders/>
            <w:shd w:fill="auto" w:val="clear"/>
            <w:vAlign w:val="center"/>
          </w:tcPr>
          <w:p>
            <w:pPr>
              <w:pStyle w:val="TableContents"/>
              <w:spacing w:before="0" w:after="0"/>
              <w:jc w:val="right"/>
              <w:rPr/>
            </w:pPr>
            <w:r>
              <w:rPr/>
              <w:t> </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pPr>
            <w:r>
              <w:rPr/>
              <w:t> </w:t>
            </w:r>
          </w:p>
        </w:tc>
        <w:tc>
          <w:tcPr>
            <w:tcW w:w="80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Prepaid and other current assets</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(110</w:t>
            </w:r>
          </w:p>
        </w:tc>
        <w:tc>
          <w:tcPr>
            <w:tcW w:w="1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84</w:t>
            </w:r>
          </w:p>
        </w:tc>
        <w:tc>
          <w:tcPr>
            <w:tcW w:w="809"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assets</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181</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158</w:t>
            </w:r>
          </w:p>
        </w:tc>
        <w:tc>
          <w:tcPr>
            <w:tcW w:w="809"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accrued liabilities and other liabilities</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(1,735</w:t>
            </w:r>
          </w:p>
        </w:tc>
        <w:tc>
          <w:tcPr>
            <w:tcW w:w="1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(4,424</w:t>
            </w:r>
          </w:p>
        </w:tc>
        <w:tc>
          <w:tcPr>
            <w:tcW w:w="809"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used in operating activities</w:t>
            </w:r>
          </w:p>
        </w:tc>
        <w:tc>
          <w:tcPr>
            <w:tcW w:w="63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(10,205</w:t>
            </w:r>
          </w:p>
        </w:tc>
        <w:tc>
          <w:tcPr>
            <w:tcW w:w="111"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(12,184</w:t>
            </w:r>
          </w:p>
        </w:tc>
        <w:tc>
          <w:tcPr>
            <w:tcW w:w="80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flows from investing activities:</w:t>
            </w:r>
          </w:p>
        </w:tc>
        <w:tc>
          <w:tcPr>
            <w:tcW w:w="635" w:type="dxa"/>
            <w:gridSpan w:val="2"/>
            <w:tcBorders/>
            <w:shd w:fill="CCEEFF" w:val="clear"/>
            <w:vAlign w:val="center"/>
          </w:tcPr>
          <w:p>
            <w:pPr>
              <w:pStyle w:val="TableContents"/>
              <w:spacing w:before="0" w:after="0"/>
              <w:jc w:val="right"/>
              <w:rPr/>
            </w:pPr>
            <w:r>
              <w:rPr/>
              <w:t> </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pPr>
            <w:r>
              <w:rPr/>
              <w:t> </w:t>
            </w:r>
          </w:p>
        </w:tc>
        <w:tc>
          <w:tcPr>
            <w:tcW w:w="80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Purchase of marketable securities</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(25,969</w:t>
            </w:r>
          </w:p>
        </w:tc>
        <w:tc>
          <w:tcPr>
            <w:tcW w:w="11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(38,321</w:t>
            </w:r>
          </w:p>
        </w:tc>
        <w:tc>
          <w:tcPr>
            <w:tcW w:w="809"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Sale of marketable securities</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36,721</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36,482</w:t>
            </w:r>
          </w:p>
        </w:tc>
        <w:tc>
          <w:tcPr>
            <w:tcW w:w="80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Proceeds from CFC device sale</w:t>
            </w:r>
          </w:p>
        </w:tc>
        <w:tc>
          <w:tcPr>
            <w:tcW w:w="635" w:type="dxa"/>
            <w:gridSpan w:val="2"/>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2,500</w:t>
            </w:r>
          </w:p>
        </w:tc>
        <w:tc>
          <w:tcPr>
            <w:tcW w:w="8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Acquisition of property and equipment</w:t>
            </w:r>
          </w:p>
        </w:tc>
        <w:tc>
          <w:tcPr>
            <w:tcW w:w="635" w:type="dxa"/>
            <w:gridSpan w:val="2"/>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w:t>
            </w:r>
          </w:p>
        </w:tc>
        <w:tc>
          <w:tcPr>
            <w:tcW w:w="809"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provided by investing activities</w:t>
            </w:r>
          </w:p>
        </w:tc>
        <w:tc>
          <w:tcPr>
            <w:tcW w:w="63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10,752</w:t>
            </w:r>
          </w:p>
        </w:tc>
        <w:tc>
          <w:tcPr>
            <w:tcW w:w="1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650</w:t>
            </w:r>
          </w:p>
        </w:tc>
        <w:tc>
          <w:tcPr>
            <w:tcW w:w="8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flows from financing activities:</w:t>
            </w:r>
          </w:p>
        </w:tc>
        <w:tc>
          <w:tcPr>
            <w:tcW w:w="635" w:type="dxa"/>
            <w:gridSpan w:val="2"/>
            <w:tcBorders/>
            <w:shd w:fill="CCEEFF" w:val="clear"/>
            <w:vAlign w:val="center"/>
          </w:tcPr>
          <w:p>
            <w:pPr>
              <w:pStyle w:val="TableContents"/>
              <w:spacing w:before="0" w:after="0"/>
              <w:jc w:val="right"/>
              <w:rPr/>
            </w:pPr>
            <w:r>
              <w:rPr/>
              <w:t> </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pPr>
            <w:r>
              <w:rPr/>
              <w:t> </w:t>
            </w:r>
          </w:p>
        </w:tc>
        <w:tc>
          <w:tcPr>
            <w:tcW w:w="80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Proceeds from exercise of options</w:t>
            </w:r>
          </w:p>
        </w:tc>
        <w:tc>
          <w:tcPr>
            <w:tcW w:w="635" w:type="dxa"/>
            <w:gridSpan w:val="2"/>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342</w:t>
            </w:r>
          </w:p>
        </w:tc>
        <w:tc>
          <w:tcPr>
            <w:tcW w:w="8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Tax withholding payments on net share settlement equity awards</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w:t>
            </w:r>
          </w:p>
        </w:tc>
        <w:tc>
          <w:tcPr>
            <w:tcW w:w="11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(403</w:t>
            </w:r>
          </w:p>
        </w:tc>
        <w:tc>
          <w:tcPr>
            <w:tcW w:w="809" w:type="dxa"/>
            <w:tcBorders/>
            <w:shd w:fill="CCEEFF"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proceeds from issuance of common stock</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1,038</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288</w:t>
            </w:r>
          </w:p>
        </w:tc>
        <w:tc>
          <w:tcPr>
            <w:tcW w:w="80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Repayment of notes payable</w:t>
            </w:r>
          </w:p>
        </w:tc>
        <w:tc>
          <w:tcPr>
            <w:tcW w:w="635" w:type="dxa"/>
            <w:gridSpan w:val="2"/>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(136</w:t>
            </w:r>
          </w:p>
        </w:tc>
        <w:tc>
          <w:tcPr>
            <w:tcW w:w="809" w:type="dxa"/>
            <w:tcBorders/>
            <w:shd w:fill="CCEEFF"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provided by financing activities</w:t>
            </w:r>
          </w:p>
        </w:tc>
        <w:tc>
          <w:tcPr>
            <w:tcW w:w="63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908</w:t>
            </w:r>
          </w:p>
        </w:tc>
        <w:tc>
          <w:tcPr>
            <w:tcW w:w="1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91</w:t>
            </w:r>
          </w:p>
        </w:tc>
        <w:tc>
          <w:tcPr>
            <w:tcW w:w="80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increase (decrease) in cash, cash equivalents and restricted cash</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1,455</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(11,443</w:t>
            </w:r>
          </w:p>
        </w:tc>
        <w:tc>
          <w:tcPr>
            <w:tcW w:w="80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50"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Cash, cash equivalents and restricted cash at beginning of period</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10,299</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34,168</w:t>
            </w:r>
          </w:p>
        </w:tc>
        <w:tc>
          <w:tcPr>
            <w:tcW w:w="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 at end of period</w:t>
            </w:r>
          </w:p>
        </w:tc>
        <w:tc>
          <w:tcPr>
            <w:tcW w:w="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11,754</w:t>
            </w:r>
          </w:p>
        </w:tc>
        <w:tc>
          <w:tcPr>
            <w:tcW w:w="11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1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22,725</w:t>
            </w:r>
          </w:p>
        </w:tc>
        <w:tc>
          <w:tcPr>
            <w:tcW w:w="80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50" w:type="dxa"/>
            <w:tcBorders/>
            <w:shd w:fill="auto" w:val="clear"/>
            <w:vAlign w:val="center"/>
          </w:tcPr>
          <w:p>
            <w:pPr>
              <w:pStyle w:val="TableContents"/>
              <w:spacing w:before="0" w:after="0"/>
              <w:ind w:left="0" w:right="0" w:firstLine="30"/>
              <w:rPr/>
            </w:pPr>
            <w:r>
              <w:rPr/>
              <w:t> </w:t>
            </w:r>
          </w:p>
        </w:tc>
        <w:tc>
          <w:tcPr>
            <w:tcW w:w="746"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1444" w:type="dxa"/>
            <w:gridSpan w:val="3"/>
            <w:tcBorders/>
            <w:shd w:fill="auto" w:val="clear"/>
            <w:vAlign w:val="center"/>
          </w:tcPr>
          <w:p>
            <w:pPr>
              <w:pStyle w:val="TableContents"/>
              <w:spacing w:before="0" w:after="0"/>
              <w:ind w:left="0" w:right="0" w:firstLine="30"/>
              <w:rPr/>
            </w:pPr>
            <w:r>
              <w:rPr/>
              <w:t> </w:t>
            </w:r>
          </w:p>
        </w:tc>
      </w:tr>
      <w:tr>
        <w:trPr/>
        <w:tc>
          <w:tcPr>
            <w:tcW w:w="5450"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Supplemental Disclosure of Cash Flow Information:</w:t>
            </w:r>
          </w:p>
        </w:tc>
        <w:tc>
          <w:tcPr>
            <w:tcW w:w="746"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1444" w:type="dxa"/>
            <w:gridSpan w:val="3"/>
            <w:tcBorders/>
            <w:shd w:fill="CCEEFF" w:val="clear"/>
            <w:vAlign w:val="center"/>
          </w:tcPr>
          <w:p>
            <w:pPr>
              <w:pStyle w:val="TableContents"/>
              <w:spacing w:before="0" w:after="0"/>
              <w:ind w:left="0" w:right="0" w:firstLine="30"/>
              <w:rPr/>
            </w:pPr>
            <w:r>
              <w:rPr/>
              <w:t> </w:t>
            </w:r>
          </w:p>
        </w:tc>
      </w:tr>
      <w:tr>
        <w:trPr/>
        <w:tc>
          <w:tcPr>
            <w:tcW w:w="545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paid during the period for:</w:t>
            </w:r>
          </w:p>
        </w:tc>
        <w:tc>
          <w:tcPr>
            <w:tcW w:w="746"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1444" w:type="dxa"/>
            <w:gridSpan w:val="3"/>
            <w:tcBorders/>
            <w:shd w:fill="auto" w:val="clear"/>
            <w:vAlign w:val="center"/>
          </w:tcPr>
          <w:p>
            <w:pPr>
              <w:pStyle w:val="TableContents"/>
              <w:spacing w:before="0" w:after="0"/>
              <w:ind w:left="0" w:right="0" w:firstLine="300"/>
              <w:rPr/>
            </w:pPr>
            <w:r>
              <w:rPr/>
              <w:t> </w:t>
            </w:r>
          </w:p>
        </w:tc>
      </w:tr>
      <w:tr>
        <w:trPr/>
        <w:tc>
          <w:tcPr>
            <w:tcW w:w="54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Interest</w:t>
            </w:r>
          </w:p>
        </w:tc>
        <w:tc>
          <w:tcPr>
            <w:tcW w:w="11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24" w:type="dxa"/>
            <w:tcBorders/>
            <w:shd w:fill="CCEEFF" w:val="clear"/>
            <w:vAlign w:val="center"/>
          </w:tcPr>
          <w:p>
            <w:pPr>
              <w:pStyle w:val="TableContents"/>
              <w:spacing w:before="0" w:after="0"/>
              <w:jc w:val="right"/>
              <w:rPr/>
            </w:pPr>
            <w:r>
              <w:rPr/>
              <w:t>—</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24" w:type="dxa"/>
            <w:tcBorders/>
            <w:shd w:fill="CCEEFF" w:val="clear"/>
            <w:vAlign w:val="center"/>
          </w:tcPr>
          <w:p>
            <w:pPr>
              <w:pStyle w:val="TableContents"/>
              <w:spacing w:before="0" w:after="0"/>
              <w:jc w:val="right"/>
              <w:rPr>
                <w:rFonts w:ascii="inherit" w:hAnsi="inherit"/>
                <w:sz w:val="15"/>
              </w:rPr>
            </w:pPr>
            <w:r>
              <w:rPr>
                <w:rFonts w:ascii="inherit" w:hAnsi="inherit"/>
                <w:sz w:val="15"/>
              </w:rPr>
              <w:t>5</w:t>
            </w:r>
          </w:p>
        </w:tc>
        <w:tc>
          <w:tcPr>
            <w:tcW w:w="809"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See accompanying notes to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DB36EF7CC0CF5E428CD637007BC76C1A">
        <w:bookmarkStart w:id="11" w:name="s9609242130DE59FBB1E2D73B7CB57008"/>
        <w:bookmarkEnd w:id="11"/>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CALADRIUS BIOSCIENCES, INC. AND SUBSIDIARIES</w:t>
      </w:r>
    </w:p>
    <w:p>
      <w:pPr>
        <w:pStyle w:val="TextBody"/>
        <w:spacing w:lineRule="auto" w:line="288" w:before="0" w:after="0"/>
        <w:rPr/>
      </w:pPr>
      <w:r>
        <w:rPr/>
        <w:t> </w:t>
      </w:r>
    </w:p>
    <w:p>
      <w:pPr>
        <w:pStyle w:val="TextBody"/>
        <w:spacing w:lineRule="auto" w:line="288" w:before="0" w:after="0"/>
        <w:jc w:val="center"/>
        <w:rPr>
          <w:rFonts w:ascii="inherit" w:hAnsi="inherit"/>
          <w:b/>
          <w:sz w:val="17"/>
        </w:rPr>
      </w:pPr>
      <w:r>
        <w:rPr>
          <w:rFonts w:ascii="inherit" w:hAnsi="inherit"/>
          <w:b/>
          <w:sz w:val="17"/>
        </w:rPr>
        <w:t>NOTES TO UNAUDITED CONSOLIDATED FINANCIAL STATEMENTS</w:t>
      </w:r>
    </w:p>
    <w:p>
      <w:pPr>
        <w:pStyle w:val="TextBody"/>
        <w:spacing w:lineRule="auto" w:line="288" w:before="0" w:after="0"/>
        <w:rPr>
          <w:rFonts w:ascii="inherit" w:hAnsi="inherit"/>
          <w:b/>
          <w:sz w:val="17"/>
          <w:u w:val="single"/>
        </w:rPr>
      </w:pPr>
      <w:bookmarkStart w:id="12" w:name="s87A9311F45CB526C9727D4E678AB76FC"/>
      <w:bookmarkEnd w:id="12"/>
      <w:r>
        <w:rPr>
          <w:rFonts w:ascii="inherit" w:hAnsi="inherit"/>
          <w:b/>
          <w:sz w:val="17"/>
          <w:u w:val="single"/>
        </w:rPr>
        <w:t>Note 1 – The Business</w:t>
      </w:r>
    </w:p>
    <w:p>
      <w:pPr>
        <w:pStyle w:val="TextBody"/>
        <w:spacing w:lineRule="auto" w:line="288" w:before="0" w:after="0"/>
        <w:ind w:left="0" w:right="0" w:firstLine="360"/>
        <w:jc w:val="both"/>
        <w:rPr>
          <w:rFonts w:ascii="inherit" w:hAnsi="inherit"/>
          <w:sz w:val="17"/>
        </w:rPr>
      </w:pPr>
      <w:r>
        <w:rPr>
          <w:rFonts w:ascii="inherit" w:hAnsi="inherit"/>
          <w:sz w:val="17"/>
        </w:rPr>
        <w:t xml:space="preserve">Caladrius Biosciences, Inc. (“we,” “us,” "our," “Caladrius” or the “Company”) is a late-stage therapeutics development biopharmaceutical company committed to the development of innovative products that have the potential to restore the health of people with chronic illnesses. The Company's leadership team collectively has decades of biopharmaceutical development experience and world-recognized scientific achievement in the fields of cardiovascular and autoimmune disease, among other areas. The Company's goal is to build a broad portfolio of novel and versatile products that address important unmet medical needs. The Company's current product candidates include three developmental treatments for cardiovascular diseases based on its CD34+ cell therapy platform: CLBS12, recipient of SAKIGAKE designation and eligible for early conditional approval in Japan for the treatment of critical limb ischemia ("CLI") based on the results of an ongoing clinical trial; CLBS16, in Phase 2 in the U.S. for the treatment of coronary microvascular dysfunction ("CMD"); and CLBS14, recipient of an RMAT designation and for which the Company has finalized with the U.S. Food and Drug Administration (the "FDA") the protocol for a Phase 3 confirmatory trial in subjects with no-option refractory disabling angina ("NORDA").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 xml:space="preserve">Ischemic Repair (CD34 Cell Technology)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The Company's CD34+ cell technology has led to the development of therapeutic product candidates designed to address diseases and conditions caused by ischemia. Ischemia occurs when the supply of oxygenated blood to healthy tissue is restricted. Through the administration of CD34+ cells, the Company seeks to promote the development and formation of new microvasculature and thereby increase blood flow to the impacted area. The Company believes that a number of conditions caused by underlying ischemic injury can be improved through its CD34+ cell technology, including but not limited to CLI, CMD and NORDA.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Regarding CLBS12, the Company's product candidate for CLI, after detailed discussion and agreement with the Japanese Pharmaceutical and Medical Device Agency ("PMDA"), the Company opened a Phase 2 trial for enrollment in December 2017 and announced in March 2018 treatment of the first patient. Based on discussions with the PMDA, the Company expects that a successful outcome of this trial will make CLBS12 eligible for early conditional approval in Japan, thereby effectively making the ongoing trial a potential registration trial in that strategic market. The initial responses observed in the relatively small number of subjects who have reached an endpoint in this open label study are consistent with a positive therapeutic effect and safety profile as reported by previously published clinical trials in Japan and the U.S. While these early signs are encouraging, it is clear that the final outcome of the trial will be dependent on all data from all subjects.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In October 2017, the Company announced the award of a $1.9 million</w:t>
      </w:r>
      <w:r>
        <w:rPr>
          <w:sz w:val="17"/>
        </w:rPr>
        <w:t xml:space="preserve"> </w:t>
      </w:r>
      <w:r>
        <w:rPr>
          <w:rFonts w:ascii="inherit" w:hAnsi="inherit"/>
          <w:sz w:val="17"/>
        </w:rPr>
        <w:t>grant from the National Institutes of Health to support a clinical study of CD34+ cells in patients with CMD. This led to the initiation of development of CLBS16 and enrollment of patients in the Company's ESCaPE-CMD Phase 2 proof-of-concept study at the Mayo Clinic in Rochester, MN and Cedars-Sinai Medical Center, Los Angeles, CA. The early results observed in this open label trial from the relatively small number of subjects who have reached the 6-month (primary endpoint) follow-up visit support our expectations for CLBS16 and a positive therapeutic effect and acceptable safety profile in this indication. While the final outcome of the trial will be dependent on the 6-month data from all subjects, these early observations of increased coronary flow reserve and decreased angina symptoms in treated patients are encouraging.</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To support a development program of CD34+ cells in the indication of NORDA, the Company acquired the rights to data and regulatory filings for a CD34+ cell therapy program for refractory angina that had been advanced to Phase 3 under the previous investigational new drug application (“IND”) holder. The Company has designated this program CLBS14 and reactivated the IND with the FDA with Caladrius as the sponsor. The Company, working closely with the FDA, has finalized the design of a confirmatory Phase 3 trial which, in combination with previously filed Phase 1, 2 and 3 data, will be considered for the registration of CLBS14.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Immunomodulation (Treg Technology)</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For the last several years, the Company has been developing an innovative therapy for T1D (identified as CLBS03) that is based on a proprietary T regulatory cell platform technology for immunomodulation. CLBS03 was granted Fast Track and Orphan drug designations from the FDA for this proposed indication and was granted Advanced Therapeutic Medicinal Product ("ATMP") classification from the European Medicines Agency ("EMA"). This program is based on the use of Tregs (T-regulatory cells) to treat diseases caused by imbalances in an individual's immune system.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 xml:space="preserve">In 2016, the Company commenced patient enrollment in the first of two cohorts in The Sanford Project: T-Rex Study, a Phase 2a prospective, randomized, placebo-controlled, double-blind clinical trial to evaluate the safety and efficacy of CLBS03 in adolescents with recent onset T1D (the "T-Rex Study"). On February 13, 2019, the Company announced top line results indicating that the therapy was well-tolerated but that the study's primary endpoint of preservation of C-peptide had not been achieved. The Company and its collaborators are conducting a comprehensive analysis of data from the trial (including the 2-year follow-up data to come in early 2020) and will make decisions regarding further development of CLBS03 based on the results of those analyses.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Additional Out-licensing Opportunities</w:t>
      </w:r>
    </w:p>
    <w:p>
      <w:pPr>
        <w:pStyle w:val="TextBody"/>
        <w:spacing w:lineRule="auto" w:line="288" w:before="0" w:after="0"/>
        <w:ind w:left="0" w:right="0" w:firstLine="360"/>
        <w:jc w:val="both"/>
        <w:rPr>
          <w:rFonts w:ascii="inherit" w:hAnsi="inherit"/>
          <w:sz w:val="17"/>
        </w:rPr>
      </w:pPr>
      <w:r>
        <w:rPr>
          <w:rFonts w:ascii="inherit" w:hAnsi="inherit"/>
          <w:sz w:val="17"/>
        </w:rPr>
        <w:t xml:space="preserve">The Company's broad intellectual property portfolio of cell therapy assets includes notable programs available for out-licensing in order to continue their clinical development. These include additional indications for both its Treg product and its CD34+ cell technology.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270"/>
        <w:jc w:val="both"/>
        <w:rPr>
          <w:rFonts w:ascii="inherit" w:hAnsi="inherit"/>
          <w:sz w:val="17"/>
        </w:rPr>
      </w:pPr>
      <w:r>
        <w:rPr>
          <w:rFonts w:ascii="inherit" w:hAnsi="inherit"/>
          <w:sz w:val="17"/>
        </w:rPr>
        <w:t xml:space="preserve">The Company's current long-term strategy focuses on advancing its therapies through development with the ultimate objective of obtaining market authorizations and entering commercialization, either alone or with partners, to provide treatment options to patients suffering from life-threatening medical conditions. The Company believes that it is well-positioned to realize potentially meaningful value increases within its own proprietary pipeline if it is successful in advancing its product candidates to their next significant development milestones.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Basis of Presentation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2019, and the results of its operations and its cash flows for the periods presented. The unaudited consolidated financial statements herein should be read together with the historical consolidated financial statements of the Company for the years ended December 31, 2018</w:t>
      </w:r>
      <w:r>
        <w:rPr>
          <w:sz w:val="17"/>
        </w:rPr>
        <w:t xml:space="preserve"> </w:t>
      </w:r>
      <w:r>
        <w:rPr>
          <w:rFonts w:ascii="inherit" w:hAnsi="inherit"/>
          <w:sz w:val="17"/>
        </w:rPr>
        <w:t>and 2017</w:t>
      </w:r>
      <w:r>
        <w:rPr>
          <w:sz w:val="17"/>
        </w:rPr>
        <w:t xml:space="preserve"> </w:t>
      </w:r>
      <w:r>
        <w:rPr>
          <w:rFonts w:ascii="inherit" w:hAnsi="inherit"/>
          <w:sz w:val="17"/>
        </w:rPr>
        <w:t>included in our 2018 Form 10-K. Operating results for the three and six months ended</w:t>
      </w:r>
      <w:r>
        <w:rPr>
          <w:sz w:val="17"/>
        </w:rPr>
        <w:t xml:space="preserve"> </w:t>
      </w:r>
      <w:r>
        <w:rPr>
          <w:rFonts w:ascii="inherit" w:hAnsi="inherit"/>
          <w:sz w:val="17"/>
        </w:rPr>
        <w:t>June 30, 2019</w:t>
      </w:r>
      <w:r>
        <w:rPr>
          <w:sz w:val="17"/>
        </w:rPr>
        <w:t xml:space="preserve"> </w:t>
      </w:r>
      <w:r>
        <w:rPr>
          <w:rFonts w:ascii="inherit" w:hAnsi="inherit"/>
          <w:sz w:val="17"/>
        </w:rPr>
        <w:t>are not necessarily indicative of the results that may be expected for the year ending December 31, 2019.</w:t>
      </w:r>
    </w:p>
    <w:p>
      <w:pPr>
        <w:pStyle w:val="TextBody"/>
        <w:spacing w:lineRule="auto" w:line="288" w:before="0" w:after="0"/>
        <w:ind w:left="0" w:right="0" w:firstLine="720"/>
        <w:jc w:val="both"/>
        <w:rPr/>
      </w:pPr>
      <w:r>
        <w:rPr/>
        <w:t>    </w:t>
      </w:r>
    </w:p>
    <w:p>
      <w:pPr>
        <w:pStyle w:val="TextBody"/>
        <w:spacing w:lineRule="auto" w:line="288" w:before="0" w:after="0"/>
        <w:jc w:val="both"/>
        <w:rPr>
          <w:rFonts w:ascii="inherit" w:hAnsi="inherit"/>
          <w:b/>
          <w:i/>
          <w:sz w:val="17"/>
        </w:rPr>
      </w:pPr>
      <w:r>
        <w:rPr>
          <w:rFonts w:ascii="inherit" w:hAnsi="inherit"/>
          <w:b/>
          <w:i/>
          <w:sz w:val="17"/>
        </w:rPr>
        <w:t>Use of Estimates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 of revenues and expenses during the reporting period. The Company bases its estimates on historical experience and other assumptions believed to be reasonable under the circumstances, the results of which form the basis for judgments about the carrying value of assets and liabilities that are not readily apparent from other sources. The Company makes critical estimates and assumptions in determining stock-based awards values and income taxes. Accordingly, actual results could differ from those estimates and assumptions.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An accounting policy is considered to be critical if it is important to the Company’s financial condition and results of operations and if it requires management’s most difficult, subjective and complex judgments in its application. </w:t>
      </w:r>
    </w:p>
    <w:p>
      <w:pPr>
        <w:pStyle w:val="TextBody"/>
        <w:spacing w:lineRule="auto" w:line="288" w:before="0" w:after="0"/>
        <w:rPr/>
      </w:pPr>
      <w:r>
        <w:rPr/>
        <w:t> </w:t>
      </w:r>
    </w:p>
    <w:p>
      <w:pPr>
        <w:pStyle w:val="TextBody"/>
        <w:spacing w:lineRule="auto" w:line="288" w:before="0" w:after="0"/>
        <w:jc w:val="both"/>
        <w:rPr>
          <w:rFonts w:ascii="inherit" w:hAnsi="inherit"/>
          <w:b/>
          <w:i/>
          <w:sz w:val="17"/>
        </w:rPr>
      </w:pPr>
      <w:r>
        <w:rPr>
          <w:rFonts w:ascii="inherit" w:hAnsi="inherit"/>
          <w:b/>
          <w:i/>
          <w:sz w:val="17"/>
        </w:rPr>
        <w:t>Principles of Consolidation</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The Consolidated Financial Statements include the accounts of Caladrius Biosciences, Inc. and its wholly-owned and partially-owned subsidiaries and affiliates. All intercompany activities have been eliminated in consolidation.</w:t>
      </w:r>
    </w:p>
    <w:p>
      <w:pPr>
        <w:pStyle w:val="TextBody"/>
        <w:spacing w:lineRule="auto" w:line="288" w:before="0" w:after="0"/>
        <w:jc w:val="both"/>
        <w:rPr>
          <w:rFonts w:ascii="inherit" w:hAnsi="inherit"/>
          <w:sz w:val="15"/>
        </w:rPr>
      </w:pPr>
      <w:r>
        <w:rPr>
          <w:rFonts w:ascii="inherit" w:hAnsi="inherit"/>
          <w:sz w:val="15"/>
        </w:rPr>
      </w:r>
    </w:p>
    <w:p>
      <w:pPr>
        <w:pStyle w:val="TextBody"/>
        <w:spacing w:lineRule="auto" w:line="288" w:before="0" w:after="0"/>
        <w:rPr>
          <w:rFonts w:ascii="inherit" w:hAnsi="inherit"/>
          <w:b/>
          <w:sz w:val="17"/>
          <w:u w:val="single"/>
        </w:rPr>
      </w:pPr>
      <w:bookmarkStart w:id="13" w:name="sA39D21FB4F1054EBAA10AA5FE396AA31"/>
      <w:bookmarkEnd w:id="13"/>
      <w:r>
        <w:rPr>
          <w:rFonts w:ascii="inherit" w:hAnsi="inherit"/>
          <w:b/>
          <w:sz w:val="17"/>
          <w:u w:val="single"/>
        </w:rPr>
        <w:t>Note 2 – Summary of Significant Accounting Policies</w:t>
      </w:r>
    </w:p>
    <w:p>
      <w:pPr>
        <w:pStyle w:val="TextBody"/>
        <w:spacing w:lineRule="auto" w:line="288" w:before="0" w:after="0"/>
        <w:jc w:val="both"/>
        <w:rPr/>
      </w:pPr>
      <w:r>
        <w:rPr/>
        <w:t> </w:t>
      </w:r>
    </w:p>
    <w:p>
      <w:pPr>
        <w:pStyle w:val="TextBody"/>
        <w:spacing w:lineRule="auto" w:line="288" w:before="0" w:after="0"/>
        <w:ind w:left="0" w:right="0" w:firstLine="360"/>
        <w:jc w:val="both"/>
        <w:rPr>
          <w:sz w:val="17"/>
        </w:rPr>
      </w:pPr>
      <w:r>
        <w:rPr>
          <w:rFonts w:ascii="inherit" w:hAnsi="inherit"/>
          <w:sz w:val="17"/>
        </w:rPr>
        <w:t>In addition to the policies below, our significant accounting policies are described in Note 2 of the Notes to Consolidated Financial Statements included in our 2018 Form 10-K. There were no changes to these policies during the three and six months ended</w:t>
      </w:r>
      <w:r>
        <w:rPr>
          <w:sz w:val="17"/>
        </w:rPr>
        <w:t xml:space="preserve"> </w:t>
      </w:r>
      <w:r>
        <w:rPr>
          <w:rFonts w:ascii="inherit" w:hAnsi="inherit"/>
          <w:sz w:val="17"/>
        </w:rPr>
        <w:t>June 30, 2019.</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Concentration of Risks</w:t>
      </w:r>
    </w:p>
    <w:p>
      <w:pPr>
        <w:pStyle w:val="TextBody"/>
        <w:spacing w:lineRule="auto" w:line="288" w:before="0" w:after="0"/>
        <w:ind w:left="0" w:right="0" w:firstLine="360"/>
        <w:jc w:val="both"/>
        <w:rPr>
          <w:rFonts w:ascii="inherit" w:hAnsi="inherit"/>
          <w:sz w:val="17"/>
        </w:rPr>
      </w:pPr>
      <w:r>
        <w:rPr>
          <w:rFonts w:ascii="inherit" w:hAnsi="inherit"/>
          <w:sz w:val="17"/>
        </w:rPr>
        <w:t xml:space="preserve">We are subject to credit risk from our portfolio of cash, cash equivalents and marketable securities. Under our investment policy, we limit amounts invested in such securities by credit rating, maturity, industry group, investment type and issuer, except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for securities issued by the U.S. government. Cash is held at major banks in the United States. Therefore, the Company is not exposed to any significant concentrations of credit risk from these financial instruments. The goals of our investment policy, in order of priority, are as follows: safety and preservation of principal and diversification of risk, liquidity of investments sufficient to meet cash flow requirements, and a competitive after-tax rate of return.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b/>
          <w:i/>
          <w:sz w:val="17"/>
        </w:rPr>
        <w:t>Share-Based Compensation</w:t>
      </w:r>
      <w:r>
        <w:rPr>
          <w:sz w:val="17"/>
        </w:rPr>
        <w: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b/>
          <w:i/>
          <w:sz w:val="17"/>
        </w:rPr>
        <w:t>Income Taxes</w:t>
      </w:r>
      <w:r>
        <w:rPr>
          <w:sz w:val="17"/>
        </w:rPr>
        <w:t>  </w:t>
      </w:r>
    </w:p>
    <w:p>
      <w:pPr>
        <w:pStyle w:val="TextBody"/>
        <w:spacing w:lineRule="auto" w:line="288" w:before="0" w:after="0"/>
        <w:ind w:left="0" w:right="0" w:firstLine="360"/>
        <w:jc w:val="both"/>
        <w:rPr>
          <w:rFonts w:ascii="inherit" w:hAnsi="inherit"/>
          <w:sz w:val="17"/>
        </w:rPr>
      </w:pPr>
      <w:r>
        <w:rPr>
          <w:rFonts w:ascii="inherit" w:hAnsi="inherit"/>
          <w:sz w:val="17"/>
        </w:rPr>
        <w:t xml:space="preserve">The Company recognizes (a) the amount of taxes payable or refundable for the current year and (b) deferred tax liabilities and assets for the future tax consequences of events that have been recognized in the Company’s financial statements or tax returns. </w:t>
      </w:r>
    </w:p>
    <w:p>
      <w:pPr>
        <w:pStyle w:val="TextBody"/>
        <w:spacing w:lineRule="auto" w:line="288" w:before="0" w:after="0"/>
        <w:ind w:left="0" w:right="0" w:firstLine="360"/>
        <w:jc w:val="both"/>
        <w:rPr>
          <w:rFonts w:ascii="inherit" w:hAnsi="inherit"/>
          <w:sz w:val="17"/>
        </w:rPr>
      </w:pPr>
      <w:r>
        <w:rPr>
          <w:rFonts w:ascii="inherit" w:hAnsi="inherit"/>
          <w:sz w:val="17"/>
        </w:rPr>
        <w:t>The Company evaluates the accounting for uncertainty in tax positions at the end of each reporting period. The accounting guidance requires companies to recognize in their financial statements the impact of a tax position if the position is more likely than not to be sustained if the position were to be challenged by a taxing authority. The position ascertained inherently requires judgment and estimates by management. The Company recognizes interest and penalties as a component of income tax expense.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Recently Issued Accounting Pronouncements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In February 2016, the FASB issued ASU 2016-02, Leases (Topic 842). This ASU requires that a lessee recognize lease assets and lease liabilities for those leases classified as operating leases. The guidance was effective for interim and annual periods beginning after December 15, 2018 and was adopted as of January 1, 2019. The Company adopted the standard using the optional transition method, with an immaterial adjustment to accumulated deficit upon adoption. The comparative information has not been restated and continues to be reported under the accounting standards that were in effect for those periods. The Company concluded that the adoption of ASU 2016-02 was non-cash in nature, did not affect the Company's cash position, and did not have a material impact on the Company's financial statements.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In June 2018, the FASB issued ASU No. 2018-07, "Improvements to Nonemployee Share-Based Payment Accounting",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Early adoption is permitted, but no earlier than a company's adoption date of ASC 606. The Company determined that the adoption of this new accounting guidance did not have a material impact on its financial statements and footnote disclosures.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14" w:name="s36E93811745356F18DF767E4073ABFD0"/>
      <w:bookmarkEnd w:id="14"/>
      <w:r>
        <w:rPr>
          <w:rFonts w:ascii="inherit" w:hAnsi="inherit"/>
          <w:b/>
          <w:sz w:val="17"/>
          <w:u w:val="single"/>
        </w:rPr>
        <w:t>Note 3 – Available-for-Sale-Securities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The following table is a summary of available-for-sale securities recorded in cash and cash equivalents or marketable securities in our Consolidated Balance Sheets (in thousands):</w:t>
      </w:r>
    </w:p>
    <w:p>
      <w:pPr>
        <w:pStyle w:val="TextBody"/>
        <w:spacing w:lineRule="auto" w:line="288" w:before="0" w:after="0"/>
        <w:ind w:left="0" w:right="0" w:firstLine="360"/>
        <w:jc w:val="both"/>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084"/>
        <w:gridCol w:w="110"/>
        <w:gridCol w:w="515"/>
        <w:gridCol w:w="30"/>
        <w:gridCol w:w="90"/>
        <w:gridCol w:w="533"/>
        <w:gridCol w:w="533"/>
        <w:gridCol w:w="145"/>
        <w:gridCol w:w="90"/>
        <w:gridCol w:w="348"/>
        <w:gridCol w:w="539"/>
        <w:gridCol w:w="350"/>
        <w:gridCol w:w="90"/>
        <w:gridCol w:w="188"/>
        <w:gridCol w:w="890"/>
        <w:gridCol w:w="53"/>
        <w:gridCol w:w="90"/>
        <w:gridCol w:w="110"/>
        <w:gridCol w:w="515"/>
        <w:gridCol w:w="30"/>
        <w:gridCol w:w="90"/>
        <w:gridCol w:w="332"/>
        <w:gridCol w:w="787"/>
        <w:gridCol w:w="91"/>
        <w:gridCol w:w="90"/>
        <w:gridCol w:w="282"/>
        <w:gridCol w:w="669"/>
        <w:gridCol w:w="285"/>
        <w:gridCol w:w="90"/>
        <w:gridCol w:w="153"/>
        <w:gridCol w:w="719"/>
        <w:gridCol w:w="284"/>
      </w:tblGrid>
      <w:tr>
        <w:trPr/>
        <w:tc>
          <w:tcPr>
            <w:tcW w:w="10205" w:type="dxa"/>
            <w:gridSpan w:val="32"/>
            <w:tcBorders/>
            <w:shd w:fill="auto" w:val="clear"/>
            <w:vAlign w:val="center"/>
          </w:tcPr>
          <w:p>
            <w:pPr>
              <w:pStyle w:val="TableContents"/>
              <w:spacing w:before="0" w:after="283"/>
              <w:rPr>
                <w:sz w:val="4"/>
                <w:szCs w:val="4"/>
              </w:rPr>
            </w:pPr>
            <w:r>
              <w:rPr>
                <w:sz w:val="4"/>
                <w:szCs w:val="4"/>
              </w:rPr>
            </w:r>
          </w:p>
        </w:tc>
      </w:tr>
      <w:tr>
        <w:trPr/>
        <w:tc>
          <w:tcPr>
            <w:tcW w:w="108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84" w:type="dxa"/>
            <w:tcBorders/>
            <w:shd w:fill="auto" w:val="clear"/>
            <w:vAlign w:val="center"/>
          </w:tcPr>
          <w:p>
            <w:pPr>
              <w:pStyle w:val="TableContents"/>
              <w:spacing w:before="0" w:after="0"/>
              <w:ind w:left="0" w:right="0" w:firstLine="30"/>
              <w:rPr/>
            </w:pPr>
            <w:r>
              <w:rPr/>
              <w:t> </w:t>
            </w:r>
          </w:p>
        </w:tc>
        <w:tc>
          <w:tcPr>
            <w:tcW w:w="450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June 30, 2019</w:t>
            </w:r>
          </w:p>
        </w:tc>
        <w:tc>
          <w:tcPr>
            <w:tcW w:w="90" w:type="dxa"/>
            <w:tcBorders/>
            <w:shd w:fill="auto" w:val="clear"/>
            <w:vAlign w:val="center"/>
          </w:tcPr>
          <w:p>
            <w:pPr>
              <w:pStyle w:val="TableContents"/>
              <w:spacing w:before="0" w:after="0"/>
              <w:ind w:left="0" w:right="0" w:firstLine="30"/>
              <w:rPr/>
            </w:pPr>
            <w:r>
              <w:rPr/>
              <w:t> </w:t>
            </w:r>
          </w:p>
        </w:tc>
        <w:tc>
          <w:tcPr>
            <w:tcW w:w="452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December 31, 2018</w:t>
            </w:r>
          </w:p>
        </w:tc>
      </w:tr>
      <w:tr>
        <w:trPr/>
        <w:tc>
          <w:tcPr>
            <w:tcW w:w="1084" w:type="dxa"/>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Cost</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Gross Unrealized Gains</w:t>
            </w:r>
          </w:p>
        </w:tc>
        <w:tc>
          <w:tcPr>
            <w:tcW w:w="90" w:type="dxa"/>
            <w:tcBorders/>
            <w:shd w:fill="auto" w:val="clear"/>
            <w:vAlign w:val="center"/>
          </w:tcPr>
          <w:p>
            <w:pPr>
              <w:pStyle w:val="TableContents"/>
              <w:spacing w:before="0" w:after="0"/>
              <w:ind w:left="0" w:right="0" w:firstLine="30"/>
              <w:rPr/>
            </w:pPr>
            <w:r>
              <w:rPr/>
              <w:t> </w:t>
            </w:r>
          </w:p>
        </w:tc>
        <w:tc>
          <w:tcPr>
            <w:tcW w:w="1237"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Gross Unrealized Losses</w:t>
            </w:r>
          </w:p>
        </w:tc>
        <w:tc>
          <w:tcPr>
            <w:tcW w:w="90" w:type="dxa"/>
            <w:tcBorders/>
            <w:shd w:fill="auto" w:val="clear"/>
            <w:vAlign w:val="center"/>
          </w:tcPr>
          <w:p>
            <w:pPr>
              <w:pStyle w:val="TableContents"/>
              <w:spacing w:before="0" w:after="0"/>
              <w:ind w:left="0" w:right="0" w:firstLine="30"/>
              <w:rPr/>
            </w:pPr>
            <w:r>
              <w:rPr/>
              <w:t> </w:t>
            </w:r>
          </w:p>
        </w:tc>
        <w:tc>
          <w:tcPr>
            <w:tcW w:w="1131"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Estimated Fair Value</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Cost</w:t>
            </w:r>
          </w:p>
        </w:tc>
        <w:tc>
          <w:tcPr>
            <w:tcW w:w="90" w:type="dxa"/>
            <w:tcBorders/>
            <w:shd w:fill="auto" w:val="clear"/>
            <w:vAlign w:val="center"/>
          </w:tcPr>
          <w:p>
            <w:pPr>
              <w:pStyle w:val="TableContents"/>
              <w:spacing w:before="0" w:after="0"/>
              <w:ind w:left="0" w:right="0" w:firstLine="30"/>
              <w:rPr/>
            </w:pPr>
            <w:r>
              <w:rPr/>
              <w:t> </w:t>
            </w:r>
          </w:p>
        </w:tc>
        <w:tc>
          <w:tcPr>
            <w:tcW w:w="1210"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Gross Unrealized Gains</w:t>
            </w:r>
          </w:p>
        </w:tc>
        <w:tc>
          <w:tcPr>
            <w:tcW w:w="90" w:type="dxa"/>
            <w:tcBorders/>
            <w:shd w:fill="auto" w:val="clear"/>
            <w:vAlign w:val="center"/>
          </w:tcPr>
          <w:p>
            <w:pPr>
              <w:pStyle w:val="TableContents"/>
              <w:spacing w:before="0" w:after="0"/>
              <w:ind w:left="0" w:right="0" w:firstLine="30"/>
              <w:rPr/>
            </w:pPr>
            <w:r>
              <w:rPr/>
              <w:t> </w:t>
            </w:r>
          </w:p>
        </w:tc>
        <w:tc>
          <w:tcPr>
            <w:tcW w:w="1236"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Gross Unrealized Losses</w:t>
            </w:r>
          </w:p>
        </w:tc>
        <w:tc>
          <w:tcPr>
            <w:tcW w:w="90" w:type="dxa"/>
            <w:tcBorders/>
            <w:shd w:fill="auto" w:val="clear"/>
            <w:vAlign w:val="center"/>
          </w:tcPr>
          <w:p>
            <w:pPr>
              <w:pStyle w:val="TableContents"/>
              <w:spacing w:before="0" w:after="0"/>
              <w:ind w:left="0" w:right="0" w:firstLine="30"/>
              <w:rPr/>
            </w:pPr>
            <w:r>
              <w:rPr/>
              <w:t> </w:t>
            </w:r>
          </w:p>
        </w:tc>
        <w:tc>
          <w:tcPr>
            <w:tcW w:w="1156" w:type="dxa"/>
            <w:gridSpan w:val="3"/>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Estimated Fair Value</w:t>
            </w:r>
          </w:p>
        </w:tc>
      </w:tr>
      <w:tr>
        <w:trPr/>
        <w:tc>
          <w:tcPr>
            <w:tcW w:w="108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Corporate debt securities</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21,901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33" w:type="dxa"/>
            <w:tcBorders/>
            <w:shd w:fill="CCEEFF" w:val="clear"/>
            <w:vAlign w:val="center"/>
          </w:tcPr>
          <w:p>
            <w:pPr>
              <w:pStyle w:val="TableContents"/>
              <w:spacing w:before="0" w:after="0"/>
              <w:jc w:val="right"/>
              <w:rPr>
                <w:rFonts w:ascii="inherit" w:hAnsi="inherit"/>
                <w:sz w:val="15"/>
              </w:rPr>
            </w:pPr>
            <w:r>
              <w:rPr>
                <w:rFonts w:ascii="inherit" w:hAnsi="inherit"/>
                <w:sz w:val="15"/>
              </w:rPr>
              <w:t>3</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4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39" w:type="dxa"/>
            <w:tcBorders/>
            <w:shd w:fill="CCEEFF" w:val="clear"/>
            <w:vAlign w:val="center"/>
          </w:tcPr>
          <w:p>
            <w:pPr>
              <w:pStyle w:val="TableContents"/>
              <w:spacing w:before="0" w:after="0"/>
              <w:jc w:val="right"/>
              <w:rPr>
                <w:rFonts w:ascii="inherit" w:hAnsi="inherit"/>
                <w:sz w:val="15"/>
              </w:rPr>
            </w:pPr>
            <w:r>
              <w:rPr>
                <w:rFonts w:ascii="inherit" w:hAnsi="inherit"/>
                <w:sz w:val="15"/>
              </w:rPr>
              <w:t>(3</w:t>
            </w:r>
          </w:p>
        </w:tc>
        <w:tc>
          <w:tcPr>
            <w:tcW w:w="35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90" w:type="dxa"/>
            <w:tcBorders/>
            <w:shd w:fill="CCEEFF" w:val="clear"/>
            <w:vAlign w:val="center"/>
          </w:tcPr>
          <w:p>
            <w:pPr>
              <w:pStyle w:val="TableContents"/>
              <w:spacing w:before="0" w:after="0"/>
              <w:jc w:val="right"/>
              <w:rPr>
                <w:rFonts w:ascii="inherit" w:hAnsi="inherit"/>
                <w:sz w:val="15"/>
              </w:rPr>
            </w:pPr>
            <w:r>
              <w:rPr>
                <w:rFonts w:ascii="inherit" w:hAnsi="inherit"/>
                <w:sz w:val="15"/>
              </w:rPr>
              <w:t>21,901</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CCEEFF" w:val="clear"/>
            <w:vAlign w:val="center"/>
          </w:tcPr>
          <w:p>
            <w:pPr>
              <w:pStyle w:val="TableContents"/>
              <w:spacing w:before="0" w:after="0"/>
              <w:jc w:val="right"/>
              <w:rPr>
                <w:rFonts w:ascii="inherit" w:hAnsi="inherit"/>
                <w:sz w:val="15"/>
              </w:rPr>
            </w:pPr>
            <w:r>
              <w:rPr>
                <w:rFonts w:ascii="inherit" w:hAnsi="inherit"/>
                <w:sz w:val="15"/>
              </w:rPr>
              <w:t>33,536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87" w:type="dxa"/>
            <w:tcBorders/>
            <w:shd w:fill="CCEEFF" w:val="cle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8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69" w:type="dxa"/>
            <w:tcBorders/>
            <w:shd w:fill="CCEEFF" w:val="clear"/>
            <w:vAlign w:val="center"/>
          </w:tcPr>
          <w:p>
            <w:pPr>
              <w:pStyle w:val="TableContents"/>
              <w:spacing w:before="0" w:after="0"/>
              <w:jc w:val="right"/>
              <w:rPr>
                <w:rFonts w:ascii="inherit" w:hAnsi="inherit"/>
                <w:sz w:val="15"/>
              </w:rPr>
            </w:pPr>
            <w:r>
              <w:rPr>
                <w:rFonts w:ascii="inherit" w:hAnsi="inherit"/>
                <w:sz w:val="15"/>
              </w:rPr>
              <w:t>(32</w:t>
            </w:r>
          </w:p>
        </w:tc>
        <w:tc>
          <w:tcPr>
            <w:tcW w:w="28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shd w:fill="CCEEFF" w:val="clear"/>
            <w:vAlign w:val="center"/>
          </w:tcPr>
          <w:p>
            <w:pPr>
              <w:pStyle w:val="TableContents"/>
              <w:spacing w:before="0" w:after="0"/>
              <w:jc w:val="right"/>
              <w:rPr>
                <w:rFonts w:ascii="inherit" w:hAnsi="inherit"/>
                <w:sz w:val="15"/>
              </w:rPr>
            </w:pPr>
            <w:r>
              <w:rPr>
                <w:rFonts w:ascii="inherit" w:hAnsi="inherit"/>
                <w:sz w:val="15"/>
              </w:rPr>
              <w:t>33,504</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08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Money market funds</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8,852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7" w:type="dxa"/>
            <w:gridSpan w:val="2"/>
            <w:tcBorders/>
            <w:shd w:fill="auto" w:val="clear"/>
            <w:vAlign w:val="center"/>
          </w:tcPr>
          <w:p>
            <w:pPr>
              <w:pStyle w:val="TableContents"/>
              <w:spacing w:before="0" w:after="0"/>
              <w:jc w:val="right"/>
              <w:rPr/>
            </w:pPr>
            <w:r>
              <w:rPr/>
              <w:t>—</w:t>
            </w:r>
          </w:p>
        </w:tc>
        <w:tc>
          <w:tcPr>
            <w:tcW w:w="3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8,852</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19" w:type="dxa"/>
            <w:gridSpan w:val="2"/>
            <w:tcBorders/>
            <w:shd w:fill="auto" w:val="clear"/>
            <w:vAlign w:val="center"/>
          </w:tcPr>
          <w:p>
            <w:pPr>
              <w:pStyle w:val="TableContents"/>
              <w:spacing w:before="0" w:after="0"/>
              <w:jc w:val="right"/>
              <w:rPr/>
            </w:pPr>
            <w:r>
              <w:rPr/>
              <w:t>—</w:t>
            </w:r>
          </w:p>
        </w:tc>
        <w:tc>
          <w:tcPr>
            <w:tcW w:w="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51" w:type="dxa"/>
            <w:gridSpan w:val="2"/>
            <w:tcBorders/>
            <w:shd w:fill="auto" w:val="clear"/>
            <w:vAlign w:val="center"/>
          </w:tcPr>
          <w:p>
            <w:pPr>
              <w:pStyle w:val="TableContents"/>
              <w:spacing w:before="0" w:after="0"/>
              <w:jc w:val="right"/>
              <w:rPr/>
            </w:pPr>
            <w:r>
              <w:rPr/>
              <w:t>—</w:t>
            </w:r>
          </w:p>
        </w:tc>
        <w:tc>
          <w:tcPr>
            <w:tcW w:w="2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4,314</w:t>
            </w:r>
          </w:p>
        </w:tc>
        <w:tc>
          <w:tcPr>
            <w:tcW w:w="284"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08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30,753</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1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3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w:t>
            </w:r>
          </w:p>
        </w:tc>
        <w:tc>
          <w:tcPr>
            <w:tcW w:w="3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30,753</w:t>
            </w:r>
          </w:p>
        </w:tc>
        <w:tc>
          <w:tcPr>
            <w:tcW w:w="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37,850</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9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(32</w:t>
            </w:r>
          </w:p>
        </w:tc>
        <w:tc>
          <w:tcPr>
            <w:tcW w:w="2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CCEEFF" w:val="clear"/>
            <w:vAlign w:val="center"/>
          </w:tcPr>
          <w:p>
            <w:pPr>
              <w:pStyle w:val="TableContents"/>
              <w:spacing w:before="0" w:after="0"/>
              <w:ind w:left="0" w:right="0" w:firstLine="30"/>
              <w:rPr/>
            </w:pPr>
            <w:r>
              <w:rPr/>
              <w:t> </w:t>
            </w:r>
          </w:p>
        </w:tc>
        <w:tc>
          <w:tcPr>
            <w:tcW w:w="1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37,818</w:t>
            </w:r>
          </w:p>
        </w:tc>
        <w:tc>
          <w:tcPr>
            <w:tcW w:w="28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pStyle w:val="TextBody"/>
        <w:spacing w:lineRule="auto" w:line="288" w:before="0" w:after="0"/>
        <w:ind w:left="0" w:right="0" w:firstLine="360"/>
        <w:jc w:val="both"/>
        <w:rPr>
          <w:rFonts w:ascii="inherit" w:hAnsi="inherit"/>
          <w:sz w:val="17"/>
        </w:rPr>
      </w:pPr>
      <w:r>
        <w:rPr>
          <w:rFonts w:ascii="inherit" w:hAnsi="inherit"/>
          <w:sz w:val="17"/>
        </w:rPr>
      </w:r>
    </w:p>
    <w:tbl>
      <w:tblPr>
        <w:tblW w:w="4902" w:type="dxa"/>
        <w:jc w:val="center"/>
        <w:tblInd w:w="0" w:type="dxa"/>
        <w:tblCellMar>
          <w:top w:w="0" w:type="dxa"/>
          <w:left w:w="0" w:type="dxa"/>
          <w:bottom w:w="0" w:type="dxa"/>
          <w:right w:w="0" w:type="dxa"/>
        </w:tblCellMar>
      </w:tblPr>
      <w:tblGrid>
        <w:gridCol w:w="2300"/>
        <w:gridCol w:w="174"/>
        <w:gridCol w:w="823"/>
        <w:gridCol w:w="41"/>
        <w:gridCol w:w="90"/>
        <w:gridCol w:w="201"/>
        <w:gridCol w:w="955"/>
        <w:gridCol w:w="318"/>
      </w:tblGrid>
      <w:tr>
        <w:trPr/>
        <w:tc>
          <w:tcPr>
            <w:tcW w:w="4902" w:type="dxa"/>
            <w:gridSpan w:val="8"/>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00" w:type="dxa"/>
            <w:tcBorders/>
            <w:shd w:fill="auto" w:val="clear"/>
            <w:vAlign w:val="center"/>
          </w:tcPr>
          <w:p>
            <w:pPr>
              <w:pStyle w:val="TableContents"/>
              <w:spacing w:before="0" w:after="0"/>
              <w:ind w:left="0" w:right="0" w:firstLine="30"/>
              <w:rPr/>
            </w:pPr>
            <w:r>
              <w:rPr/>
              <w:t> </w:t>
            </w:r>
          </w:p>
        </w:tc>
        <w:tc>
          <w:tcPr>
            <w:tcW w:w="10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shd w:fill="CCEEFF" w:val="clear"/>
            <w:vAlign w:val="center"/>
          </w:tcPr>
          <w:p>
            <w:pPr>
              <w:pStyle w:val="TableContents"/>
              <w:spacing w:before="0" w:after="0"/>
              <w:jc w:val="right"/>
              <w:rPr>
                <w:rFonts w:ascii="inherit" w:hAnsi="inherit"/>
                <w:sz w:val="17"/>
              </w:rPr>
            </w:pPr>
            <w:r>
              <w:rPr>
                <w:rFonts w:ascii="inherit" w:hAnsi="inherit"/>
                <w:sz w:val="17"/>
              </w:rPr>
              <w:t>8,852</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shd w:fill="CCEEFF" w:val="clear"/>
            <w:vAlign w:val="center"/>
          </w:tcPr>
          <w:p>
            <w:pPr>
              <w:pStyle w:val="TableContents"/>
              <w:spacing w:before="0" w:after="0"/>
              <w:jc w:val="right"/>
              <w:rPr>
                <w:rFonts w:ascii="inherit" w:hAnsi="inherit"/>
                <w:sz w:val="17"/>
              </w:rPr>
            </w:pPr>
            <w:r>
              <w:rPr>
                <w:rFonts w:ascii="inherit" w:hAnsi="inherit"/>
                <w:sz w:val="17"/>
              </w:rPr>
              <w:t>5,064</w:t>
            </w:r>
          </w:p>
        </w:tc>
        <w:tc>
          <w:tcPr>
            <w:tcW w:w="3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Marketable securities</w:t>
            </w:r>
          </w:p>
        </w:tc>
        <w:tc>
          <w:tcPr>
            <w:tcW w:w="9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21,901</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32,754</w:t>
            </w:r>
          </w:p>
        </w:tc>
        <w:tc>
          <w:tcPr>
            <w:tcW w:w="31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7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30,753</w:t>
            </w:r>
          </w:p>
        </w:tc>
        <w:tc>
          <w:tcPr>
            <w:tcW w:w="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37,818</w:t>
            </w:r>
          </w:p>
        </w:tc>
        <w:tc>
          <w:tcPr>
            <w:tcW w:w="31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 following table summarizes our portfolio of available-for-sale securities by contractual maturity (in thousands):</w:t>
      </w:r>
    </w:p>
    <w:p>
      <w:pPr>
        <w:pStyle w:val="TextBody"/>
        <w:spacing w:lineRule="auto" w:line="288" w:before="0" w:after="0"/>
        <w:jc w:val="both"/>
        <w:rPr/>
      </w:pPr>
      <w:r>
        <w:rPr/>
        <w:t> </w:t>
      </w:r>
    </w:p>
    <w:tbl>
      <w:tblPr>
        <w:tblW w:w="4797" w:type="dxa"/>
        <w:jc w:val="center"/>
        <w:tblInd w:w="0" w:type="dxa"/>
        <w:tblCellMar>
          <w:top w:w="0" w:type="dxa"/>
          <w:left w:w="0" w:type="dxa"/>
          <w:bottom w:w="0" w:type="dxa"/>
          <w:right w:w="0" w:type="dxa"/>
        </w:tblCellMar>
      </w:tblPr>
      <w:tblGrid>
        <w:gridCol w:w="1940"/>
        <w:gridCol w:w="196"/>
        <w:gridCol w:w="929"/>
        <w:gridCol w:w="48"/>
        <w:gridCol w:w="90"/>
        <w:gridCol w:w="261"/>
        <w:gridCol w:w="1238"/>
        <w:gridCol w:w="95"/>
      </w:tblGrid>
      <w:tr>
        <w:trPr/>
        <w:tc>
          <w:tcPr>
            <w:tcW w:w="4797" w:type="dxa"/>
            <w:gridSpan w:val="8"/>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40" w:type="dxa"/>
            <w:tcBorders/>
            <w:shd w:fill="auto" w:val="clear"/>
            <w:vAlign w:val="center"/>
          </w:tcPr>
          <w:p>
            <w:pPr>
              <w:pStyle w:val="TableContents"/>
              <w:spacing w:before="0" w:after="0"/>
              <w:ind w:left="0" w:right="0" w:firstLine="30"/>
              <w:rPr/>
            </w:pPr>
            <w:r>
              <w:rPr/>
              <w:t> </w:t>
            </w:r>
          </w:p>
        </w:tc>
        <w:tc>
          <w:tcPr>
            <w:tcW w:w="285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r>
      <w:tr>
        <w:trPr/>
        <w:tc>
          <w:tcPr>
            <w:tcW w:w="1940" w:type="dxa"/>
            <w:tcBorders/>
            <w:shd w:fill="auto" w:val="clear"/>
            <w:vAlign w:val="center"/>
          </w:tcPr>
          <w:p>
            <w:pPr>
              <w:pStyle w:val="TableContents"/>
              <w:spacing w:before="0" w:after="0"/>
              <w:ind w:left="0" w:right="0" w:firstLine="30"/>
              <w:rPr/>
            </w:pPr>
            <w:r>
              <w:rPr/>
              <w:t> </w:t>
            </w:r>
          </w:p>
        </w:tc>
        <w:tc>
          <w:tcPr>
            <w:tcW w:w="11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Amortized Cost</w:t>
            </w:r>
          </w:p>
        </w:tc>
        <w:tc>
          <w:tcPr>
            <w:tcW w:w="90" w:type="dxa"/>
            <w:tcBorders/>
            <w:shd w:fill="auto" w:val="clear"/>
            <w:vAlign w:val="center"/>
          </w:tcPr>
          <w:p>
            <w:pPr>
              <w:pStyle w:val="TableContents"/>
              <w:spacing w:before="0" w:after="0"/>
              <w:ind w:left="0" w:right="0" w:firstLine="30"/>
              <w:rPr/>
            </w:pPr>
            <w:r>
              <w:rPr/>
              <w:t> </w:t>
            </w:r>
          </w:p>
        </w:tc>
        <w:tc>
          <w:tcPr>
            <w:tcW w:w="159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Estimated Fair Value</w:t>
            </w:r>
          </w:p>
        </w:tc>
      </w:tr>
      <w:tr>
        <w:trPr/>
        <w:tc>
          <w:tcPr>
            <w:tcW w:w="19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than one year</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shd w:fill="CCEEFF" w:val="clear"/>
            <w:vAlign w:val="center"/>
          </w:tcPr>
          <w:p>
            <w:pPr>
              <w:pStyle w:val="TableContents"/>
              <w:spacing w:before="0" w:after="0"/>
              <w:jc w:val="right"/>
              <w:rPr>
                <w:rFonts w:ascii="inherit" w:hAnsi="inherit"/>
                <w:sz w:val="17"/>
              </w:rPr>
            </w:pPr>
            <w:r>
              <w:rPr>
                <w:rFonts w:ascii="inherit" w:hAnsi="inherit"/>
                <w:sz w:val="17"/>
              </w:rPr>
              <w:t>30,753</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shd w:fill="CCEEFF" w:val="clear"/>
            <w:vAlign w:val="center"/>
          </w:tcPr>
          <w:p>
            <w:pPr>
              <w:pStyle w:val="TableContents"/>
              <w:spacing w:before="0" w:after="0"/>
              <w:jc w:val="right"/>
              <w:rPr>
                <w:rFonts w:ascii="inherit" w:hAnsi="inherit"/>
                <w:sz w:val="17"/>
              </w:rPr>
            </w:pPr>
            <w:r>
              <w:rPr>
                <w:rFonts w:ascii="inherit" w:hAnsi="inherit"/>
                <w:sz w:val="17"/>
              </w:rPr>
              <w:t>30,753</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Greater than one year</w:t>
            </w:r>
          </w:p>
        </w:tc>
        <w:tc>
          <w:tcPr>
            <w:tcW w:w="1125" w:type="dxa"/>
            <w:gridSpan w:val="2"/>
            <w:tcBorders/>
            <w:shd w:fill="auto" w:val="clear"/>
            <w:vAlign w:val="center"/>
          </w:tcPr>
          <w:p>
            <w:pPr>
              <w:pStyle w:val="TableContents"/>
              <w:spacing w:before="0" w:after="0"/>
              <w:jc w:val="right"/>
              <w:rPr/>
            </w:pPr>
            <w:r>
              <w:rPr/>
              <w:t>—</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99" w:type="dxa"/>
            <w:gridSpan w:val="2"/>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30,753</w:t>
            </w:r>
          </w:p>
        </w:tc>
        <w:tc>
          <w:tcPr>
            <w:tcW w:w="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30,753</w:t>
            </w:r>
          </w:p>
        </w:tc>
        <w:tc>
          <w:tcPr>
            <w:tcW w:w="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15" w:name="sC9DDEB2295B15F72B5562E7B79AB6301"/>
      <w:bookmarkEnd w:id="15"/>
      <w:r>
        <w:rPr>
          <w:rFonts w:ascii="inherit" w:hAnsi="inherit"/>
          <w:b/>
          <w:sz w:val="17"/>
          <w:u w:val="single"/>
        </w:rPr>
        <w:t>Note 4 – Loss Per Share</w:t>
      </w:r>
    </w:p>
    <w:p>
      <w:pPr>
        <w:pStyle w:val="TextBody"/>
        <w:spacing w:lineRule="auto" w:line="288" w:before="0" w:after="0"/>
        <w:jc w:val="both"/>
        <w:rPr/>
      </w:pPr>
      <w:r>
        <w:rPr/>
        <w:t> </w:t>
      </w:r>
    </w:p>
    <w:p>
      <w:pPr>
        <w:pStyle w:val="TextBody"/>
        <w:spacing w:lineRule="auto" w:line="288" w:before="0" w:after="0"/>
        <w:ind w:left="0" w:right="0" w:firstLine="360"/>
        <w:jc w:val="both"/>
        <w:rPr>
          <w:sz w:val="17"/>
        </w:rPr>
      </w:pPr>
      <w:r>
        <w:rPr>
          <w:rFonts w:ascii="inherit" w:hAnsi="inherit"/>
          <w:sz w:val="17"/>
        </w:rPr>
        <w:t>For the three and six months ended</w:t>
      </w:r>
      <w:r>
        <w:rPr>
          <w:sz w:val="17"/>
        </w:rPr>
        <w:t xml:space="preserve"> </w:t>
      </w:r>
      <w:r>
        <w:rPr>
          <w:rFonts w:ascii="inherit" w:hAnsi="inherit"/>
          <w:sz w:val="17"/>
        </w:rPr>
        <w:t>June 30, 2019</w:t>
      </w:r>
      <w:r>
        <w:rPr>
          <w:sz w:val="17"/>
        </w:rPr>
        <w:t xml:space="preserve"> </w:t>
      </w:r>
      <w:r>
        <w:rPr>
          <w:rFonts w:ascii="inherit" w:hAnsi="inherit"/>
          <w:sz w:val="17"/>
        </w:rPr>
        <w:t xml:space="preserve">and 2018, the Company incurred net losses and therefore no common stock equivalents were utilized in the calculation of diluted loss per share as they are anti-dilutive. At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2018</w:t>
      </w:r>
      <w:r>
        <w:rPr>
          <w:rFonts w:ascii="inherit" w:hAnsi="inherit"/>
          <w:sz w:val="17"/>
        </w:rPr>
        <w:t>, the Company excluded the following potentially dilutive securities (in thousands):</w:t>
      </w:r>
    </w:p>
    <w:tbl>
      <w:tblPr>
        <w:tblW w:w="3015" w:type="dxa"/>
        <w:jc w:val="left"/>
        <w:tblInd w:w="0" w:type="dxa"/>
        <w:tblCellMar>
          <w:top w:w="0" w:type="dxa"/>
          <w:left w:w="0" w:type="dxa"/>
          <w:bottom w:w="0" w:type="dxa"/>
          <w:right w:w="0" w:type="dxa"/>
        </w:tblCellMar>
      </w:tblPr>
      <w:tblGrid>
        <w:gridCol w:w="1880"/>
        <w:gridCol w:w="485"/>
        <w:gridCol w:w="30"/>
        <w:gridCol w:w="90"/>
        <w:gridCol w:w="485"/>
        <w:gridCol w:w="45"/>
      </w:tblGrid>
      <w:tr>
        <w:trPr/>
        <w:tc>
          <w:tcPr>
            <w:tcW w:w="3015" w:type="dxa"/>
            <w:gridSpan w:val="6"/>
            <w:tcBorders/>
            <w:shd w:fill="auto" w:val="clear"/>
            <w:vAlign w:val="center"/>
          </w:tcPr>
          <w:p>
            <w:pPr>
              <w:pStyle w:val="TableContents"/>
              <w:spacing w:before="0" w:after="283"/>
              <w:rPr>
                <w:sz w:val="4"/>
                <w:szCs w:val="4"/>
              </w:rPr>
            </w:pPr>
            <w:r>
              <w:rPr>
                <w:sz w:val="4"/>
                <w:szCs w:val="4"/>
              </w:rPr>
            </w:r>
          </w:p>
        </w:tc>
      </w:tr>
      <w:tr>
        <w:trPr/>
        <w:tc>
          <w:tcPr>
            <w:tcW w:w="188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0" w:type="dxa"/>
            <w:tcBorders/>
            <w:shd w:fill="auto" w:val="clear"/>
            <w:vAlign w:val="center"/>
          </w:tcPr>
          <w:p>
            <w:pPr>
              <w:pStyle w:val="TableContents"/>
              <w:spacing w:before="0" w:after="0"/>
              <w:ind w:left="0" w:right="0" w:firstLine="30"/>
              <w:jc w:val="left"/>
              <w:rPr/>
            </w:pPr>
            <w:r>
              <w:rPr/>
              <w:t> </w:t>
            </w:r>
          </w:p>
        </w:tc>
        <w:tc>
          <w:tcPr>
            <w:tcW w:w="113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r>
          </w:p>
        </w:tc>
      </w:tr>
      <w:tr>
        <w:trPr/>
        <w:tc>
          <w:tcPr>
            <w:tcW w:w="1880" w:type="dxa"/>
            <w:tcBorders/>
            <w:shd w:fill="auto" w:val="clear"/>
            <w:vAlign w:val="center"/>
          </w:tcPr>
          <w:p>
            <w:pPr>
              <w:pStyle w:val="TableContents"/>
              <w:spacing w:before="0" w:after="0"/>
              <w:ind w:left="0" w:right="0" w:firstLine="30"/>
              <w:jc w:val="left"/>
              <w:rPr/>
            </w:pPr>
            <w:r>
              <w:rPr/>
              <w:t> </w:t>
            </w:r>
          </w:p>
        </w:tc>
        <w:tc>
          <w:tcPr>
            <w:tcW w:w="5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53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 Options</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1,101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1,073</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Warrants</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Stock Units</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240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4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jc w:val="both"/>
        <w:rPr>
          <w:rFonts w:ascii="inherit" w:hAnsi="inherit"/>
          <w:b/>
          <w:sz w:val="17"/>
          <w:u w:val="single"/>
        </w:rPr>
      </w:pPr>
      <w:bookmarkStart w:id="16" w:name="s393006E26F5B54FDA9B08BB5F9850A6D"/>
      <w:bookmarkEnd w:id="16"/>
      <w:r>
        <w:rPr>
          <w:rFonts w:ascii="inherit" w:hAnsi="inherit"/>
          <w:b/>
          <w:sz w:val="17"/>
          <w:u w:val="single"/>
        </w:rPr>
        <w:t>Note 5 – Fair Value Measurements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Level 1 inputs are defined as quoted prices (unadjusted) in active markets for identical assets or liabilities that the reporting entity has the ability to access at the measurement date.</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Level 2 inputs are defined as inputs other than quoted prices included within Level 1 that are observable for the assets or liabilities, either directly or indirectly.</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sz w:val="17"/>
        </w:rPr>
      </w:pPr>
      <w:r>
        <w:rPr>
          <w:rFonts w:ascii="inherit" w:hAnsi="inherit"/>
          <w:sz w:val="17"/>
        </w:rPr>
        <w:t xml:space="preserve">The following table sets forth by level within the fair value hierarchy the Company's financial assets that were accounted for at fair value on a recurring basis as of </w:t>
      </w:r>
      <w:r>
        <w:rPr>
          <w:rFonts w:ascii="inherit" w:hAnsi="inherit"/>
          <w:strike w:val="false"/>
          <w:dstrike w:val="false"/>
          <w:color w:val="000000"/>
          <w:sz w:val="17"/>
          <w:u w:val="none"/>
          <w:effect w:val="none"/>
        </w:rPr>
        <w:t>June 30, 2019</w:t>
      </w:r>
      <w:r>
        <w:rPr>
          <w:rFonts w:ascii="inherit" w:hAnsi="inherit"/>
          <w:sz w:val="17"/>
        </w:rPr>
        <w:t xml:space="preserve">, and </w:t>
      </w:r>
      <w:r>
        <w:rPr>
          <w:rFonts w:ascii="inherit" w:hAnsi="inherit"/>
          <w:strike w:val="false"/>
          <w:dstrike w:val="false"/>
          <w:color w:val="000000"/>
          <w:sz w:val="17"/>
          <w:u w:val="none"/>
          <w:effect w:val="none"/>
        </w:rPr>
        <w:t>December 31, 2018</w:t>
      </w:r>
      <w:r>
        <w:rPr>
          <w:sz w:val="17"/>
        </w:rPr>
        <w:t xml:space="preserve"> </w:t>
      </w:r>
      <w:r>
        <w:rPr>
          <w:rFonts w:ascii="inherit" w:hAnsi="inherit"/>
          <w:sz w:val="17"/>
        </w:rPr>
        <w:t>(in thousands).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tbl>
      <w:tblPr>
        <w:tblW w:w="8791" w:type="dxa"/>
        <w:jc w:val="center"/>
        <w:tblInd w:w="0" w:type="dxa"/>
        <w:tblCellMar>
          <w:top w:w="0" w:type="dxa"/>
          <w:left w:w="0" w:type="dxa"/>
          <w:bottom w:w="0" w:type="dxa"/>
          <w:right w:w="0" w:type="dxa"/>
        </w:tblCellMar>
      </w:tblPr>
      <w:tblGrid>
        <w:gridCol w:w="3080"/>
        <w:gridCol w:w="90"/>
        <w:gridCol w:w="162"/>
        <w:gridCol w:w="382"/>
        <w:gridCol w:w="45"/>
        <w:gridCol w:w="90"/>
        <w:gridCol w:w="110"/>
        <w:gridCol w:w="515"/>
        <w:gridCol w:w="30"/>
        <w:gridCol w:w="90"/>
        <w:gridCol w:w="162"/>
        <w:gridCol w:w="382"/>
        <w:gridCol w:w="45"/>
        <w:gridCol w:w="90"/>
        <w:gridCol w:w="110"/>
        <w:gridCol w:w="515"/>
        <w:gridCol w:w="30"/>
        <w:gridCol w:w="90"/>
        <w:gridCol w:w="162"/>
        <w:gridCol w:w="382"/>
        <w:gridCol w:w="45"/>
        <w:gridCol w:w="90"/>
        <w:gridCol w:w="110"/>
        <w:gridCol w:w="515"/>
        <w:gridCol w:w="30"/>
        <w:gridCol w:w="90"/>
        <w:gridCol w:w="162"/>
        <w:gridCol w:w="382"/>
        <w:gridCol w:w="45"/>
        <w:gridCol w:w="90"/>
        <w:gridCol w:w="110"/>
        <w:gridCol w:w="515"/>
        <w:gridCol w:w="45"/>
      </w:tblGrid>
      <w:tr>
        <w:trPr/>
        <w:tc>
          <w:tcPr>
            <w:tcW w:w="8791" w:type="dxa"/>
            <w:gridSpan w:val="33"/>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5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2773"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30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5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90" w:type="dxa"/>
            <w:tcBorders/>
            <w:shd w:fill="auto" w:val="clear"/>
            <w:vAlign w:val="center"/>
          </w:tcPr>
          <w:p>
            <w:pPr>
              <w:pStyle w:val="TableContents"/>
              <w:spacing w:before="0" w:after="0"/>
              <w:ind w:left="0" w:right="0" w:firstLine="30"/>
              <w:rPr/>
            </w:pPr>
            <w:r>
              <w:rPr/>
              <w:t> </w:t>
            </w:r>
          </w:p>
        </w:tc>
        <w:tc>
          <w:tcPr>
            <w:tcW w:w="5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5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c>
          <w:tcPr>
            <w:tcW w:w="90" w:type="dxa"/>
            <w:tcBorders/>
            <w:shd w:fill="auto" w:val="clear"/>
            <w:vAlign w:val="center"/>
          </w:tcPr>
          <w:p>
            <w:pPr>
              <w:pStyle w:val="TableContents"/>
              <w:spacing w:before="0" w:after="0"/>
              <w:ind w:left="0" w:right="0" w:firstLine="30"/>
              <w:rPr/>
            </w:pPr>
            <w:r>
              <w:rPr/>
              <w:t> </w:t>
            </w:r>
          </w:p>
        </w:tc>
        <w:tc>
          <w:tcPr>
            <w:tcW w:w="6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08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90" w:type="dxa"/>
            <w:tcBorders/>
            <w:shd w:fill="CCEEFF" w:val="clear"/>
            <w:vAlign w:val="center"/>
          </w:tcPr>
          <w:p>
            <w:pPr>
              <w:pStyle w:val="TableContents"/>
              <w:spacing w:before="0" w:after="0"/>
              <w:ind w:left="0" w:right="0" w:firstLine="30"/>
              <w:rPr/>
            </w:pPr>
            <w:r>
              <w:rPr/>
              <w:t> </w:t>
            </w:r>
          </w:p>
        </w:tc>
        <w:tc>
          <w:tcPr>
            <w:tcW w:w="58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5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5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5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8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70" w:type="dxa"/>
            <w:gridSpan w:val="3"/>
            <w:tcBorders/>
            <w:shd w:fill="CCEEFF" w:val="clear"/>
            <w:vAlign w:val="center"/>
          </w:tcPr>
          <w:p>
            <w:pPr>
              <w:pStyle w:val="TableContents"/>
              <w:spacing w:before="0" w:after="0"/>
              <w:ind w:left="0" w:right="0" w:firstLine="30"/>
              <w:rPr/>
            </w:pPr>
            <w:r>
              <w:rPr/>
              <w:t> </w:t>
            </w:r>
          </w:p>
        </w:tc>
      </w:tr>
      <w:tr>
        <w:trPr/>
        <w:tc>
          <w:tcPr>
            <w:tcW w:w="308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Marketable securities - available for sale</w:t>
            </w:r>
          </w:p>
        </w:tc>
        <w:tc>
          <w:tcPr>
            <w:tcW w:w="90"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shd w:fill="auto" w:val="clear"/>
            <w:vAlign w:val="center"/>
          </w:tcPr>
          <w:p>
            <w:pPr>
              <w:pStyle w:val="TableContents"/>
              <w:spacing w:before="0" w:after="0"/>
              <w:jc w:val="right"/>
              <w:rPr/>
            </w:pPr>
            <w:r>
              <w:rPr/>
              <w:t>—</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auto" w:val="clear"/>
            <w:vAlign w:val="center"/>
          </w:tcPr>
          <w:p>
            <w:pPr>
              <w:pStyle w:val="TableContents"/>
              <w:spacing w:before="0" w:after="0"/>
              <w:jc w:val="right"/>
              <w:rPr>
                <w:rFonts w:ascii="inherit" w:hAnsi="inherit"/>
                <w:sz w:val="15"/>
              </w:rPr>
            </w:pPr>
            <w:r>
              <w:rPr>
                <w:rFonts w:ascii="inherit" w:hAnsi="inherit"/>
                <w:sz w:val="15"/>
              </w:rPr>
              <w:t>21,901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shd w:fill="auto" w:val="clear"/>
            <w:vAlign w:val="center"/>
          </w:tcPr>
          <w:p>
            <w:pPr>
              <w:pStyle w:val="TableContents"/>
              <w:spacing w:before="0" w:after="0"/>
              <w:jc w:val="right"/>
              <w:rPr/>
            </w:pPr>
            <w:r>
              <w:rPr/>
              <w:t>—</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auto" w:val="clear"/>
            <w:vAlign w:val="center"/>
          </w:tcPr>
          <w:p>
            <w:pPr>
              <w:pStyle w:val="TableContents"/>
              <w:spacing w:before="0" w:after="0"/>
              <w:jc w:val="right"/>
              <w:rPr>
                <w:rFonts w:ascii="inherit" w:hAnsi="inherit"/>
                <w:sz w:val="15"/>
              </w:rPr>
            </w:pPr>
            <w:r>
              <w:rPr>
                <w:rFonts w:ascii="inherit" w:hAnsi="inherit"/>
                <w:sz w:val="15"/>
              </w:rPr>
              <w:t>21,901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shd w:fill="auto" w:val="clear"/>
            <w:vAlign w:val="center"/>
          </w:tcPr>
          <w:p>
            <w:pPr>
              <w:pStyle w:val="TableContents"/>
              <w:spacing w:before="0" w:after="0"/>
              <w:jc w:val="right"/>
              <w:rPr/>
            </w:pPr>
            <w:r>
              <w:rPr/>
              <w:t>—</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auto" w:val="clear"/>
            <w:vAlign w:val="center"/>
          </w:tcPr>
          <w:p>
            <w:pPr>
              <w:pStyle w:val="TableContents"/>
              <w:spacing w:before="0" w:after="0"/>
              <w:jc w:val="right"/>
              <w:rPr>
                <w:rFonts w:ascii="inherit" w:hAnsi="inherit"/>
                <w:sz w:val="15"/>
              </w:rPr>
            </w:pPr>
            <w:r>
              <w:rPr>
                <w:rFonts w:ascii="inherit" w:hAnsi="inherit"/>
                <w:sz w:val="15"/>
              </w:rPr>
              <w:t>32,754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shd w:fill="auto" w:val="clear"/>
            <w:vAlign w:val="center"/>
          </w:tcPr>
          <w:p>
            <w:pPr>
              <w:pStyle w:val="TableContents"/>
              <w:spacing w:before="0" w:after="0"/>
              <w:jc w:val="right"/>
              <w:rPr/>
            </w:pPr>
            <w:r>
              <w:rPr/>
              <w:t>—</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shd w:fill="auto" w:val="clear"/>
            <w:vAlign w:val="center"/>
          </w:tcPr>
          <w:p>
            <w:pPr>
              <w:pStyle w:val="TableContents"/>
              <w:spacing w:before="0" w:after="0"/>
              <w:jc w:val="right"/>
              <w:rPr>
                <w:rFonts w:ascii="inherit" w:hAnsi="inherit"/>
                <w:sz w:val="15"/>
              </w:rPr>
            </w:pPr>
            <w:r>
              <w:rPr>
                <w:rFonts w:ascii="inherit" w:hAnsi="inherit"/>
                <w:sz w:val="15"/>
              </w:rPr>
              <w:t>32,754</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8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21,901</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21,901</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32,754</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3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32,754</w:t>
            </w:r>
          </w:p>
        </w:tc>
        <w:tc>
          <w:tcPr>
            <w:tcW w:w="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17" w:name="s3ADFADEA189B54588C8D00EC21254569"/>
      <w:bookmarkEnd w:id="17"/>
      <w:r>
        <w:rPr>
          <w:rFonts w:ascii="inherit" w:hAnsi="inherit"/>
          <w:b/>
          <w:sz w:val="17"/>
          <w:u w:val="single"/>
        </w:rPr>
        <w:t>Note 6 – Accrued Liabilities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rPr>
          <w:sz w:val="17"/>
        </w:rPr>
      </w:pPr>
      <w:r>
        <w:rPr>
          <w:rFonts w:ascii="inherit" w:hAnsi="inherit"/>
          <w:sz w:val="17"/>
        </w:rPr>
        <w:t xml:space="preserve">Accrued liabilities as of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December 31, 2018</w:t>
      </w:r>
      <w:r>
        <w:rPr>
          <w:sz w:val="17"/>
        </w:rPr>
        <w:t xml:space="preserve"> </w:t>
      </w:r>
      <w:r>
        <w:rPr>
          <w:rFonts w:ascii="inherit" w:hAnsi="inherit"/>
          <w:sz w:val="17"/>
        </w:rPr>
        <w:t>were as follows (in thousands):</w:t>
      </w:r>
    </w:p>
    <w:tbl>
      <w:tblPr>
        <w:tblW w:w="6508" w:type="dxa"/>
        <w:jc w:val="center"/>
        <w:tblInd w:w="0" w:type="dxa"/>
        <w:tblCellMar>
          <w:top w:w="0" w:type="dxa"/>
          <w:left w:w="0" w:type="dxa"/>
          <w:bottom w:w="0" w:type="dxa"/>
          <w:right w:w="0" w:type="dxa"/>
        </w:tblCellMar>
      </w:tblPr>
      <w:tblGrid>
        <w:gridCol w:w="3905"/>
        <w:gridCol w:w="203"/>
        <w:gridCol w:w="788"/>
        <w:gridCol w:w="48"/>
        <w:gridCol w:w="90"/>
        <w:gridCol w:w="280"/>
        <w:gridCol w:w="1091"/>
        <w:gridCol w:w="103"/>
      </w:tblGrid>
      <w:tr>
        <w:trPr/>
        <w:tc>
          <w:tcPr>
            <w:tcW w:w="6508" w:type="dxa"/>
            <w:gridSpan w:val="8"/>
            <w:tcBorders/>
            <w:shd w:fill="auto" w:val="clear"/>
            <w:vAlign w:val="center"/>
          </w:tcPr>
          <w:p>
            <w:pPr>
              <w:pStyle w:val="TableContents"/>
              <w:spacing w:before="0" w:after="283"/>
              <w:rPr>
                <w:sz w:val="4"/>
                <w:szCs w:val="4"/>
              </w:rPr>
            </w:pPr>
            <w:r>
              <w:rPr>
                <w:sz w:val="4"/>
                <w:szCs w:val="4"/>
              </w:rPr>
            </w:r>
          </w:p>
        </w:tc>
      </w:tr>
      <w:tr>
        <w:trPr/>
        <w:tc>
          <w:tcPr>
            <w:tcW w:w="39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05" w:type="dxa"/>
            <w:tcBorders/>
            <w:shd w:fill="auto" w:val="clear"/>
            <w:vAlign w:val="center"/>
          </w:tcPr>
          <w:p>
            <w:pPr>
              <w:pStyle w:val="TableContents"/>
              <w:spacing w:before="0" w:after="0"/>
              <w:ind w:left="0" w:right="0" w:firstLine="30"/>
              <w:rPr/>
            </w:pPr>
            <w:r>
              <w:rPr/>
              <w:t> </w:t>
            </w:r>
          </w:p>
        </w:tc>
        <w:tc>
          <w:tcPr>
            <w:tcW w:w="10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Salaries, employee benefits and related taxes</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8" w:type="dxa"/>
            <w:tcBorders/>
            <w:shd w:fill="CCEEFF" w:val="clear"/>
            <w:vAlign w:val="center"/>
          </w:tcPr>
          <w:p>
            <w:pPr>
              <w:pStyle w:val="TableContents"/>
              <w:spacing w:before="0" w:after="0"/>
              <w:jc w:val="right"/>
              <w:rPr>
                <w:rFonts w:ascii="inherit" w:hAnsi="inherit"/>
                <w:sz w:val="17"/>
              </w:rPr>
            </w:pPr>
            <w:r>
              <w:rPr>
                <w:rFonts w:ascii="inherit" w:hAnsi="inherit"/>
                <w:sz w:val="17"/>
              </w:rPr>
              <w:t>1,293</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1" w:type="dxa"/>
            <w:tcBorders/>
            <w:shd w:fill="CCEEFF" w:val="clear"/>
            <w:vAlign w:val="center"/>
          </w:tcPr>
          <w:p>
            <w:pPr>
              <w:pStyle w:val="TableContents"/>
              <w:spacing w:before="0" w:after="0"/>
              <w:jc w:val="right"/>
              <w:rPr>
                <w:rFonts w:ascii="inherit" w:hAnsi="inherit"/>
                <w:sz w:val="17"/>
              </w:rPr>
            </w:pPr>
            <w:r>
              <w:rPr>
                <w:rFonts w:ascii="inherit" w:hAnsi="inherit"/>
                <w:sz w:val="17"/>
              </w:rPr>
              <w:t>1,758</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 - current</w:t>
            </w:r>
          </w:p>
        </w:tc>
        <w:tc>
          <w:tcPr>
            <w:tcW w:w="99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CIRM upfront funding - current</w:t>
            </w:r>
          </w:p>
        </w:tc>
        <w:tc>
          <w:tcPr>
            <w:tcW w:w="99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2,743</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2,583</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9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735</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516</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0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5,153</w:t>
            </w:r>
          </w:p>
        </w:tc>
        <w:tc>
          <w:tcPr>
            <w:tcW w:w="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4,857</w:t>
            </w:r>
          </w:p>
        </w:tc>
        <w:tc>
          <w:tcPr>
            <w:tcW w:w="10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18" w:name="s3C7431442C2C5A1FBBC0B18E36B0AAAE"/>
      <w:bookmarkEnd w:id="18"/>
      <w:r>
        <w:rPr>
          <w:rFonts w:ascii="inherit" w:hAnsi="inherit"/>
          <w:b/>
          <w:sz w:val="17"/>
          <w:u w:val="single"/>
        </w:rPr>
        <w:t>Note 7 – Operating Leases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The Company has operating leases for two</w:t>
      </w:r>
      <w:r>
        <w:rPr>
          <w:sz w:val="17"/>
        </w:rPr>
        <w:t xml:space="preserve"> </w:t>
      </w:r>
      <w:r>
        <w:rPr>
          <w:rFonts w:ascii="inherit" w:hAnsi="inherit"/>
          <w:sz w:val="17"/>
        </w:rPr>
        <w:t>offices with terms that expire in 2022 and 2023. In addition, the Company pays for facility space through a third-party manufacturing contract that contains an embedded operating lease, with an estimated expiration in 2020.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Upon adoption of Topic 842 on January 1, 2019, we recognized $1.4 million</w:t>
      </w:r>
      <w:r>
        <w:rPr>
          <w:sz w:val="17"/>
        </w:rPr>
        <w:t xml:space="preserve"> </w:t>
      </w:r>
      <w:r>
        <w:rPr>
          <w:rFonts w:ascii="inherit" w:hAnsi="inherit"/>
          <w:sz w:val="17"/>
        </w:rPr>
        <w:t>of operating lease liabilities and $1.3 million</w:t>
      </w:r>
      <w:r>
        <w:rPr>
          <w:sz w:val="17"/>
        </w:rPr>
        <w:t xml:space="preserve"> </w:t>
      </w:r>
      <w:r>
        <w:rPr>
          <w:rFonts w:ascii="inherit" w:hAnsi="inherit"/>
          <w:sz w:val="17"/>
        </w:rPr>
        <w:t>of operating lease right-of-use assets for our existing operating leases in our balance sheet. As of June 30, 2019, our operating lease liabilities and right-of-use assets were $1.2 million</w:t>
      </w:r>
      <w:r>
        <w:rPr>
          <w:sz w:val="17"/>
        </w:rPr>
        <w:t xml:space="preserve"> </w:t>
      </w:r>
      <w:r>
        <w:rPr>
          <w:rFonts w:ascii="inherit" w:hAnsi="inherit"/>
          <w:sz w:val="17"/>
        </w:rPr>
        <w:t xml:space="preserve">and $1.1 million, respectively. Each of our leases include options for us to extend the lease term. </w:t>
      </w:r>
    </w:p>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Operating lease liabilities and right-of-use assets were recorded in the following captions of our balance sheet were as follows (in thousands):</w:t>
      </w:r>
    </w:p>
    <w:tbl>
      <w:tblPr>
        <w:tblW w:w="3789" w:type="dxa"/>
        <w:jc w:val="center"/>
        <w:tblInd w:w="0" w:type="dxa"/>
        <w:tblCellMar>
          <w:top w:w="0" w:type="dxa"/>
          <w:left w:w="0" w:type="dxa"/>
          <w:bottom w:w="0" w:type="dxa"/>
          <w:right w:w="0" w:type="dxa"/>
        </w:tblCellMar>
      </w:tblPr>
      <w:tblGrid>
        <w:gridCol w:w="2735"/>
        <w:gridCol w:w="201"/>
        <w:gridCol w:w="781"/>
        <w:gridCol w:w="72"/>
      </w:tblGrid>
      <w:tr>
        <w:trPr/>
        <w:tc>
          <w:tcPr>
            <w:tcW w:w="3789" w:type="dxa"/>
            <w:gridSpan w:val="4"/>
            <w:tcBorders/>
            <w:shd w:fill="auto" w:val="clear"/>
            <w:vAlign w:val="center"/>
          </w:tcPr>
          <w:p>
            <w:pPr>
              <w:pStyle w:val="TableContents"/>
              <w:spacing w:before="0" w:after="283"/>
              <w:rPr>
                <w:sz w:val="4"/>
                <w:szCs w:val="4"/>
              </w:rPr>
            </w:pPr>
            <w:r>
              <w:rPr>
                <w:sz w:val="4"/>
                <w:szCs w:val="4"/>
              </w:rPr>
            </w:r>
          </w:p>
        </w:tc>
      </w:tr>
      <w:tr>
        <w:trPr/>
        <w:tc>
          <w:tcPr>
            <w:tcW w:w="273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5" w:type="dxa"/>
            <w:tcBorders/>
            <w:shd w:fill="auto" w:val="clear"/>
            <w:vAlign w:val="center"/>
          </w:tcPr>
          <w:p>
            <w:pPr>
              <w:pStyle w:val="TableContents"/>
              <w:spacing w:before="0" w:after="0"/>
              <w:ind w:left="0" w:right="0" w:firstLine="30"/>
              <w:rPr/>
            </w:pPr>
            <w:r>
              <w:rPr/>
              <w:t> </w:t>
            </w:r>
          </w:p>
        </w:tc>
        <w:tc>
          <w:tcPr>
            <w:tcW w:w="10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r>
      <w:tr>
        <w:trPr/>
        <w:tc>
          <w:tcPr>
            <w:tcW w:w="2735"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Right-of Use Assets:</w:t>
            </w:r>
          </w:p>
        </w:tc>
        <w:tc>
          <w:tcPr>
            <w:tcW w:w="1054" w:type="dxa"/>
            <w:gridSpan w:val="3"/>
            <w:tcBorders/>
            <w:shd w:fill="BFE4FF" w:val="clear"/>
            <w:vAlign w:val="center"/>
          </w:tcPr>
          <w:p>
            <w:pPr>
              <w:pStyle w:val="TableContents"/>
              <w:spacing w:before="0" w:after="0"/>
              <w:ind w:left="0" w:right="0" w:firstLine="30"/>
              <w:rPr/>
            </w:pPr>
            <w:r>
              <w:rPr/>
              <w:t> </w:t>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20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shd w:fill="auto" w:val="clear"/>
            <w:vAlign w:val="center"/>
          </w:tcPr>
          <w:p>
            <w:pPr>
              <w:pStyle w:val="TableContents"/>
              <w:spacing w:before="0" w:after="0"/>
              <w:jc w:val="right"/>
              <w:rPr>
                <w:rFonts w:ascii="inherit" w:hAnsi="inherit"/>
                <w:sz w:val="17"/>
              </w:rPr>
            </w:pPr>
            <w:r>
              <w:rPr>
                <w:rFonts w:ascii="inherit" w:hAnsi="inherit"/>
                <w:sz w:val="17"/>
              </w:rPr>
              <w:t>1,093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5"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Total Right-of-Use Asset</w:t>
            </w:r>
          </w:p>
        </w:tc>
        <w:tc>
          <w:tcPr>
            <w:tcW w:w="201" w:type="dxa"/>
            <w:tcBorders>
              <w:top w:val="single" w:sz="2" w:space="0" w:color="000000"/>
              <w:bottom w:val="double" w:sz="6" w:space="0" w:color="000000"/>
            </w:tcBorders>
            <w:shd w:fill="BFE4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top w:val="single" w:sz="2" w:space="0" w:color="000000"/>
              <w:bottom w:val="double" w:sz="6" w:space="0" w:color="000000"/>
            </w:tcBorders>
            <w:shd w:fill="BFE4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1,093</w:t>
            </w:r>
          </w:p>
        </w:tc>
        <w:tc>
          <w:tcPr>
            <w:tcW w:w="72" w:type="dxa"/>
            <w:tcBorders>
              <w:top w:val="single" w:sz="2" w:space="0" w:color="000000"/>
              <w:bottom w:val="double" w:sz="6" w:space="0" w:color="000000"/>
            </w:tcBorders>
            <w:shd w:fill="BFE4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5" w:type="dxa"/>
            <w:tcBorders/>
            <w:shd w:fill="auto" w:val="clear"/>
            <w:vAlign w:val="center"/>
          </w:tcPr>
          <w:p>
            <w:pPr>
              <w:pStyle w:val="TableContents"/>
              <w:spacing w:before="0" w:after="0"/>
              <w:ind w:left="0" w:right="0" w:firstLine="30"/>
              <w:rPr/>
            </w:pPr>
            <w:r>
              <w:rPr/>
              <w:t> </w:t>
            </w:r>
          </w:p>
        </w:tc>
        <w:tc>
          <w:tcPr>
            <w:tcW w:w="1054" w:type="dxa"/>
            <w:gridSpan w:val="3"/>
            <w:tcBorders/>
            <w:shd w:fill="auto" w:val="clear"/>
            <w:vAlign w:val="center"/>
          </w:tcPr>
          <w:p>
            <w:pPr>
              <w:pStyle w:val="TableContents"/>
              <w:spacing w:before="0" w:after="0"/>
              <w:ind w:left="0" w:right="0" w:firstLine="30"/>
              <w:rPr/>
            </w:pPr>
            <w:r>
              <w:rPr/>
              <w:t> </w:t>
            </w:r>
          </w:p>
        </w:tc>
      </w:tr>
      <w:tr>
        <w:trPr/>
        <w:tc>
          <w:tcPr>
            <w:tcW w:w="2735"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w:t>
            </w:r>
          </w:p>
        </w:tc>
        <w:tc>
          <w:tcPr>
            <w:tcW w:w="1054" w:type="dxa"/>
            <w:gridSpan w:val="3"/>
            <w:tcBorders/>
            <w:shd w:fill="BFE4FF" w:val="clear"/>
            <w:vAlign w:val="center"/>
          </w:tcPr>
          <w:p>
            <w:pPr>
              <w:pStyle w:val="TableContents"/>
              <w:spacing w:before="0" w:after="0"/>
              <w:ind w:left="0" w:right="0" w:firstLine="30"/>
              <w:rPr/>
            </w:pPr>
            <w:r>
              <w:rPr/>
              <w:t> </w:t>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liabilities</w:t>
            </w:r>
          </w:p>
        </w:tc>
        <w:tc>
          <w:tcPr>
            <w:tcW w:w="20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shd w:fill="auto" w:val="clear"/>
            <w:vAlign w:val="center"/>
          </w:tcPr>
          <w:p>
            <w:pPr>
              <w:pStyle w:val="TableContents"/>
              <w:spacing w:before="0" w:after="0"/>
              <w:jc w:val="right"/>
              <w:rPr>
                <w:rFonts w:ascii="inherit" w:hAnsi="inherit"/>
                <w:sz w:val="17"/>
              </w:rPr>
            </w:pPr>
            <w:r>
              <w:rPr>
                <w:rFonts w:ascii="inherit" w:hAnsi="inherit"/>
                <w:sz w:val="17"/>
              </w:rPr>
              <w:t>383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5"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w:t>
            </w:r>
          </w:p>
        </w:tc>
        <w:tc>
          <w:tcPr>
            <w:tcW w:w="982" w:type="dxa"/>
            <w:gridSpan w:val="2"/>
            <w:tcBorders/>
            <w:shd w:fill="BFE4FF" w:val="clear"/>
            <w:vAlign w:val="center"/>
          </w:tcPr>
          <w:p>
            <w:pPr>
              <w:pStyle w:val="TableContents"/>
              <w:spacing w:before="0" w:after="0"/>
              <w:jc w:val="right"/>
              <w:rPr>
                <w:rFonts w:ascii="inherit" w:hAnsi="inherit"/>
                <w:sz w:val="17"/>
              </w:rPr>
            </w:pPr>
            <w:r>
              <w:rPr>
                <w:rFonts w:ascii="inherit" w:hAnsi="inherit"/>
                <w:sz w:val="17"/>
              </w:rPr>
              <w:t>788</w:t>
            </w:r>
          </w:p>
        </w:tc>
        <w:tc>
          <w:tcPr>
            <w:tcW w:w="72"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Lease Liabilities</w:t>
            </w:r>
          </w:p>
        </w:tc>
        <w:tc>
          <w:tcPr>
            <w:tcW w:w="2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1,171</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sz w:val="17"/>
        </w:rPr>
      </w:pPr>
      <w:r>
        <w:rPr>
          <w:rFonts w:ascii="inherit" w:hAnsi="inherit"/>
          <w:sz w:val="17"/>
        </w:rPr>
        <w:t>As of June 30, 2019, the weighted average remaining lease term for our operating leases was 2.5 years, and the weighted average discount rate for our operating leases was 9.625%. Future minimum lease payments under the lease agreements as of June 30, 2019</w:t>
      </w:r>
      <w:r>
        <w:rPr>
          <w:sz w:val="17"/>
        </w:rPr>
        <w:t xml:space="preserve"> </w:t>
      </w:r>
      <w:r>
        <w:rPr>
          <w:rFonts w:ascii="inherit" w:hAnsi="inherit"/>
          <w:sz w:val="17"/>
        </w:rPr>
        <w:t>were as follows (in thousands):</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tbl>
      <w:tblPr>
        <w:tblW w:w="4658" w:type="dxa"/>
        <w:jc w:val="center"/>
        <w:tblInd w:w="0" w:type="dxa"/>
        <w:tblCellMar>
          <w:top w:w="0" w:type="dxa"/>
          <w:left w:w="0" w:type="dxa"/>
          <w:bottom w:w="0" w:type="dxa"/>
          <w:right w:w="0" w:type="dxa"/>
        </w:tblCellMar>
      </w:tblPr>
      <w:tblGrid>
        <w:gridCol w:w="3110"/>
        <w:gridCol w:w="262"/>
        <w:gridCol w:w="1022"/>
        <w:gridCol w:w="264"/>
      </w:tblGrid>
      <w:tr>
        <w:trPr/>
        <w:tc>
          <w:tcPr>
            <w:tcW w:w="4658" w:type="dxa"/>
            <w:gridSpan w:val="4"/>
            <w:tcBorders/>
            <w:shd w:fill="auto" w:val="clear"/>
            <w:vAlign w:val="center"/>
          </w:tcPr>
          <w:p>
            <w:pPr>
              <w:pStyle w:val="TableContents"/>
              <w:spacing w:before="0" w:after="283"/>
              <w:rPr>
                <w:sz w:val="4"/>
                <w:szCs w:val="4"/>
              </w:rPr>
            </w:pPr>
            <w:r>
              <w:rPr>
                <w:sz w:val="4"/>
                <w:szCs w:val="4"/>
              </w:rPr>
            </w:r>
          </w:p>
        </w:tc>
      </w:tr>
      <w:tr>
        <w:trPr/>
        <w:tc>
          <w:tcPr>
            <w:tcW w:w="311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Years ended</w:t>
            </w:r>
          </w:p>
        </w:tc>
        <w:tc>
          <w:tcPr>
            <w:tcW w:w="15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Operating Leases</w:t>
            </w:r>
          </w:p>
        </w:tc>
      </w:tr>
      <w:tr>
        <w:trPr/>
        <w:tc>
          <w:tcPr>
            <w:tcW w:w="3110"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2019</w:t>
            </w:r>
          </w:p>
        </w:tc>
        <w:tc>
          <w:tcPr>
            <w:tcW w:w="262" w:type="dxa"/>
            <w:tcBorders>
              <w:top w:val="single" w:sz="2" w:space="0" w:color="000000"/>
            </w:tcBorders>
            <w:shd w:fill="BFE4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22" w:type="dxa"/>
            <w:tcBorders>
              <w:top w:val="single" w:sz="2" w:space="0" w:color="000000"/>
            </w:tcBorders>
            <w:shd w:fill="BFE4FF" w:val="clear"/>
            <w:tcMar>
              <w:top w:w="30" w:type="dxa"/>
            </w:tcMar>
            <w:vAlign w:val="center"/>
          </w:tcPr>
          <w:p>
            <w:pPr>
              <w:pStyle w:val="TableContents"/>
              <w:spacing w:before="0" w:after="0"/>
              <w:jc w:val="right"/>
              <w:rPr>
                <w:rFonts w:ascii="inherit" w:hAnsi="inherit"/>
                <w:sz w:val="17"/>
              </w:rPr>
            </w:pPr>
            <w:r>
              <w:rPr>
                <w:rFonts w:ascii="inherit" w:hAnsi="inherit"/>
                <w:sz w:val="17"/>
              </w:rPr>
              <w:t>304</w:t>
            </w:r>
          </w:p>
        </w:tc>
        <w:tc>
          <w:tcPr>
            <w:tcW w:w="264" w:type="dxa"/>
            <w:tcBorders>
              <w:top w:val="single" w:sz="2" w:space="0" w:color="000000"/>
            </w:tcBorders>
            <w:shd w:fill="BFE4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w:t>
            </w:r>
          </w:p>
        </w:tc>
        <w:tc>
          <w:tcPr>
            <w:tcW w:w="2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0"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1284" w:type="dxa"/>
            <w:gridSpan w:val="2"/>
            <w:tcBorders/>
            <w:shd w:fill="BFE4FF" w:val="clear"/>
            <w:vAlign w:val="center"/>
          </w:tcPr>
          <w:p>
            <w:pPr>
              <w:pStyle w:val="TableContents"/>
              <w:spacing w:before="0" w:after="0"/>
              <w:jc w:val="right"/>
              <w:rPr>
                <w:rFonts w:ascii="inherit" w:hAnsi="inherit"/>
                <w:sz w:val="17"/>
              </w:rPr>
            </w:pPr>
            <w:r>
              <w:rPr>
                <w:rFonts w:ascii="inherit" w:hAnsi="inherit"/>
                <w:sz w:val="17"/>
              </w:rPr>
              <w:t>411</w:t>
            </w:r>
          </w:p>
        </w:tc>
        <w:tc>
          <w:tcPr>
            <w:tcW w:w="264"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w:t>
            </w:r>
          </w:p>
        </w:tc>
        <w:tc>
          <w:tcPr>
            <w:tcW w:w="2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0"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1284" w:type="dxa"/>
            <w:gridSpan w:val="2"/>
            <w:tcBorders>
              <w:bottom w:val="single" w:sz="2" w:space="0" w:color="000000"/>
            </w:tcBorders>
            <w:shd w:fill="BFE4FF" w:val="clear"/>
            <w:tcMar>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264" w:type="dxa"/>
            <w:tcBorders>
              <w:bottom w:val="single" w:sz="2" w:space="0" w:color="000000"/>
            </w:tcBorders>
            <w:shd w:fill="BFE4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lease payments</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1,381</w:t>
            </w:r>
          </w:p>
        </w:tc>
        <w:tc>
          <w:tcPr>
            <w:tcW w:w="2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0" w:type="dxa"/>
            <w:tcBorders/>
            <w:shd w:fill="BFE4FF" w:val="clear"/>
            <w:vAlign w:val="center"/>
          </w:tcPr>
          <w:p>
            <w:pPr>
              <w:pStyle w:val="TableContents"/>
              <w:spacing w:before="0" w:after="0"/>
              <w:ind w:left="0" w:right="0" w:firstLine="30"/>
              <w:jc w:val="left"/>
              <w:rPr>
                <w:rFonts w:ascii="inherit" w:hAnsi="inherit"/>
                <w:sz w:val="17"/>
              </w:rPr>
            </w:pPr>
            <w:r>
              <w:rPr>
                <w:rFonts w:ascii="inherit" w:hAnsi="inherit"/>
                <w:sz w:val="17"/>
              </w:rPr>
              <w:t>Less: Amounts representing interest</w:t>
            </w:r>
          </w:p>
        </w:tc>
        <w:tc>
          <w:tcPr>
            <w:tcW w:w="1284" w:type="dxa"/>
            <w:gridSpan w:val="2"/>
            <w:tcBorders>
              <w:bottom w:val="single" w:sz="2" w:space="0" w:color="000000"/>
            </w:tcBorders>
            <w:shd w:fill="BFE4FF" w:val="clear"/>
            <w:tcMar>
              <w:bottom w:w="30" w:type="dxa"/>
            </w:tcMar>
            <w:vAlign w:val="center"/>
          </w:tcPr>
          <w:p>
            <w:pPr>
              <w:pStyle w:val="TableContents"/>
              <w:spacing w:before="0" w:after="0"/>
              <w:jc w:val="right"/>
              <w:rPr>
                <w:rFonts w:ascii="inherit" w:hAnsi="inherit"/>
                <w:sz w:val="17"/>
              </w:rPr>
            </w:pPr>
            <w:r>
              <w:rPr>
                <w:rFonts w:ascii="inherit" w:hAnsi="inherit"/>
                <w:sz w:val="17"/>
              </w:rPr>
              <w:t>(210</w:t>
            </w:r>
          </w:p>
        </w:tc>
        <w:tc>
          <w:tcPr>
            <w:tcW w:w="264" w:type="dxa"/>
            <w:tcBorders>
              <w:bottom w:val="single" w:sz="2" w:space="0" w:color="000000"/>
            </w:tcBorders>
            <w:shd w:fill="BFE4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Present value of lease liabilities</w:t>
            </w:r>
          </w:p>
        </w:tc>
        <w:tc>
          <w:tcPr>
            <w:tcW w:w="2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1,171</w:t>
            </w:r>
          </w:p>
        </w:tc>
        <w:tc>
          <w:tcPr>
            <w:tcW w:w="26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19" w:name="s4E58C65454C252689975D44218960FD9"/>
      <w:bookmarkEnd w:id="19"/>
      <w:r>
        <w:rPr>
          <w:rFonts w:ascii="inherit" w:hAnsi="inherit"/>
          <w:b/>
          <w:sz w:val="17"/>
          <w:u w:val="single"/>
        </w:rPr>
        <w:t>Note 8 – Stockholders' Equity</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Equity Issuances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u w:val="single"/>
        </w:rPr>
      </w:pPr>
      <w:r>
        <w:rPr>
          <w:rFonts w:ascii="inherit" w:hAnsi="inherit"/>
          <w:sz w:val="17"/>
          <w:u w:val="single"/>
        </w:rPr>
        <w:t xml:space="preserve">Purchase Agreement </w:t>
      </w:r>
    </w:p>
    <w:p>
      <w:pPr>
        <w:pStyle w:val="TextBody"/>
        <w:spacing w:lineRule="auto" w:line="288" w:before="0" w:after="0"/>
        <w:ind w:left="0" w:right="0" w:firstLine="360"/>
        <w:jc w:val="both"/>
        <w:rPr>
          <w:sz w:val="17"/>
        </w:rPr>
      </w:pPr>
      <w:r>
        <w:rPr>
          <w:rFonts w:ascii="inherit" w:hAnsi="inherit"/>
          <w:sz w:val="17"/>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w:t>
      </w:r>
      <w:r>
        <w:rPr>
          <w:sz w:val="17"/>
        </w:rPr>
        <w:t xml:space="preserve"> </w:t>
      </w:r>
      <w:r>
        <w:rPr>
          <w:rFonts w:ascii="inherit" w:hAnsi="inherit"/>
          <w:sz w:val="17"/>
        </w:rPr>
        <w:t>shares of common stock as commitment shares.</w:t>
      </w:r>
    </w:p>
    <w:p>
      <w:pPr>
        <w:pStyle w:val="TextBody"/>
        <w:spacing w:lineRule="auto" w:line="288" w:before="0" w:after="0"/>
        <w:ind w:left="0" w:right="0" w:firstLine="360"/>
        <w:jc w:val="both"/>
        <w:rPr>
          <w:sz w:val="17"/>
        </w:rPr>
      </w:pPr>
      <w:r>
        <w:rPr>
          <w:rFonts w:ascii="inherit" w:hAnsi="inherit"/>
          <w:sz w:val="17"/>
        </w:rPr>
        <w:t>Pursuant to the Purchase Agreement, Lincoln Park purchased 250,000</w:t>
      </w:r>
      <w:r>
        <w:rPr>
          <w:sz w:val="17"/>
        </w:rPr>
        <w:t xml:space="preserve"> </w:t>
      </w:r>
      <w:r>
        <w:rPr>
          <w:rFonts w:ascii="inherit" w:hAnsi="inherit"/>
          <w:sz w:val="17"/>
        </w:rPr>
        <w:t>shares of common stock, at a price of $4.00</w:t>
      </w:r>
      <w:r>
        <w:rPr>
          <w:sz w:val="17"/>
        </w:rPr>
        <w:t xml:space="preserve"> </w:t>
      </w:r>
      <w:r>
        <w:rPr>
          <w:rFonts w:ascii="inherit" w:hAnsi="inherit"/>
          <w:sz w:val="17"/>
        </w:rPr>
        <w:t>per share, for a total gross purchase price of $1.0 million</w:t>
      </w:r>
      <w:r>
        <w:rPr>
          <w:sz w:val="17"/>
        </w:rPr>
        <w:t xml:space="preserve"> </w:t>
      </w:r>
      <w:r>
        <w:rPr>
          <w:rFonts w:ascii="inherit" w:hAnsi="inherit"/>
          <w:sz w:val="17"/>
        </w:rPr>
        <w:t>(the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w:t>
      </w:r>
      <w:r>
        <w:rPr>
          <w:sz w:val="17"/>
        </w:rPr>
        <w:t xml:space="preserve"> </w:t>
      </w:r>
      <w:r>
        <w:rPr>
          <w:rFonts w:ascii="inherit" w:hAnsi="inherit"/>
          <w:sz w:val="17"/>
        </w:rPr>
        <w:t>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w:t>
      </w:r>
      <w:r>
        <w:rPr>
          <w:sz w:val="17"/>
        </w:rPr>
        <w:t xml:space="preserve">  </w:t>
      </w:r>
      <w:r>
        <w:rPr>
          <w:rFonts w:ascii="inherit" w:hAnsi="inherit"/>
          <w:sz w:val="17"/>
        </w:rPr>
        <w:t>the number of shares purchased pursuant to the corresponding Regular Purchase or (ii) 30%</w:t>
      </w:r>
      <w:r>
        <w:rPr>
          <w:sz w:val="17"/>
        </w:rPr>
        <w:t xml:space="preserve"> </w:t>
      </w:r>
      <w:r>
        <w:rPr>
          <w:rFonts w:ascii="inherit" w:hAnsi="inherit"/>
          <w:sz w:val="17"/>
        </w:rPr>
        <w:t>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pStyle w:val="TextBody"/>
        <w:spacing w:lineRule="auto" w:line="288" w:before="0" w:after="0"/>
        <w:ind w:left="0" w:right="0" w:firstLine="360"/>
        <w:jc w:val="both"/>
        <w:rPr>
          <w:sz w:val="17"/>
        </w:rPr>
      </w:pPr>
      <w:r>
        <w:rPr>
          <w:rFonts w:ascii="inherit" w:hAnsi="inherit"/>
          <w:sz w:val="17"/>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 the Company may not sell shares of its common stock to Lincoln Park under the purchase agreement if it would result in Lincoln Park beneficially owning more than 9.99%</w:t>
      </w:r>
      <w:r>
        <w:rPr>
          <w:sz w:val="17"/>
        </w:rPr>
        <w:t xml:space="preserve"> </w:t>
      </w:r>
      <w:r>
        <w:rPr>
          <w:rFonts w:ascii="inherit" w:hAnsi="inherit"/>
          <w:sz w:val="17"/>
        </w:rPr>
        <w:t>of its common stock.</w:t>
      </w:r>
    </w:p>
    <w:p>
      <w:pPr>
        <w:pStyle w:val="TextBody"/>
        <w:spacing w:lineRule="auto" w:line="288" w:before="0" w:after="0"/>
        <w:ind w:left="0" w:right="0" w:firstLine="360"/>
        <w:jc w:val="both"/>
        <w:rPr>
          <w:sz w:val="17"/>
        </w:rPr>
      </w:pPr>
      <w:r>
        <w:rPr>
          <w:rFonts w:ascii="inherit" w:hAnsi="inherit"/>
          <w:sz w:val="17"/>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w:t>
      </w:r>
      <w:r>
        <w:rPr>
          <w:sz w:val="17"/>
        </w:rPr>
        <w:t xml:space="preserve"> </w:t>
      </w:r>
      <w:r>
        <w:rPr>
          <w:rFonts w:ascii="inherit" w:hAnsi="inherit"/>
          <w:sz w:val="17"/>
        </w:rPr>
        <w:t>months after the date of the Purchase Agreement. The Company has the right to terminate the Purchase Agreement at any time, at no cost to the Company.</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u w:val="single"/>
        </w:rPr>
      </w:pPr>
      <w:r>
        <w:rPr>
          <w:rFonts w:ascii="inherit" w:hAnsi="inherit"/>
          <w:sz w:val="17"/>
          <w:u w:val="single"/>
        </w:rPr>
        <w:t>Common Stock Sales Agreement</w:t>
      </w:r>
    </w:p>
    <w:p>
      <w:pPr>
        <w:pStyle w:val="TextBody"/>
        <w:spacing w:lineRule="auto" w:line="288" w:before="0" w:after="0"/>
        <w:ind w:left="0" w:right="0" w:firstLine="360"/>
        <w:jc w:val="both"/>
        <w:rPr>
          <w:sz w:val="17"/>
        </w:rPr>
      </w:pPr>
      <w:r>
        <w:rPr>
          <w:rFonts w:ascii="inherit" w:hAnsi="inherit"/>
          <w:sz w:val="17"/>
        </w:rPr>
        <w:t>In February 2018, the Company entered into a common stock sales agreement (the "Sales Agreement") with H.C. Wainwright &amp; Co., LLC ("HCW") as sales agent, in connection with an “at the market offering” under which the Company from time to time may offer and sell shares of its common stock, having an aggregate offering price of up to $12 million</w:t>
      </w:r>
      <w:r>
        <w:rPr>
          <w:sz w:val="17"/>
        </w:rPr>
        <w:t xml:space="preserve"> </w:t>
      </w:r>
      <w:r>
        <w:rPr>
          <w:rFonts w:ascii="inherit" w:hAnsi="inherit"/>
          <w:sz w:val="17"/>
        </w:rPr>
        <w:t>(limited to a maximum of 2,790,697</w:t>
      </w:r>
      <w:r>
        <w:rPr>
          <w:sz w:val="17"/>
        </w:rPr>
        <w:t xml:space="preserve"> </w:t>
      </w:r>
      <w:r>
        <w:rPr>
          <w:rFonts w:ascii="inherit" w:hAnsi="inherit"/>
          <w:sz w:val="17"/>
        </w:rPr>
        <w:t xml:space="preserve">shares). Subject to the terms and conditions of the Sales Agreement, HCW will use its commercially reasonable efforts consistent with its normal trading and sales practices to sell the shares from time to time, based upon the Company's instructions,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jc w:val="both"/>
        <w:rPr>
          <w:sz w:val="17"/>
        </w:rPr>
      </w:pPr>
      <w:r>
        <w:rPr>
          <w:rFonts w:ascii="inherit" w:hAnsi="inherit"/>
          <w:sz w:val="17"/>
        </w:rPr>
        <w:t>including any price, time or size limits specified by the Company. The Company has provided HCW with customary indemnification rights, and HCW will be entitled to a commission at a fixed commission rate equal to 3.0%</w:t>
      </w:r>
      <w:r>
        <w:rPr>
          <w:sz w:val="17"/>
        </w:rPr>
        <w:t xml:space="preserve"> </w:t>
      </w:r>
      <w:r>
        <w:rPr>
          <w:rFonts w:ascii="inherit" w:hAnsi="inherit"/>
          <w:sz w:val="17"/>
        </w:rPr>
        <w:t xml:space="preserve">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w:t>
      </w:r>
    </w:p>
    <w:p>
      <w:pPr>
        <w:pStyle w:val="TextBody"/>
        <w:spacing w:lineRule="auto" w:line="288" w:before="0" w:after="0"/>
        <w:ind w:left="0" w:right="0" w:firstLine="360"/>
        <w:jc w:val="both"/>
        <w:rPr>
          <w:sz w:val="17"/>
        </w:rPr>
      </w:pPr>
      <w:r>
        <w:rPr>
          <w:rFonts w:ascii="inherit" w:hAnsi="inherit"/>
          <w:sz w:val="17"/>
        </w:rPr>
        <w:t>In August 2018, the Company entered into an amendment to the Sales Agreement to reflect that the shares will be issued pursuant to a Registration Statement on Form S-3 (Registration No. 333-226319) that was declared effective in August 2018 and that replaced the Company’s previously effective shelf registration statement. In connection with the amendment, the number of shares of common stock that may be sold pursuant to the Sales Agreement was increased from an aggregate offering amount of $12 million</w:t>
      </w:r>
      <w:r>
        <w:rPr>
          <w:sz w:val="17"/>
        </w:rPr>
        <w:t xml:space="preserve"> </w:t>
      </w:r>
      <w:r>
        <w:rPr>
          <w:rFonts w:ascii="inherit" w:hAnsi="inherit"/>
          <w:sz w:val="17"/>
        </w:rPr>
        <w:t>to $25 million</w:t>
      </w:r>
      <w:r>
        <w:rPr>
          <w:sz w:val="17"/>
        </w:rPr>
        <w:t xml:space="preserve"> </w:t>
      </w:r>
      <w:r>
        <w:rPr>
          <w:rFonts w:ascii="inherit" w:hAnsi="inherit"/>
          <w:sz w:val="17"/>
        </w:rPr>
        <w:t>(limited to a maximum of 4,921,260</w:t>
      </w:r>
      <w:r>
        <w:rPr>
          <w:sz w:val="17"/>
        </w:rPr>
        <w:t xml:space="preserve"> </w:t>
      </w:r>
      <w:r>
        <w:rPr>
          <w:rFonts w:ascii="inherit" w:hAnsi="inherit"/>
          <w:sz w:val="17"/>
        </w:rPr>
        <w:t>shares). All other provisions of the Sales Agreement remained unchanged. During the six months ended</w:t>
      </w:r>
      <w:r>
        <w:rPr>
          <w:sz w:val="17"/>
        </w:rPr>
        <w:t xml:space="preserve"> </w:t>
      </w:r>
      <w:r>
        <w:rPr>
          <w:rFonts w:ascii="inherit" w:hAnsi="inherit"/>
          <w:sz w:val="17"/>
        </w:rPr>
        <w:t>June 30, 2019, the Company did not issue shares of common stock under the Sales Agreement. As of June 30, 2019, the Company has issued 149,041</w:t>
      </w:r>
      <w:r>
        <w:rPr>
          <w:sz w:val="17"/>
        </w:rPr>
        <w:t xml:space="preserve"> </w:t>
      </w:r>
      <w:r>
        <w:rPr>
          <w:rFonts w:ascii="inherit" w:hAnsi="inherit"/>
          <w:sz w:val="17"/>
        </w:rPr>
        <w:t>shares of common stock under the Sales Agreement for net proceeds of $1.0 million</w:t>
      </w:r>
      <w:r>
        <w:rPr>
          <w:sz w:val="17"/>
        </w:rPr>
        <w:t xml:space="preserve"> </w:t>
      </w:r>
      <w:r>
        <w:rPr>
          <w:rFonts w:ascii="inherit" w:hAnsi="inherit"/>
          <w:sz w:val="17"/>
        </w:rPr>
        <w:t xml:space="preserve">since inception.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Stock Options and Warrants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The following table summarizes the activity for stock options and warrants for the six months ended</w:t>
      </w:r>
      <w:r>
        <w:rPr>
          <w:sz w:val="17"/>
        </w:rPr>
        <w:t xml:space="preserve"> </w:t>
      </w:r>
      <w:r>
        <w:rPr>
          <w:rFonts w:ascii="inherit" w:hAnsi="inherit"/>
          <w:strike w:val="false"/>
          <w:dstrike w:val="false"/>
          <w:color w:val="000000"/>
          <w:sz w:val="17"/>
          <w:u w:val="none"/>
          <w:effect w:val="none"/>
        </w:rPr>
        <w:t>June 30, 2019</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322"/>
        <w:gridCol w:w="90"/>
        <w:gridCol w:w="740"/>
        <w:gridCol w:w="110"/>
        <w:gridCol w:w="90"/>
        <w:gridCol w:w="181"/>
        <w:gridCol w:w="705"/>
        <w:gridCol w:w="51"/>
        <w:gridCol w:w="90"/>
        <w:gridCol w:w="1343"/>
        <w:gridCol w:w="90"/>
        <w:gridCol w:w="300"/>
        <w:gridCol w:w="710"/>
        <w:gridCol w:w="83"/>
        <w:gridCol w:w="90"/>
        <w:gridCol w:w="515"/>
        <w:gridCol w:w="30"/>
        <w:gridCol w:w="90"/>
        <w:gridCol w:w="216"/>
        <w:gridCol w:w="661"/>
        <w:gridCol w:w="60"/>
        <w:gridCol w:w="90"/>
        <w:gridCol w:w="1343"/>
        <w:gridCol w:w="90"/>
        <w:gridCol w:w="293"/>
        <w:gridCol w:w="693"/>
        <w:gridCol w:w="129"/>
      </w:tblGrid>
      <w:tr>
        <w:trPr/>
        <w:tc>
          <w:tcPr>
            <w:tcW w:w="10205" w:type="dxa"/>
            <w:gridSpan w:val="27"/>
            <w:tcBorders/>
            <w:shd w:fill="auto" w:val="clear"/>
            <w:vAlign w:val="center"/>
          </w:tcPr>
          <w:p>
            <w:pPr>
              <w:pStyle w:val="TableContents"/>
              <w:spacing w:before="0" w:after="283"/>
              <w:rPr>
                <w:sz w:val="4"/>
                <w:szCs w:val="4"/>
              </w:rPr>
            </w:pPr>
            <w:r>
              <w:rPr>
                <w:sz w:val="4"/>
                <w:szCs w:val="4"/>
              </w:rPr>
            </w:r>
          </w:p>
        </w:tc>
      </w:tr>
      <w:tr>
        <w:trPr/>
        <w:tc>
          <w:tcPr>
            <w:tcW w:w="13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2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493"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Stock Options</w:t>
            </w:r>
          </w:p>
        </w:tc>
        <w:tc>
          <w:tcPr>
            <w:tcW w:w="90" w:type="dxa"/>
            <w:tcBorders/>
            <w:shd w:fill="auto" w:val="clear"/>
            <w:vAlign w:val="center"/>
          </w:tcPr>
          <w:p>
            <w:pPr>
              <w:pStyle w:val="TableContents"/>
              <w:spacing w:before="0" w:after="0"/>
              <w:ind w:left="0" w:right="0" w:firstLine="30"/>
              <w:rPr/>
            </w:pPr>
            <w:r>
              <w:rPr/>
              <w:t> </w:t>
            </w:r>
          </w:p>
        </w:tc>
        <w:tc>
          <w:tcPr>
            <w:tcW w:w="4210"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Warrants</w:t>
            </w:r>
          </w:p>
        </w:tc>
      </w:tr>
      <w:tr>
        <w:trPr/>
        <w:tc>
          <w:tcPr>
            <w:tcW w:w="132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Shares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Weighted Average Exercise Price</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4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Weighted Average Remaining Contractual Term (Years)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09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Aggregate Intrinsic Value (In Thousands)</w:t>
            </w:r>
          </w:p>
        </w:tc>
        <w:tc>
          <w:tcPr>
            <w:tcW w:w="90" w:type="dxa"/>
            <w:tcBorders/>
            <w:shd w:fill="auto" w:val="clear"/>
            <w:vAlign w:val="center"/>
          </w:tcPr>
          <w:p>
            <w:pPr>
              <w:pStyle w:val="TableContents"/>
              <w:spacing w:before="0" w:after="0"/>
              <w:ind w:left="0" w:right="0" w:firstLine="30"/>
              <w:rPr/>
            </w:pPr>
            <w:r>
              <w:rPr/>
              <w:t> </w:t>
            </w:r>
          </w:p>
        </w:tc>
        <w:tc>
          <w:tcPr>
            <w:tcW w:w="54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Shares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3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Weighted Average Exercise Price</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4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Weighted Average Remaining Contractual Term (Years)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1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2"/>
              </w:rPr>
            </w:pPr>
            <w:r>
              <w:rPr>
                <w:rFonts w:ascii="inherit" w:hAnsi="inherit"/>
                <w:sz w:val="12"/>
              </w:rPr>
              <w:t>Aggregate Intrinsic Value (In Thousands)</w:t>
            </w:r>
          </w:p>
        </w:tc>
      </w:tr>
      <w:tr>
        <w:trPr/>
        <w:tc>
          <w:tcPr>
            <w:tcW w:w="132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Outstanding at December 31, 2018</w:t>
            </w:r>
          </w:p>
        </w:tc>
        <w:tc>
          <w:tcPr>
            <w:tcW w:w="90" w:type="dxa"/>
            <w:tcBorders/>
            <w:shd w:fill="CCEEFF" w:val="clear"/>
            <w:vAlign w:val="center"/>
          </w:tcPr>
          <w:p>
            <w:pPr>
              <w:pStyle w:val="TableContents"/>
              <w:spacing w:before="0" w:after="0"/>
              <w:ind w:left="0" w:right="0" w:firstLine="30"/>
              <w:rPr/>
            </w:pPr>
            <w:r>
              <w:rPr/>
              <w:t> </w:t>
            </w:r>
          </w:p>
        </w:tc>
        <w:tc>
          <w:tcPr>
            <w:tcW w:w="74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1,018,530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0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30.54</w:t>
            </w:r>
          </w:p>
        </w:tc>
        <w:tc>
          <w:tcPr>
            <w:tcW w:w="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43" w:type="dxa"/>
            <w:tcBorders>
              <w:top w:val="single" w:sz="2" w:space="0" w:color="000000"/>
            </w:tcBorders>
            <w:shd w:fill="CCEEFF" w:val="clear"/>
            <w:tcMar>
              <w:top w:w="30" w:type="dxa"/>
            </w:tcMar>
            <w:vAlign w:val="center"/>
          </w:tcPr>
          <w:p>
            <w:pPr>
              <w:pStyle w:val="TableContents"/>
              <w:spacing w:before="0" w:after="0"/>
              <w:ind w:left="0" w:right="0" w:firstLine="30"/>
              <w:jc w:val="right"/>
              <w:rPr>
                <w:rFonts w:ascii="inherit" w:hAnsi="inherit"/>
                <w:sz w:val="13"/>
              </w:rPr>
            </w:pPr>
            <w:r>
              <w:rPr>
                <w:rFonts w:ascii="inherit" w:hAnsi="inherit"/>
                <w:sz w:val="13"/>
              </w:rPr>
              <w:t>5.30</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30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1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3.3</w:t>
            </w:r>
          </w:p>
        </w:tc>
        <w:tc>
          <w:tcPr>
            <w:tcW w:w="8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30,000</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6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5.89</w:t>
            </w:r>
          </w:p>
        </w:tc>
        <w:tc>
          <w:tcPr>
            <w:tcW w:w="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43" w:type="dxa"/>
            <w:tcBorders>
              <w:top w:val="single" w:sz="2" w:space="0" w:color="000000"/>
            </w:tcBorders>
            <w:shd w:fill="CCEEFF" w:val="clear"/>
            <w:tcMar>
              <w:top w:w="30" w:type="dxa"/>
            </w:tcMar>
            <w:vAlign w:val="center"/>
          </w:tcPr>
          <w:p>
            <w:pPr>
              <w:pStyle w:val="TableContents"/>
              <w:spacing w:before="0" w:after="0"/>
              <w:ind w:left="0" w:right="0" w:firstLine="30"/>
              <w:jc w:val="right"/>
              <w:rPr>
                <w:rFonts w:ascii="inherit" w:hAnsi="inherit"/>
                <w:sz w:val="13"/>
              </w:rPr>
            </w:pPr>
            <w:r>
              <w:rPr>
                <w:rFonts w:ascii="inherit" w:hAnsi="inherit"/>
                <w:sz w:val="13"/>
              </w:rPr>
              <w:t>4.19</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9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93"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2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2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4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4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30"/>
              <w:rPr/>
            </w:pPr>
            <w:r>
              <w:rPr/>
              <w:t> </w:t>
            </w:r>
          </w:p>
        </w:tc>
      </w:tr>
      <w:tr>
        <w:trPr/>
        <w:tc>
          <w:tcPr>
            <w:tcW w:w="132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Changes during the period:</w:t>
            </w:r>
          </w:p>
        </w:tc>
        <w:tc>
          <w:tcPr>
            <w:tcW w:w="90" w:type="dxa"/>
            <w:tcBorders/>
            <w:shd w:fill="CCEEFF" w:val="clear"/>
            <w:vAlign w:val="center"/>
          </w:tcPr>
          <w:p>
            <w:pPr>
              <w:pStyle w:val="TableContents"/>
              <w:spacing w:before="0" w:after="0"/>
              <w:ind w:left="0" w:right="0" w:firstLine="30"/>
              <w:rPr/>
            </w:pPr>
            <w:r>
              <w:rPr/>
              <w:t> </w:t>
            </w:r>
          </w:p>
        </w:tc>
        <w:tc>
          <w:tcPr>
            <w:tcW w:w="85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43"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9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4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43"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180"/>
              <w:rPr/>
            </w:pPr>
            <w:r>
              <w:rPr/>
              <w:t> </w:t>
            </w:r>
          </w:p>
        </w:tc>
      </w:tr>
      <w:tr>
        <w:trPr/>
        <w:tc>
          <w:tcPr>
            <w:tcW w:w="13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Granted</w:t>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rFonts w:ascii="inherit" w:hAnsi="inherit"/>
                <w:sz w:val="13"/>
              </w:rPr>
            </w:pPr>
            <w:r>
              <w:rPr>
                <w:rFonts w:ascii="inherit" w:hAnsi="inherit"/>
                <w:sz w:val="13"/>
              </w:rPr>
              <w:t>209,346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4.86</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180"/>
              <w:rPr/>
            </w:pPr>
            <w:r>
              <w:rPr/>
              <w:t> </w:t>
            </w:r>
          </w:p>
        </w:tc>
      </w:tr>
      <w:tr>
        <w:trPr/>
        <w:tc>
          <w:tcPr>
            <w:tcW w:w="132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Exercised</w:t>
            </w:r>
          </w:p>
        </w:tc>
        <w:tc>
          <w:tcPr>
            <w:tcW w:w="90" w:type="dxa"/>
            <w:tcBorders/>
            <w:shd w:fill="CCEEFF" w:val="clear"/>
            <w:vAlign w:val="center"/>
          </w:tcPr>
          <w:p>
            <w:pPr>
              <w:pStyle w:val="TableContents"/>
              <w:spacing w:before="0" w:after="0"/>
              <w:ind w:left="0" w:right="0" w:firstLine="30"/>
              <w:rPr/>
            </w:pPr>
            <w:r>
              <w:rPr/>
              <w:t> </w:t>
            </w:r>
          </w:p>
        </w:tc>
        <w:tc>
          <w:tcPr>
            <w:tcW w:w="740" w:type="dxa"/>
            <w:tcBorders/>
            <w:shd w:fill="CCEEFF" w:val="clear"/>
            <w:vAlign w:val="center"/>
          </w:tcPr>
          <w:p>
            <w:pPr>
              <w:pStyle w:val="TableContents"/>
              <w:spacing w:before="0" w:after="0"/>
              <w:jc w:val="right"/>
              <w:rPr>
                <w:rFonts w:ascii="inherit" w:hAnsi="inherit"/>
                <w:sz w:val="13"/>
              </w:rPr>
            </w:pPr>
            <w:r>
              <w:rPr>
                <w:rFonts w:ascii="inherit" w:hAnsi="inherit"/>
                <w:sz w:val="13"/>
              </w:rPr>
              <w:t>(240</w:t>
            </w:r>
          </w:p>
        </w:tc>
        <w:tc>
          <w:tcPr>
            <w:tcW w:w="1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886"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3.54</w:t>
            </w:r>
          </w:p>
        </w:tc>
        <w:tc>
          <w:tcPr>
            <w:tcW w:w="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3"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9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15" w:type="dxa"/>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7" w:type="dxa"/>
            <w:gridSpan w:val="2"/>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3"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180"/>
              <w:rPr/>
            </w:pPr>
            <w:r>
              <w:rPr/>
              <w:t> </w:t>
            </w:r>
          </w:p>
        </w:tc>
      </w:tr>
      <w:tr>
        <w:trPr/>
        <w:tc>
          <w:tcPr>
            <w:tcW w:w="13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Forfeited</w:t>
            </w:r>
          </w:p>
        </w:tc>
        <w:tc>
          <w:tcPr>
            <w:tcW w:w="90" w:type="dxa"/>
            <w:tcBorders/>
            <w:shd w:fill="auto" w:val="clear"/>
            <w:vAlign w:val="center"/>
          </w:tcPr>
          <w:p>
            <w:pPr>
              <w:pStyle w:val="TableContents"/>
              <w:spacing w:before="0" w:after="0"/>
              <w:ind w:left="0" w:right="0" w:firstLine="30"/>
              <w:rPr/>
            </w:pPr>
            <w:r>
              <w:rPr/>
              <w:t> </w:t>
            </w:r>
          </w:p>
        </w:tc>
        <w:tc>
          <w:tcPr>
            <w:tcW w:w="740" w:type="dxa"/>
            <w:tcBorders/>
            <w:shd w:fill="auto" w:val="clear"/>
            <w:vAlign w:val="center"/>
          </w:tcPr>
          <w:p>
            <w:pPr>
              <w:pStyle w:val="TableContents"/>
              <w:spacing w:before="0" w:after="0"/>
              <w:jc w:val="right"/>
              <w:rPr>
                <w:rFonts w:ascii="inherit" w:hAnsi="inherit"/>
                <w:sz w:val="13"/>
              </w:rPr>
            </w:pPr>
            <w:r>
              <w:rPr>
                <w:rFonts w:ascii="inherit" w:hAnsi="inherit"/>
                <w:sz w:val="13"/>
              </w:rPr>
              <w:t>(2,610</w:t>
            </w:r>
          </w:p>
        </w:tc>
        <w:tc>
          <w:tcPr>
            <w:tcW w:w="11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88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4.63</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15"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7" w:type="dxa"/>
            <w:gridSpan w:val="2"/>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180"/>
              <w:rPr/>
            </w:pPr>
            <w:r>
              <w:rPr/>
              <w:t> </w:t>
            </w:r>
          </w:p>
        </w:tc>
      </w:tr>
      <w:tr>
        <w:trPr/>
        <w:tc>
          <w:tcPr>
            <w:tcW w:w="132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Expired</w:t>
            </w:r>
          </w:p>
        </w:tc>
        <w:tc>
          <w:tcPr>
            <w:tcW w:w="90" w:type="dxa"/>
            <w:tcBorders/>
            <w:shd w:fill="CCEEFF" w:val="clear"/>
            <w:vAlign w:val="center"/>
          </w:tcPr>
          <w:p>
            <w:pPr>
              <w:pStyle w:val="TableContents"/>
              <w:spacing w:before="0" w:after="0"/>
              <w:ind w:left="0" w:right="0" w:firstLine="30"/>
              <w:rPr/>
            </w:pPr>
            <w:r>
              <w:rPr/>
              <w:t> </w:t>
            </w:r>
          </w:p>
        </w:tc>
        <w:tc>
          <w:tcPr>
            <w:tcW w:w="74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(124,004</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CCEEFF" w:val="clear"/>
            <w:vAlign w:val="center"/>
          </w:tcPr>
          <w:p>
            <w:pPr>
              <w:pStyle w:val="TableContents"/>
              <w:spacing w:before="0" w:after="0"/>
              <w:ind w:left="0" w:right="0" w:firstLine="30"/>
              <w:rPr/>
            </w:pPr>
            <w:r>
              <w:rPr/>
              <w:t> </w:t>
            </w:r>
          </w:p>
        </w:tc>
        <w:tc>
          <w:tcPr>
            <w:tcW w:w="88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53.68</w:t>
            </w:r>
          </w:p>
        </w:tc>
        <w:tc>
          <w:tcPr>
            <w:tcW w:w="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3"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93" w:type="dxa"/>
            <w:gridSpan w:val="3"/>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1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6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3"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15" w:type="dxa"/>
            <w:gridSpan w:val="3"/>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r>
      <w:tr>
        <w:trPr/>
        <w:tc>
          <w:tcPr>
            <w:tcW w:w="13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Outstanding at June 30, 2019</w:t>
            </w:r>
          </w:p>
        </w:tc>
        <w:tc>
          <w:tcPr>
            <w:tcW w:w="90" w:type="dxa"/>
            <w:tcBorders/>
            <w:shd w:fill="auto" w:val="clear"/>
            <w:vAlign w:val="center"/>
          </w:tcPr>
          <w:p>
            <w:pPr>
              <w:pStyle w:val="TableContents"/>
              <w:spacing w:before="0" w:after="0"/>
              <w:ind w:left="0" w:right="0" w:firstLine="30"/>
              <w:rPr/>
            </w:pPr>
            <w:r>
              <w:rPr/>
              <w:t> </w:t>
            </w:r>
          </w:p>
        </w:tc>
        <w:tc>
          <w:tcPr>
            <w:tcW w:w="7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1,101,022</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23.12</w:t>
            </w:r>
          </w:p>
        </w:tc>
        <w:tc>
          <w:tcPr>
            <w:tcW w:w="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6.25</w:t>
            </w:r>
          </w:p>
        </w:tc>
        <w:tc>
          <w:tcPr>
            <w:tcW w:w="90" w:type="dxa"/>
            <w:tcBorders/>
            <w:shd w:fill="auto" w:val="clear"/>
            <w:vAlign w:val="center"/>
          </w:tcPr>
          <w:p>
            <w:pPr>
              <w:pStyle w:val="TableContents"/>
              <w:spacing w:before="0" w:after="0"/>
              <w:ind w:left="0" w:right="0" w:firstLine="30"/>
              <w:rPr/>
            </w:pPr>
            <w:r>
              <w:rPr/>
              <w:t> </w:t>
            </w:r>
          </w:p>
        </w:tc>
        <w:tc>
          <w:tcPr>
            <w:tcW w:w="30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1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8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30,000</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5.89</w:t>
            </w:r>
          </w:p>
        </w:tc>
        <w:tc>
          <w:tcPr>
            <w:tcW w:w="6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3.70</w:t>
            </w:r>
          </w:p>
        </w:tc>
        <w:tc>
          <w:tcPr>
            <w:tcW w:w="90" w:type="dxa"/>
            <w:tcBorders/>
            <w:shd w:fill="auto" w:val="clear"/>
            <w:vAlign w:val="center"/>
          </w:tcPr>
          <w:p>
            <w:pPr>
              <w:pStyle w:val="TableContents"/>
              <w:spacing w:before="0" w:after="0"/>
              <w:ind w:left="0" w:right="0" w:firstLine="30"/>
              <w:rPr/>
            </w:pPr>
            <w:r>
              <w:rPr/>
              <w:t> </w:t>
            </w:r>
          </w:p>
        </w:tc>
        <w:tc>
          <w:tcPr>
            <w:tcW w:w="29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93"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2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2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Vested at June 30, 2019</w:t>
              <w:br/>
              <w:t>or expected to vest in the future</w:t>
            </w:r>
          </w:p>
        </w:tc>
        <w:tc>
          <w:tcPr>
            <w:tcW w:w="90" w:type="dxa"/>
            <w:tcBorders/>
            <w:shd w:fill="CCEEFF" w:val="clear"/>
            <w:vAlign w:val="center"/>
          </w:tcPr>
          <w:p>
            <w:pPr>
              <w:pStyle w:val="TableContents"/>
              <w:spacing w:before="0" w:after="0"/>
              <w:ind w:left="0" w:right="0" w:firstLine="30"/>
              <w:rPr/>
            </w:pPr>
            <w:r>
              <w:rPr/>
              <w:t> </w:t>
            </w:r>
          </w:p>
        </w:tc>
        <w:tc>
          <w:tcPr>
            <w:tcW w:w="7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1,076,348</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23.55</w:t>
            </w:r>
          </w:p>
        </w:tc>
        <w:tc>
          <w:tcPr>
            <w:tcW w:w="5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3" w:type="dxa"/>
            <w:tcBorders>
              <w:bottom w:val="double" w:sz="6" w:space="0" w:color="000000"/>
            </w:tcBorders>
            <w:shd w:fill="CCEEFF"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6.18</w:t>
            </w:r>
          </w:p>
        </w:tc>
        <w:tc>
          <w:tcPr>
            <w:tcW w:w="90" w:type="dxa"/>
            <w:tcBorders/>
            <w:shd w:fill="CCEEFF" w:val="clear"/>
            <w:vAlign w:val="center"/>
          </w:tcPr>
          <w:p>
            <w:pPr>
              <w:pStyle w:val="TableContents"/>
              <w:spacing w:before="0" w:after="0"/>
              <w:ind w:left="0" w:right="0" w:firstLine="30"/>
              <w:rPr/>
            </w:pPr>
            <w:r>
              <w:rPr/>
              <w:t> </w:t>
            </w:r>
          </w:p>
        </w:tc>
        <w:tc>
          <w:tcPr>
            <w:tcW w:w="30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10"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30,000</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5.89</w:t>
            </w:r>
          </w:p>
        </w:tc>
        <w:tc>
          <w:tcPr>
            <w:tcW w:w="6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3" w:type="dxa"/>
            <w:tcBorders>
              <w:bottom w:val="double" w:sz="6" w:space="0" w:color="000000"/>
            </w:tcBorders>
            <w:shd w:fill="CCEEFF"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3.70</w:t>
            </w:r>
          </w:p>
        </w:tc>
        <w:tc>
          <w:tcPr>
            <w:tcW w:w="90" w:type="dxa"/>
            <w:tcBorders/>
            <w:shd w:fill="CCEEFF" w:val="clear"/>
            <w:vAlign w:val="center"/>
          </w:tcPr>
          <w:p>
            <w:pPr>
              <w:pStyle w:val="TableContents"/>
              <w:spacing w:before="0" w:after="0"/>
              <w:ind w:left="0" w:right="0" w:firstLine="30"/>
              <w:rPr/>
            </w:pPr>
            <w:r>
              <w:rPr/>
              <w:t> </w:t>
            </w:r>
          </w:p>
        </w:tc>
        <w:tc>
          <w:tcPr>
            <w:tcW w:w="29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93"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2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Vested at June 30, 2019</w:t>
            </w:r>
          </w:p>
        </w:tc>
        <w:tc>
          <w:tcPr>
            <w:tcW w:w="90" w:type="dxa"/>
            <w:tcBorders/>
            <w:shd w:fill="auto" w:val="clear"/>
            <w:vAlign w:val="center"/>
          </w:tcPr>
          <w:p>
            <w:pPr>
              <w:pStyle w:val="TableContents"/>
              <w:spacing w:before="0" w:after="0"/>
              <w:ind w:left="0" w:right="0" w:firstLine="30"/>
              <w:rPr/>
            </w:pPr>
            <w:r>
              <w:rPr/>
              <w:t> </w:t>
            </w:r>
          </w:p>
        </w:tc>
        <w:tc>
          <w:tcPr>
            <w:tcW w:w="7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856,547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28.40</w:t>
            </w:r>
          </w:p>
        </w:tc>
        <w:tc>
          <w:tcPr>
            <w:tcW w:w="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5.39</w:t>
            </w:r>
          </w:p>
        </w:tc>
        <w:tc>
          <w:tcPr>
            <w:tcW w:w="90" w:type="dxa"/>
            <w:tcBorders/>
            <w:shd w:fill="auto" w:val="clear"/>
            <w:vAlign w:val="center"/>
          </w:tcPr>
          <w:p>
            <w:pPr>
              <w:pStyle w:val="TableContents"/>
              <w:spacing w:before="0" w:after="0"/>
              <w:ind w:left="0" w:right="0" w:firstLine="30"/>
              <w:rPr/>
            </w:pPr>
            <w:r>
              <w:rPr/>
              <w:t> </w:t>
            </w:r>
          </w:p>
        </w:tc>
        <w:tc>
          <w:tcPr>
            <w:tcW w:w="30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1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8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30,000</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5.89</w:t>
            </w:r>
          </w:p>
        </w:tc>
        <w:tc>
          <w:tcPr>
            <w:tcW w:w="6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3" w:type="dxa"/>
            <w:tcBorders>
              <w:bottom w:val="double" w:sz="6" w:space="0" w:color="000000"/>
            </w:tcBorders>
            <w:shd w:fill="auto" w:val="clear"/>
            <w:tcMar>
              <w:bottom w:w="30" w:type="dxa"/>
            </w:tcMar>
            <w:vAlign w:val="center"/>
          </w:tcPr>
          <w:p>
            <w:pPr>
              <w:pStyle w:val="TableContents"/>
              <w:spacing w:before="0" w:after="0"/>
              <w:ind w:left="0" w:right="0" w:firstLine="30"/>
              <w:jc w:val="right"/>
              <w:rPr>
                <w:rFonts w:ascii="inherit" w:hAnsi="inherit"/>
                <w:sz w:val="13"/>
              </w:rPr>
            </w:pPr>
            <w:r>
              <w:rPr>
                <w:rFonts w:ascii="inherit" w:hAnsi="inherit"/>
                <w:sz w:val="13"/>
              </w:rPr>
              <w:t>3.70</w:t>
            </w:r>
          </w:p>
        </w:tc>
        <w:tc>
          <w:tcPr>
            <w:tcW w:w="90" w:type="dxa"/>
            <w:tcBorders/>
            <w:shd w:fill="auto" w:val="clear"/>
            <w:vAlign w:val="center"/>
          </w:tcPr>
          <w:p>
            <w:pPr>
              <w:pStyle w:val="TableContents"/>
              <w:spacing w:before="0" w:after="0"/>
              <w:ind w:left="0" w:right="0" w:firstLine="30"/>
              <w:rPr/>
            </w:pPr>
            <w:r>
              <w:rPr/>
              <w:t> </w:t>
            </w:r>
          </w:p>
        </w:tc>
        <w:tc>
          <w:tcPr>
            <w:tcW w:w="29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93"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2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60"/>
        <w:jc w:val="both"/>
        <w:rPr>
          <w:rFonts w:ascii="inherit" w:hAnsi="inherit"/>
          <w:b/>
          <w:i/>
          <w:sz w:val="17"/>
        </w:rPr>
      </w:pPr>
      <w:r>
        <w:rPr>
          <w:rFonts w:ascii="inherit" w:hAnsi="inherit"/>
          <w:b/>
          <w:i/>
          <w:sz w:val="17"/>
        </w:rPr>
        <w:t>Restricted Stock</w:t>
      </w:r>
    </w:p>
    <w:p>
      <w:pPr>
        <w:pStyle w:val="TextBody"/>
        <w:spacing w:lineRule="auto" w:line="288" w:before="0" w:after="0"/>
        <w:ind w:left="0" w:right="0" w:firstLine="6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During the six months ended</w:t>
      </w:r>
      <w:r>
        <w:rPr>
          <w:sz w:val="17"/>
        </w:rPr>
        <w:t xml:space="preserve">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2018</w:t>
      </w:r>
      <w:r>
        <w:rPr>
          <w:rFonts w:ascii="inherit" w:hAnsi="inherit"/>
          <w:sz w:val="17"/>
        </w:rPr>
        <w:t>, the Company issued restricted stock for services as follows ($ in thousands):</w:t>
      </w:r>
    </w:p>
    <w:p>
      <w:pPr>
        <w:pStyle w:val="TextBody"/>
        <w:spacing w:lineRule="auto" w:line="288" w:before="0" w:after="0"/>
        <w:rPr>
          <w:rFonts w:ascii="inherit" w:hAnsi="inherit"/>
          <w:sz w:val="17"/>
        </w:rPr>
      </w:pPr>
      <w:r>
        <w:rPr>
          <w:rFonts w:ascii="inherit" w:hAnsi="inherit"/>
          <w:sz w:val="17"/>
        </w:rPr>
      </w:r>
    </w:p>
    <w:tbl>
      <w:tblPr>
        <w:tblW w:w="4912" w:type="dxa"/>
        <w:jc w:val="center"/>
        <w:tblInd w:w="0" w:type="dxa"/>
        <w:tblCellMar>
          <w:top w:w="0" w:type="dxa"/>
          <w:left w:w="0" w:type="dxa"/>
          <w:bottom w:w="0" w:type="dxa"/>
          <w:right w:w="0" w:type="dxa"/>
        </w:tblCellMar>
      </w:tblPr>
      <w:tblGrid>
        <w:gridCol w:w="2540"/>
        <w:gridCol w:w="90"/>
        <w:gridCol w:w="260"/>
        <w:gridCol w:w="686"/>
        <w:gridCol w:w="71"/>
        <w:gridCol w:w="213"/>
        <w:gridCol w:w="260"/>
        <w:gridCol w:w="686"/>
        <w:gridCol w:w="106"/>
      </w:tblGrid>
      <w:tr>
        <w:trPr/>
        <w:tc>
          <w:tcPr>
            <w:tcW w:w="4912" w:type="dxa"/>
            <w:gridSpan w:val="9"/>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4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28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w:t>
            </w:r>
          </w:p>
        </w:tc>
      </w:tr>
      <w:tr>
        <w:trPr/>
        <w:tc>
          <w:tcPr>
            <w:tcW w:w="254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01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213" w:type="dxa"/>
            <w:tcBorders/>
            <w:shd w:fill="auto" w:val="clear"/>
            <w:vAlign w:val="center"/>
          </w:tcPr>
          <w:p>
            <w:pPr>
              <w:pStyle w:val="TableContents"/>
              <w:spacing w:before="0" w:after="0"/>
              <w:ind w:left="0" w:right="0" w:firstLine="30"/>
              <w:rPr/>
            </w:pPr>
            <w:r>
              <w:rPr/>
              <w:t> </w:t>
            </w:r>
          </w:p>
        </w:tc>
        <w:tc>
          <w:tcPr>
            <w:tcW w:w="105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r>
      <w:tr>
        <w:trPr/>
        <w:tc>
          <w:tcPr>
            <w:tcW w:w="254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Number of restricted stock issued</w:t>
            </w:r>
          </w:p>
        </w:tc>
        <w:tc>
          <w:tcPr>
            <w:tcW w:w="90" w:type="dxa"/>
            <w:tcBorders/>
            <w:shd w:fill="CCEEFF" w:val="clear"/>
            <w:vAlign w:val="center"/>
          </w:tcPr>
          <w:p>
            <w:pPr>
              <w:pStyle w:val="TableContents"/>
              <w:spacing w:before="0" w:after="0"/>
              <w:ind w:left="0" w:right="0" w:firstLine="30"/>
              <w:rPr/>
            </w:pPr>
            <w:r>
              <w:rPr/>
              <w:t> </w:t>
            </w:r>
          </w:p>
        </w:tc>
        <w:tc>
          <w:tcPr>
            <w:tcW w:w="946"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123,564</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3" w:type="dxa"/>
            <w:tcBorders/>
            <w:shd w:fill="CCEEFF" w:val="clear"/>
            <w:vAlign w:val="center"/>
          </w:tcPr>
          <w:p>
            <w:pPr>
              <w:pStyle w:val="TableContents"/>
              <w:spacing w:before="0" w:after="0"/>
              <w:ind w:left="0" w:right="0" w:firstLine="30"/>
              <w:rPr/>
            </w:pPr>
            <w:r>
              <w:rPr/>
              <w:t> </w:t>
            </w:r>
          </w:p>
        </w:tc>
        <w:tc>
          <w:tcPr>
            <w:tcW w:w="946"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127,688</w:t>
            </w:r>
          </w:p>
        </w:tc>
        <w:tc>
          <w:tcPr>
            <w:tcW w:w="1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4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Value of restricted stock issued</w:t>
            </w:r>
          </w:p>
        </w:tc>
        <w:tc>
          <w:tcPr>
            <w:tcW w:w="90"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612</w:t>
            </w:r>
          </w:p>
        </w:tc>
        <w:tc>
          <w:tcPr>
            <w:tcW w:w="7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3"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351</w:t>
            </w:r>
          </w:p>
        </w:tc>
        <w:tc>
          <w:tcPr>
            <w:tcW w:w="10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60"/>
        <w:jc w:val="both"/>
        <w:rPr>
          <w:rFonts w:ascii="inherit" w:hAnsi="inherit"/>
          <w:b/>
          <w:i/>
          <w:sz w:val="17"/>
        </w:rPr>
      </w:pPr>
      <w:r>
        <w:rPr>
          <w:rFonts w:ascii="inherit" w:hAnsi="inherit"/>
          <w:b/>
          <w:i/>
          <w:sz w:val="17"/>
        </w:rPr>
        <w:t>Restricted Stock Units</w:t>
      </w:r>
    </w:p>
    <w:p>
      <w:pPr>
        <w:pStyle w:val="TextBody"/>
        <w:spacing w:lineRule="auto" w:line="288" w:before="0" w:after="0"/>
        <w:ind w:left="0" w:right="0" w:firstLine="360"/>
        <w:jc w:val="both"/>
        <w:rPr>
          <w:sz w:val="17"/>
        </w:rPr>
      </w:pPr>
      <w:r>
        <w:rPr>
          <w:rFonts w:ascii="inherit" w:hAnsi="inherit"/>
          <w:sz w:val="17"/>
        </w:rPr>
        <w:t>During the six months ended</w:t>
      </w:r>
      <w:r>
        <w:rPr>
          <w:sz w:val="17"/>
        </w:rPr>
        <w:t xml:space="preserve"> </w:t>
      </w:r>
      <w:r>
        <w:rPr>
          <w:rFonts w:ascii="inherit" w:hAnsi="inherit"/>
          <w:sz w:val="17"/>
        </w:rPr>
        <w:t>June 30, 2019</w:t>
      </w:r>
      <w:r>
        <w:rPr>
          <w:sz w:val="17"/>
        </w:rPr>
        <w:t xml:space="preserve"> </w:t>
      </w:r>
      <w:r>
        <w:rPr>
          <w:rFonts w:ascii="inherit" w:hAnsi="inherit"/>
          <w:sz w:val="17"/>
        </w:rPr>
        <w:t>and 2018, the Company issued restricted stock units for services as follows ($ in thousands, except share data):</w:t>
      </w:r>
    </w:p>
    <w:tbl>
      <w:tblPr>
        <w:tblW w:w="5227" w:type="dxa"/>
        <w:jc w:val="center"/>
        <w:tblInd w:w="0" w:type="dxa"/>
        <w:tblCellMar>
          <w:top w:w="0" w:type="dxa"/>
          <w:left w:w="0" w:type="dxa"/>
          <w:bottom w:w="0" w:type="dxa"/>
          <w:right w:w="0" w:type="dxa"/>
        </w:tblCellMar>
      </w:tblPr>
      <w:tblGrid>
        <w:gridCol w:w="2945"/>
        <w:gridCol w:w="260"/>
        <w:gridCol w:w="686"/>
        <w:gridCol w:w="71"/>
        <w:gridCol w:w="213"/>
        <w:gridCol w:w="260"/>
        <w:gridCol w:w="686"/>
        <w:gridCol w:w="106"/>
      </w:tblGrid>
      <w:tr>
        <w:trPr/>
        <w:tc>
          <w:tcPr>
            <w:tcW w:w="5227" w:type="dxa"/>
            <w:gridSpan w:val="8"/>
            <w:tcBorders/>
            <w:shd w:fill="auto" w:val="clear"/>
            <w:vAlign w:val="center"/>
          </w:tcPr>
          <w:p>
            <w:pPr>
              <w:pStyle w:val="TableContents"/>
              <w:spacing w:before="0" w:after="283"/>
              <w:rPr>
                <w:sz w:val="4"/>
                <w:szCs w:val="4"/>
              </w:rPr>
            </w:pPr>
            <w:r>
              <w:rPr>
                <w:sz w:val="4"/>
                <w:szCs w:val="4"/>
              </w:rPr>
            </w:r>
          </w:p>
        </w:tc>
      </w:tr>
      <w:tr>
        <w:trPr/>
        <w:tc>
          <w:tcPr>
            <w:tcW w:w="294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45" w:type="dxa"/>
            <w:tcBorders/>
            <w:shd w:fill="auto" w:val="clear"/>
            <w:vAlign w:val="center"/>
          </w:tcPr>
          <w:p>
            <w:pPr>
              <w:pStyle w:val="TableContents"/>
              <w:spacing w:before="0" w:after="0"/>
              <w:ind w:left="0" w:right="0" w:firstLine="30"/>
              <w:rPr/>
            </w:pPr>
            <w:r>
              <w:rPr/>
              <w:t> </w:t>
            </w:r>
          </w:p>
        </w:tc>
        <w:tc>
          <w:tcPr>
            <w:tcW w:w="228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w:t>
            </w:r>
          </w:p>
        </w:tc>
      </w:tr>
      <w:tr>
        <w:trPr/>
        <w:tc>
          <w:tcPr>
            <w:tcW w:w="2945" w:type="dxa"/>
            <w:tcBorders/>
            <w:shd w:fill="auto" w:val="clear"/>
            <w:vAlign w:val="center"/>
          </w:tcPr>
          <w:p>
            <w:pPr>
              <w:pStyle w:val="TableContents"/>
              <w:spacing w:before="0" w:after="0"/>
              <w:ind w:left="0" w:right="0" w:firstLine="30"/>
              <w:rPr/>
            </w:pPr>
            <w:r>
              <w:rPr/>
              <w:t> </w:t>
            </w:r>
          </w:p>
        </w:tc>
        <w:tc>
          <w:tcPr>
            <w:tcW w:w="101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2019</w:t>
            </w:r>
          </w:p>
        </w:tc>
        <w:tc>
          <w:tcPr>
            <w:tcW w:w="213" w:type="dxa"/>
            <w:tcBorders/>
            <w:shd w:fill="auto" w:val="clear"/>
            <w:vAlign w:val="center"/>
          </w:tcPr>
          <w:p>
            <w:pPr>
              <w:pStyle w:val="TableContents"/>
              <w:spacing w:before="0" w:after="0"/>
              <w:ind w:left="0" w:right="0" w:firstLine="30"/>
              <w:rPr/>
            </w:pPr>
            <w:r>
              <w:rPr/>
              <w:t> </w:t>
            </w:r>
          </w:p>
        </w:tc>
        <w:tc>
          <w:tcPr>
            <w:tcW w:w="105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2018</w:t>
            </w:r>
          </w:p>
        </w:tc>
      </w:tr>
      <w:tr>
        <w:trPr/>
        <w:tc>
          <w:tcPr>
            <w:tcW w:w="294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Number of restricted stock units issued</w:t>
            </w:r>
          </w:p>
        </w:tc>
        <w:tc>
          <w:tcPr>
            <w:tcW w:w="946"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184,454</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3" w:type="dxa"/>
            <w:tcBorders/>
            <w:shd w:fill="CCEEFF" w:val="clear"/>
            <w:vAlign w:val="center"/>
          </w:tcPr>
          <w:p>
            <w:pPr>
              <w:pStyle w:val="TableContents"/>
              <w:spacing w:before="0" w:after="0"/>
              <w:ind w:left="0" w:right="0" w:firstLine="30"/>
              <w:rPr/>
            </w:pPr>
            <w:r>
              <w:rPr/>
              <w:t> </w:t>
            </w:r>
          </w:p>
        </w:tc>
        <w:tc>
          <w:tcPr>
            <w:tcW w:w="946"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34,988</w:t>
            </w:r>
          </w:p>
        </w:tc>
        <w:tc>
          <w:tcPr>
            <w:tcW w:w="10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4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Value of restricted stock units issued </w:t>
            </w:r>
          </w:p>
        </w:tc>
        <w:tc>
          <w:tcPr>
            <w:tcW w:w="260"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909</w:t>
            </w:r>
          </w:p>
        </w:tc>
        <w:tc>
          <w:tcPr>
            <w:tcW w:w="7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3" w:type="dxa"/>
            <w:tcBorders/>
            <w:shd w:fill="auto" w:val="clear"/>
            <w:vAlign w:val="center"/>
          </w:tcPr>
          <w:p>
            <w:pPr>
              <w:pStyle w:val="TableContents"/>
              <w:spacing w:before="0" w:after="0"/>
              <w:ind w:left="0" w:right="0" w:firstLine="30"/>
              <w:rPr/>
            </w:pPr>
            <w:r>
              <w:rPr/>
              <w:t> </w:t>
            </w:r>
          </w:p>
        </w:tc>
        <w:tc>
          <w:tcPr>
            <w:tcW w:w="260"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8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133</w:t>
            </w:r>
          </w:p>
        </w:tc>
        <w:tc>
          <w:tcPr>
            <w:tcW w:w="106"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360"/>
        <w:jc w:val="both"/>
        <w:rPr>
          <w:sz w:val="17"/>
        </w:rPr>
      </w:pPr>
      <w:r>
        <w:rPr>
          <w:rFonts w:ascii="inherit" w:hAnsi="inherit"/>
          <w:sz w:val="17"/>
        </w:rPr>
        <w:t>The weighted average estimated fair value of restricted stock issued for services in the six months ended</w:t>
      </w:r>
      <w:r>
        <w:rPr>
          <w:sz w:val="17"/>
        </w:rPr>
        <w:t xml:space="preserve"> </w:t>
      </w:r>
      <w:r>
        <w:rPr>
          <w:rFonts w:ascii="inherit" w:hAnsi="inherit"/>
          <w:sz w:val="17"/>
        </w:rPr>
        <w:t>June 30, 2019</w:t>
      </w:r>
      <w:r>
        <w:rPr>
          <w:sz w:val="17"/>
        </w:rPr>
        <w:t xml:space="preserve"> </w:t>
      </w:r>
      <w:r>
        <w:rPr>
          <w:rFonts w:ascii="inherit" w:hAnsi="inherit"/>
          <w:sz w:val="17"/>
        </w:rPr>
        <w:t>and 2018</w:t>
      </w:r>
      <w:r>
        <w:rPr>
          <w:sz w:val="17"/>
        </w:rPr>
        <w:t xml:space="preserve"> </w:t>
      </w:r>
      <w:r>
        <w:rPr>
          <w:rFonts w:ascii="inherit" w:hAnsi="inherit"/>
          <w:sz w:val="17"/>
        </w:rPr>
        <w:t>was $4.93</w:t>
      </w:r>
      <w:r>
        <w:rPr>
          <w:sz w:val="17"/>
        </w:rPr>
        <w:t xml:space="preserve"> </w:t>
      </w:r>
      <w:r>
        <w:rPr>
          <w:rFonts w:ascii="inherit" w:hAnsi="inherit"/>
          <w:sz w:val="17"/>
        </w:rPr>
        <w:t>and $3.79</w:t>
      </w:r>
      <w:r>
        <w:rPr>
          <w:sz w:val="17"/>
        </w:rPr>
        <w:t xml:space="preserve"> </w:t>
      </w:r>
      <w:r>
        <w:rPr>
          <w:rFonts w:ascii="inherit" w:hAnsi="inherit"/>
          <w:sz w:val="17"/>
        </w:rPr>
        <w:t>per share, respectively. The fair value of the restricted stock units was determined using the Company’s closing stock price on the date of issuance. The vesting terms of restricted stock unit issuances are generally one</w:t>
      </w:r>
      <w:r>
        <w:rPr>
          <w:sz w:val="17"/>
        </w:rPr>
        <w:t xml:space="preserve"> </w:t>
      </w:r>
      <w:r>
        <w:rPr>
          <w:rFonts w:ascii="inherit" w:hAnsi="inherit"/>
          <w:sz w:val="17"/>
        </w:rPr>
        <w:t xml:space="preserve">year, or upon the achievement of performance-based milestones.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20" w:name="sF379DF8C63CC503ABCAA3ECB6A9BCAF8"/>
      <w:bookmarkEnd w:id="20"/>
      <w:r>
        <w:rPr>
          <w:rFonts w:ascii="inherit" w:hAnsi="inherit"/>
          <w:b/>
          <w:sz w:val="17"/>
          <w:u w:val="single"/>
        </w:rPr>
        <w:t>Note 9 – Share-Based Compensation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Share-Based Compensation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We utilize share-based compensation in the form of stock options, restricted stock, and restricted stock units.  The following table summarizes the components of share-based compensation expense for the three and six months ended</w:t>
      </w:r>
      <w:r>
        <w:rPr>
          <w:sz w:val="17"/>
        </w:rPr>
        <w:t xml:space="preserve"> </w:t>
      </w:r>
      <w:r>
        <w:rPr>
          <w:rFonts w:ascii="inherit" w:hAnsi="inherit"/>
          <w:sz w:val="17"/>
        </w:rPr>
        <w:t>June 30, 2019</w:t>
      </w:r>
      <w:r>
        <w:rPr>
          <w:sz w:val="17"/>
        </w:rPr>
        <w:t xml:space="preserve"> </w:t>
      </w:r>
      <w:r>
        <w:rPr>
          <w:rFonts w:ascii="inherit" w:hAnsi="inherit"/>
          <w:sz w:val="17"/>
        </w:rPr>
        <w:t>and 2018</w:t>
      </w:r>
      <w:r>
        <w:rPr>
          <w:sz w:val="17"/>
        </w:rPr>
        <w:t xml:space="preserve"> </w:t>
      </w:r>
      <w:r>
        <w:rPr>
          <w:rFonts w:ascii="inherit" w:hAnsi="inherit"/>
          <w:sz w:val="17"/>
        </w:rPr>
        <w:t>(in thousands):</w:t>
      </w:r>
    </w:p>
    <w:tbl>
      <w:tblPr>
        <w:tblW w:w="7837" w:type="dxa"/>
        <w:jc w:val="center"/>
        <w:tblInd w:w="0" w:type="dxa"/>
        <w:tblCellMar>
          <w:top w:w="0" w:type="dxa"/>
          <w:left w:w="0" w:type="dxa"/>
          <w:bottom w:w="0" w:type="dxa"/>
          <w:right w:w="0" w:type="dxa"/>
        </w:tblCellMar>
      </w:tblPr>
      <w:tblGrid>
        <w:gridCol w:w="3575"/>
        <w:gridCol w:w="223"/>
        <w:gridCol w:w="598"/>
        <w:gridCol w:w="53"/>
        <w:gridCol w:w="160"/>
        <w:gridCol w:w="223"/>
        <w:gridCol w:w="866"/>
        <w:gridCol w:w="53"/>
        <w:gridCol w:w="90"/>
        <w:gridCol w:w="202"/>
        <w:gridCol w:w="542"/>
        <w:gridCol w:w="48"/>
        <w:gridCol w:w="145"/>
        <w:gridCol w:w="202"/>
        <w:gridCol w:w="785"/>
        <w:gridCol w:w="72"/>
      </w:tblGrid>
      <w:tr>
        <w:trPr/>
        <w:tc>
          <w:tcPr>
            <w:tcW w:w="7837" w:type="dxa"/>
            <w:gridSpan w:val="16"/>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75" w:type="dxa"/>
            <w:tcBorders/>
            <w:shd w:fill="auto" w:val="clear"/>
            <w:vAlign w:val="center"/>
          </w:tcPr>
          <w:p>
            <w:pPr>
              <w:pStyle w:val="TableContents"/>
              <w:spacing w:before="0" w:after="0"/>
              <w:ind w:left="0" w:right="0" w:firstLine="30"/>
              <w:rPr/>
            </w:pPr>
            <w:r>
              <w:rPr/>
              <w:t> </w:t>
            </w:r>
          </w:p>
        </w:tc>
        <w:tc>
          <w:tcPr>
            <w:tcW w:w="21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90" w:type="dxa"/>
            <w:tcBorders/>
            <w:shd w:fill="auto" w:val="clear"/>
            <w:vAlign w:val="center"/>
          </w:tcPr>
          <w:p>
            <w:pPr>
              <w:pStyle w:val="TableContents"/>
              <w:spacing w:before="0" w:after="0"/>
              <w:ind w:left="0" w:right="0" w:firstLine="30"/>
              <w:rPr/>
            </w:pPr>
            <w:r>
              <w:rPr/>
              <w:t> </w:t>
            </w:r>
          </w:p>
        </w:tc>
        <w:tc>
          <w:tcPr>
            <w:tcW w:w="19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3575" w:type="dxa"/>
            <w:tcBorders/>
            <w:shd w:fill="auto" w:val="clear"/>
            <w:vAlign w:val="center"/>
          </w:tcPr>
          <w:p>
            <w:pPr>
              <w:pStyle w:val="TableContents"/>
              <w:spacing w:before="0" w:after="0"/>
              <w:ind w:left="0" w:right="0" w:firstLine="30"/>
              <w:rPr/>
            </w:pPr>
            <w:r>
              <w:rPr/>
              <w:t> </w:t>
            </w:r>
          </w:p>
        </w:tc>
        <w:tc>
          <w:tcPr>
            <w:tcW w:w="8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60" w:type="dxa"/>
            <w:tcBorders/>
            <w:shd w:fill="auto" w:val="clear"/>
            <w:vAlign w:val="center"/>
          </w:tcPr>
          <w:p>
            <w:pPr>
              <w:pStyle w:val="TableContents"/>
              <w:spacing w:before="0" w:after="0"/>
              <w:ind w:left="0" w:right="0" w:firstLine="30"/>
              <w:rPr/>
            </w:pPr>
            <w:r>
              <w:rPr/>
              <w:t> </w:t>
            </w:r>
          </w:p>
        </w:tc>
        <w:tc>
          <w:tcPr>
            <w:tcW w:w="11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9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45" w:type="dxa"/>
            <w:tcBorders/>
            <w:shd w:fill="auto" w:val="clear"/>
            <w:vAlign w:val="center"/>
          </w:tcPr>
          <w:p>
            <w:pPr>
              <w:pStyle w:val="TableContents"/>
              <w:spacing w:before="0" w:after="0"/>
              <w:ind w:left="0" w:right="0" w:firstLine="30"/>
              <w:rPr/>
            </w:pPr>
            <w:r>
              <w:rPr/>
              <w:t> </w:t>
            </w:r>
          </w:p>
        </w:tc>
        <w:tc>
          <w:tcPr>
            <w:tcW w:w="105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35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Research and development</w:t>
            </w:r>
          </w:p>
        </w:tc>
        <w:tc>
          <w:tcPr>
            <w:tcW w:w="22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w:t>
            </w:r>
          </w:p>
        </w:tc>
        <w:tc>
          <w:tcPr>
            <w:tcW w:w="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0" w:type="dxa"/>
            <w:tcBorders/>
            <w:shd w:fill="CCEEFF" w:val="clear"/>
            <w:vAlign w:val="center"/>
          </w:tcPr>
          <w:p>
            <w:pPr>
              <w:pStyle w:val="TableContents"/>
              <w:spacing w:before="0" w:after="0"/>
              <w:ind w:left="0" w:right="0" w:firstLine="30"/>
              <w:rPr/>
            </w:pPr>
            <w:r>
              <w:rPr/>
              <w:t> </w:t>
            </w:r>
          </w:p>
        </w:tc>
        <w:tc>
          <w:tcPr>
            <w:tcW w:w="22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6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341</w:t>
            </w:r>
          </w:p>
        </w:tc>
        <w:tc>
          <w:tcPr>
            <w:tcW w:w="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4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174</w:t>
            </w:r>
          </w:p>
        </w:tc>
        <w:tc>
          <w:tcPr>
            <w:tcW w:w="4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20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381</w:t>
            </w:r>
          </w:p>
        </w:tc>
        <w:tc>
          <w:tcPr>
            <w:tcW w:w="7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and administrative</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0" w:type="dxa"/>
            <w:tcBorders/>
            <w:shd w:fill="auto" w:val="clear"/>
            <w:vAlign w:val="center"/>
          </w:tcPr>
          <w:p>
            <w:pPr>
              <w:pStyle w:val="TableContents"/>
              <w:spacing w:before="0" w:after="0"/>
              <w:ind w:left="0" w:right="0" w:firstLine="30"/>
              <w:rPr/>
            </w:pPr>
            <w:r>
              <w:rPr/>
              <w:t> </w:t>
            </w:r>
          </w:p>
        </w:tc>
        <w:tc>
          <w:tcPr>
            <w:tcW w:w="10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1,627</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619</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9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share-based compensation expense</w:t>
            </w:r>
          </w:p>
        </w:tc>
        <w:tc>
          <w:tcPr>
            <w:tcW w:w="2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245</w:t>
            </w:r>
          </w:p>
        </w:tc>
        <w:tc>
          <w:tcPr>
            <w:tcW w:w="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0" w:type="dxa"/>
            <w:tcBorders/>
            <w:shd w:fill="CCEEFF" w:val="clear"/>
            <w:vAlign w:val="center"/>
          </w:tcPr>
          <w:p>
            <w:pPr>
              <w:pStyle w:val="TableContents"/>
              <w:spacing w:before="0" w:after="0"/>
              <w:ind w:left="0" w:right="0" w:firstLine="30"/>
              <w:rPr/>
            </w:pPr>
            <w:r>
              <w:rPr/>
              <w:t> </w:t>
            </w:r>
          </w:p>
        </w:tc>
        <w:tc>
          <w:tcPr>
            <w:tcW w:w="2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1,968</w:t>
            </w:r>
          </w:p>
        </w:tc>
        <w:tc>
          <w:tcPr>
            <w:tcW w:w="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793</w:t>
            </w:r>
          </w:p>
        </w:tc>
        <w:tc>
          <w:tcPr>
            <w:tcW w:w="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2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2,115</w:t>
            </w:r>
          </w:p>
        </w:tc>
        <w:tc>
          <w:tcPr>
            <w:tcW w:w="7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75" w:type="dxa"/>
            <w:tcBorders/>
            <w:shd w:fill="auto" w:val="clear"/>
            <w:vAlign w:val="center"/>
          </w:tcPr>
          <w:p>
            <w:pPr>
              <w:pStyle w:val="TableContents"/>
              <w:spacing w:before="0" w:after="0"/>
              <w:ind w:left="0" w:right="0" w:firstLine="30"/>
              <w:rPr/>
            </w:pPr>
            <w:r>
              <w:rPr/>
              <w:t> </w:t>
            </w:r>
          </w:p>
        </w:tc>
        <w:tc>
          <w:tcPr>
            <w:tcW w:w="874" w:type="dxa"/>
            <w:gridSpan w:val="3"/>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ind w:left="0" w:right="0" w:firstLine="30"/>
              <w:rPr/>
            </w:pPr>
            <w:r>
              <w:rPr/>
              <w:t> </w:t>
            </w:r>
          </w:p>
        </w:tc>
        <w:tc>
          <w:tcPr>
            <w:tcW w:w="114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2"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1059" w:type="dxa"/>
            <w:gridSpan w:val="3"/>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 xml:space="preserve">Total compensation cost related to non-vested awards not yet recognized and the weighted-average periods over which the awards were expected to be recognized at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were as follows (in thousands):</w:t>
      </w:r>
    </w:p>
    <w:tbl>
      <w:tblPr>
        <w:tblW w:w="9418" w:type="dxa"/>
        <w:jc w:val="center"/>
        <w:tblInd w:w="0" w:type="dxa"/>
        <w:tblCellMar>
          <w:top w:w="0" w:type="dxa"/>
          <w:left w:w="0" w:type="dxa"/>
          <w:bottom w:w="0" w:type="dxa"/>
          <w:right w:w="0" w:type="dxa"/>
        </w:tblCellMar>
      </w:tblPr>
      <w:tblGrid>
        <w:gridCol w:w="6995"/>
        <w:gridCol w:w="272"/>
        <w:gridCol w:w="730"/>
        <w:gridCol w:w="67"/>
        <w:gridCol w:w="90"/>
        <w:gridCol w:w="366"/>
        <w:gridCol w:w="763"/>
        <w:gridCol w:w="135"/>
      </w:tblGrid>
      <w:tr>
        <w:trPr/>
        <w:tc>
          <w:tcPr>
            <w:tcW w:w="9418" w:type="dxa"/>
            <w:gridSpan w:val="8"/>
            <w:tcBorders/>
            <w:shd w:fill="auto" w:val="clear"/>
            <w:vAlign w:val="center"/>
          </w:tcPr>
          <w:p>
            <w:pPr>
              <w:pStyle w:val="TableContents"/>
              <w:spacing w:before="0" w:after="283"/>
              <w:rPr>
                <w:sz w:val="4"/>
                <w:szCs w:val="4"/>
              </w:rPr>
            </w:pPr>
            <w:r>
              <w:rPr>
                <w:sz w:val="4"/>
                <w:szCs w:val="4"/>
              </w:rPr>
            </w:r>
          </w:p>
        </w:tc>
      </w:tr>
      <w:tr>
        <w:trPr/>
        <w:tc>
          <w:tcPr>
            <w:tcW w:w="699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95" w:type="dxa"/>
            <w:tcBorders/>
            <w:shd w:fill="auto" w:val="clear"/>
            <w:vAlign w:val="center"/>
          </w:tcPr>
          <w:p>
            <w:pPr>
              <w:pStyle w:val="TableContents"/>
              <w:spacing w:before="0" w:after="0"/>
              <w:ind w:left="0" w:right="0" w:firstLine="30"/>
              <w:rPr/>
            </w:pPr>
            <w:r>
              <w:rPr/>
              <w:t> </w:t>
            </w:r>
          </w:p>
        </w:tc>
        <w:tc>
          <w:tcPr>
            <w:tcW w:w="10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Stock Options</w:t>
            </w:r>
          </w:p>
        </w:tc>
        <w:tc>
          <w:tcPr>
            <w:tcW w:w="90" w:type="dxa"/>
            <w:tcBorders/>
            <w:shd w:fill="auto" w:val="clear"/>
            <w:vAlign w:val="center"/>
          </w:tcPr>
          <w:p>
            <w:pPr>
              <w:pStyle w:val="TableContents"/>
              <w:spacing w:before="0" w:after="0"/>
              <w:ind w:left="0" w:right="0" w:firstLine="30"/>
              <w:rPr/>
            </w:pPr>
            <w:r>
              <w:rPr/>
              <w:t> </w:t>
            </w:r>
          </w:p>
        </w:tc>
        <w:tc>
          <w:tcPr>
            <w:tcW w:w="12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Restricted Stock</w:t>
            </w:r>
          </w:p>
        </w:tc>
      </w:tr>
      <w:tr>
        <w:trPr/>
        <w:tc>
          <w:tcPr>
            <w:tcW w:w="69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Unrecognized compensation cost</w:t>
            </w:r>
          </w:p>
        </w:tc>
        <w:tc>
          <w:tcPr>
            <w:tcW w:w="27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850</w:t>
            </w:r>
          </w:p>
        </w:tc>
        <w:tc>
          <w:tcPr>
            <w:tcW w:w="6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6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Expected weighted-average period in years of compensation cost to be recognized</w:t>
            </w:r>
          </w:p>
        </w:tc>
        <w:tc>
          <w:tcPr>
            <w:tcW w:w="10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0.00</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Total fair value of shares vested and the weighted average estimated fair values of shares granted for the six months ended</w:t>
      </w:r>
      <w:r>
        <w:rPr>
          <w:sz w:val="17"/>
        </w:rPr>
        <w:t xml:space="preserve">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2018</w:t>
      </w:r>
      <w:r>
        <w:rPr>
          <w:sz w:val="17"/>
        </w:rPr>
        <w:t xml:space="preserve"> </w:t>
      </w:r>
      <w:r>
        <w:rPr>
          <w:rFonts w:ascii="inherit" w:hAnsi="inherit"/>
          <w:sz w:val="17"/>
        </w:rPr>
        <w:t>were as follows (in thousands):</w:t>
      </w:r>
    </w:p>
    <w:tbl>
      <w:tblPr>
        <w:tblW w:w="6861" w:type="dxa"/>
        <w:jc w:val="center"/>
        <w:tblInd w:w="0" w:type="dxa"/>
        <w:tblCellMar>
          <w:top w:w="0" w:type="dxa"/>
          <w:left w:w="0" w:type="dxa"/>
          <w:bottom w:w="0" w:type="dxa"/>
          <w:right w:w="0" w:type="dxa"/>
        </w:tblCellMar>
      </w:tblPr>
      <w:tblGrid>
        <w:gridCol w:w="4865"/>
        <w:gridCol w:w="212"/>
        <w:gridCol w:w="646"/>
        <w:gridCol w:w="51"/>
        <w:gridCol w:w="153"/>
        <w:gridCol w:w="212"/>
        <w:gridCol w:w="646"/>
        <w:gridCol w:w="76"/>
      </w:tblGrid>
      <w:tr>
        <w:trPr/>
        <w:tc>
          <w:tcPr>
            <w:tcW w:w="6861" w:type="dxa"/>
            <w:gridSpan w:val="8"/>
            <w:tcBorders/>
            <w:shd w:fill="auto" w:val="clear"/>
            <w:vAlign w:val="center"/>
          </w:tcPr>
          <w:p>
            <w:pPr>
              <w:pStyle w:val="TableContents"/>
              <w:spacing w:before="0" w:after="283"/>
              <w:rPr>
                <w:sz w:val="4"/>
                <w:szCs w:val="4"/>
              </w:rPr>
            </w:pPr>
            <w:r>
              <w:rPr>
                <w:sz w:val="4"/>
                <w:szCs w:val="4"/>
              </w:rPr>
            </w:r>
          </w:p>
        </w:tc>
      </w:tr>
      <w:tr>
        <w:trPr/>
        <w:tc>
          <w:tcPr>
            <w:tcW w:w="48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65" w:type="dxa"/>
            <w:tcBorders/>
            <w:shd w:fill="auto" w:val="clear"/>
            <w:vAlign w:val="center"/>
          </w:tcPr>
          <w:p>
            <w:pPr>
              <w:pStyle w:val="TableContents"/>
              <w:spacing w:before="0" w:after="0"/>
              <w:ind w:left="0" w:right="0" w:firstLine="30"/>
              <w:rPr/>
            </w:pPr>
            <w:r>
              <w:rPr/>
              <w:t> </w:t>
            </w:r>
          </w:p>
        </w:tc>
        <w:tc>
          <w:tcPr>
            <w:tcW w:w="19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Stock Options</w:t>
            </w:r>
          </w:p>
        </w:tc>
      </w:tr>
      <w:tr>
        <w:trPr/>
        <w:tc>
          <w:tcPr>
            <w:tcW w:w="4865" w:type="dxa"/>
            <w:tcBorders/>
            <w:shd w:fill="auto" w:val="clear"/>
            <w:vAlign w:val="center"/>
          </w:tcPr>
          <w:p>
            <w:pPr>
              <w:pStyle w:val="TableContents"/>
              <w:spacing w:before="0" w:after="0"/>
              <w:ind w:left="0" w:right="0" w:firstLine="30"/>
              <w:rPr/>
            </w:pPr>
            <w:r>
              <w:rPr/>
              <w:t> </w:t>
            </w:r>
          </w:p>
        </w:tc>
        <w:tc>
          <w:tcPr>
            <w:tcW w:w="1996"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4865" w:type="dxa"/>
            <w:tcBorders/>
            <w:shd w:fill="auto" w:val="clear"/>
            <w:vAlign w:val="center"/>
          </w:tcPr>
          <w:p>
            <w:pPr>
              <w:pStyle w:val="TableContents"/>
              <w:spacing w:before="0" w:after="0"/>
              <w:ind w:left="0" w:right="0" w:firstLine="30"/>
              <w:rPr/>
            </w:pPr>
            <w:r>
              <w:rPr/>
              <w:t> </w:t>
            </w:r>
          </w:p>
        </w:tc>
        <w:tc>
          <w:tcPr>
            <w:tcW w:w="90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53" w:type="dxa"/>
            <w:tcBorders/>
            <w:shd w:fill="auto" w:val="clear"/>
            <w:vAlign w:val="center"/>
          </w:tcPr>
          <w:p>
            <w:pPr>
              <w:pStyle w:val="TableContents"/>
              <w:spacing w:before="0" w:after="0"/>
              <w:ind w:left="0" w:right="0" w:firstLine="30"/>
              <w:rPr/>
            </w:pPr>
            <w:r>
              <w:rPr/>
              <w:t> </w:t>
            </w:r>
          </w:p>
        </w:tc>
        <w:tc>
          <w:tcPr>
            <w:tcW w:w="93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8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fair value of shares vested</w:t>
            </w:r>
          </w:p>
        </w:tc>
        <w:tc>
          <w:tcPr>
            <w:tcW w:w="21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4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378</w:t>
            </w:r>
          </w:p>
        </w:tc>
        <w:tc>
          <w:tcPr>
            <w:tcW w:w="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21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4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w:t>
            </w:r>
          </w:p>
        </w:tc>
        <w:tc>
          <w:tcPr>
            <w:tcW w:w="7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estimated fair value of shares granted</w:t>
            </w:r>
          </w:p>
        </w:tc>
        <w:tc>
          <w:tcPr>
            <w:tcW w:w="21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46" w:type="dxa"/>
            <w:tcBorders/>
            <w:shd w:fill="auto" w:val="clear"/>
            <w:vAlign w:val="center"/>
          </w:tcPr>
          <w:p>
            <w:pPr>
              <w:pStyle w:val="TableContents"/>
              <w:spacing w:before="0" w:after="0"/>
              <w:jc w:val="right"/>
              <w:rPr>
                <w:rFonts w:ascii="inherit" w:hAnsi="inherit"/>
                <w:sz w:val="17"/>
              </w:rPr>
            </w:pPr>
            <w:r>
              <w:rPr>
                <w:rFonts w:ascii="inherit" w:hAnsi="inherit"/>
                <w:sz w:val="17"/>
              </w:rPr>
              <w:t>3.18</w:t>
            </w:r>
          </w:p>
        </w:tc>
        <w:tc>
          <w:tcPr>
            <w:tcW w:w="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21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46" w:type="dxa"/>
            <w:tcBorders/>
            <w:shd w:fill="auto" w:val="clear"/>
            <w:vAlign w:val="center"/>
          </w:tcPr>
          <w:p>
            <w:pPr>
              <w:pStyle w:val="TableContents"/>
              <w:spacing w:before="0" w:after="0"/>
              <w:jc w:val="right"/>
              <w:rPr>
                <w:rFonts w:ascii="inherit" w:hAnsi="inherit"/>
                <w:sz w:val="17"/>
              </w:rPr>
            </w:pPr>
            <w:r>
              <w:rPr>
                <w:rFonts w:ascii="inherit" w:hAnsi="inherit"/>
                <w:sz w:val="17"/>
              </w:rPr>
              <w:t>2.41</w:t>
            </w:r>
          </w:p>
        </w:tc>
        <w:tc>
          <w:tcPr>
            <w:tcW w:w="76"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Valuation Assumptions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21" w:name="s5C3994CBBDA055958D02E739339BA534"/>
      <w:bookmarkEnd w:id="21"/>
      <w:r>
        <w:rPr>
          <w:rFonts w:ascii="inherit" w:hAnsi="inherit"/>
          <w:b/>
          <w:sz w:val="17"/>
          <w:u w:val="single"/>
        </w:rPr>
        <w:t>Note 10 – Research Funding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California Institute of Regenerative Medicine Grant Award</w:t>
      </w:r>
    </w:p>
    <w:p>
      <w:pPr>
        <w:pStyle w:val="TextBody"/>
        <w:spacing w:lineRule="auto" w:line="288" w:before="0" w:after="0"/>
        <w:ind w:left="0" w:right="0" w:firstLine="360"/>
        <w:jc w:val="both"/>
        <w:rPr>
          <w:sz w:val="17"/>
        </w:rPr>
      </w:pPr>
      <w:r>
        <w:rPr>
          <w:rFonts w:ascii="inherit" w:hAnsi="inherit"/>
          <w:sz w:val="17"/>
        </w:rPr>
        <w:t>In February 2017, CIRM awarded us funds of up to $12.2 million</w:t>
      </w:r>
      <w:r>
        <w:rPr>
          <w:sz w:val="17"/>
        </w:rPr>
        <w:t xml:space="preserve"> </w:t>
      </w:r>
      <w:r>
        <w:rPr>
          <w:rFonts w:ascii="inherit" w:hAnsi="inherit"/>
          <w:sz w:val="17"/>
        </w:rPr>
        <w:t>to support the T-Rex Study. The funding is based upon the achievement of certain milestones related to the proportion of subjects enrolled in California, as well as manufacturing and development costs incurred in California. In March 2018, CIRM calculated the precise amount of the funding award as $8.6 million, based on the actual number of subjects enrolled in California.</w:t>
      </w:r>
    </w:p>
    <w:p>
      <w:pPr>
        <w:pStyle w:val="TextBody"/>
        <w:spacing w:lineRule="auto" w:line="288" w:before="0" w:after="0"/>
        <w:ind w:left="0" w:right="0" w:firstLine="360"/>
        <w:jc w:val="both"/>
        <w:rPr>
          <w:sz w:val="17"/>
        </w:rPr>
      </w:pPr>
      <w:r>
        <w:rPr>
          <w:rFonts w:ascii="inherit" w:hAnsi="inherit"/>
          <w:sz w:val="17"/>
        </w:rPr>
        <w:t>The Company received $5.7 million</w:t>
      </w:r>
      <w:r>
        <w:rPr>
          <w:sz w:val="17"/>
        </w:rPr>
        <w:t xml:space="preserve"> </w:t>
      </w:r>
      <w:r>
        <w:rPr>
          <w:rFonts w:ascii="inherit" w:hAnsi="inherit"/>
          <w:sz w:val="17"/>
        </w:rPr>
        <w:t>in initial funding in May 2017, a $1.9 million</w:t>
      </w:r>
      <w:r>
        <w:rPr>
          <w:sz w:val="17"/>
        </w:rPr>
        <w:t xml:space="preserve"> </w:t>
      </w:r>
      <w:r>
        <w:rPr>
          <w:rFonts w:ascii="inherit" w:hAnsi="inherit"/>
          <w:sz w:val="17"/>
        </w:rPr>
        <w:t>milestone payment in December 2017, a $0.3 million</w:t>
      </w:r>
      <w:r>
        <w:rPr>
          <w:sz w:val="17"/>
        </w:rPr>
        <w:t xml:space="preserve"> </w:t>
      </w:r>
      <w:r>
        <w:rPr>
          <w:rFonts w:ascii="inherit" w:hAnsi="inherit"/>
          <w:sz w:val="17"/>
        </w:rPr>
        <w:t>progress payment in March 2018, and a $0.2 million</w:t>
      </w:r>
      <w:r>
        <w:rPr>
          <w:sz w:val="17"/>
        </w:rPr>
        <w:t xml:space="preserve"> </w:t>
      </w:r>
      <w:r>
        <w:rPr>
          <w:rFonts w:ascii="inherit" w:hAnsi="inherit"/>
          <w:sz w:val="17"/>
        </w:rPr>
        <w:t>progress payment in May 2019, of which the total will be amortized over the estimated award period through July 2020 as a reduction to the related research and development expenses. As of June 30, 2019, $2.7 million</w:t>
      </w:r>
      <w:r>
        <w:rPr>
          <w:sz w:val="17"/>
        </w:rPr>
        <w:t xml:space="preserve"> </w:t>
      </w:r>
      <w:r>
        <w:rPr>
          <w:rFonts w:ascii="inherit" w:hAnsi="inherit"/>
          <w:sz w:val="17"/>
        </w:rPr>
        <w:t>of the funding received was recorded in accrued liabilities, representing the amount expected to be recognized over the next 12 months, and $0.2 million</w:t>
      </w:r>
      <w:r>
        <w:rPr>
          <w:sz w:val="17"/>
        </w:rPr>
        <w:t xml:space="preserve"> </w:t>
      </w:r>
      <w:r>
        <w:rPr>
          <w:rFonts w:ascii="inherit" w:hAnsi="inherit"/>
          <w:sz w:val="17"/>
        </w:rPr>
        <w:t xml:space="preserve">of the funding received was recorded in other long-term liabilities.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jc w:val="both"/>
        <w:rPr>
          <w:sz w:val="17"/>
        </w:rPr>
      </w:pPr>
      <w:r>
        <w:rPr>
          <w:rFonts w:ascii="inherit" w:hAnsi="inherit"/>
          <w:sz w:val="17"/>
        </w:rPr>
        <w:t>During the three and six months ended</w:t>
      </w:r>
      <w:r>
        <w:rPr>
          <w:sz w:val="17"/>
        </w:rPr>
        <w:t xml:space="preserve"> </w:t>
      </w:r>
      <w:r>
        <w:rPr>
          <w:rFonts w:ascii="inherit" w:hAnsi="inherit"/>
          <w:sz w:val="17"/>
        </w:rPr>
        <w:t>June 30, 2019, the Company amortized and recognized $0.7 million</w:t>
      </w:r>
      <w:r>
        <w:rPr>
          <w:sz w:val="17"/>
        </w:rPr>
        <w:t xml:space="preserve"> </w:t>
      </w:r>
      <w:r>
        <w:rPr>
          <w:rFonts w:ascii="inherit" w:hAnsi="inherit"/>
          <w:sz w:val="17"/>
        </w:rPr>
        <w:t>and $1.3 million</w:t>
      </w:r>
      <w:r>
        <w:rPr>
          <w:sz w:val="17"/>
        </w:rPr>
        <w:t xml:space="preserve"> </w:t>
      </w:r>
      <w:r>
        <w:rPr>
          <w:rFonts w:ascii="inherit" w:hAnsi="inherit"/>
          <w:sz w:val="17"/>
        </w:rPr>
        <w:t>in credits, respectively, to research and development related to CIRM funds received. During the three and six months ended</w:t>
      </w:r>
      <w:r>
        <w:rPr>
          <w:sz w:val="17"/>
        </w:rPr>
        <w:t xml:space="preserve"> </w:t>
      </w:r>
      <w:r>
        <w:rPr>
          <w:rFonts w:ascii="inherit" w:hAnsi="inherit"/>
          <w:sz w:val="17"/>
        </w:rPr>
        <w:t>June 30, 2018, the Company amortized and recognized $0.6 million</w:t>
      </w:r>
      <w:r>
        <w:rPr>
          <w:sz w:val="17"/>
        </w:rPr>
        <w:t xml:space="preserve"> </w:t>
      </w:r>
      <w:r>
        <w:rPr>
          <w:rFonts w:ascii="inherit" w:hAnsi="inherit"/>
          <w:sz w:val="17"/>
        </w:rPr>
        <w:t>and $1.3 million</w:t>
      </w:r>
      <w:r>
        <w:rPr>
          <w:sz w:val="17"/>
        </w:rPr>
        <w:t xml:space="preserve"> </w:t>
      </w:r>
      <w:r>
        <w:rPr>
          <w:rFonts w:ascii="inherit" w:hAnsi="inherit"/>
          <w:sz w:val="17"/>
        </w:rPr>
        <w:t xml:space="preserve">in credits, respectively, to research and development related to CIRM funds received.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u w:val="single"/>
        </w:rPr>
      </w:pPr>
      <w:bookmarkStart w:id="22" w:name="s9FCF5C4B080256188E5D50A1C2335259"/>
      <w:bookmarkEnd w:id="22"/>
      <w:r>
        <w:rPr>
          <w:rFonts w:ascii="inherit" w:hAnsi="inherit"/>
          <w:b/>
          <w:sz w:val="17"/>
          <w:u w:val="single"/>
        </w:rPr>
        <w:t>Note 11 – Income Taxes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spacing w:lineRule="auto" w:line="288" w:before="0" w:after="0"/>
        <w:ind w:left="0" w:right="0" w:firstLine="360"/>
        <w:jc w:val="both"/>
        <w:rPr>
          <w:sz w:val="17"/>
        </w:rPr>
      </w:pPr>
      <w:r>
        <w:rPr>
          <w:rFonts w:ascii="inherit" w:hAnsi="inherit"/>
          <w:sz w:val="17"/>
        </w:rPr>
        <w:t>As of December 31, 2018, the Company had approximately $225 million</w:t>
      </w:r>
      <w:r>
        <w:rPr>
          <w:sz w:val="17"/>
        </w:rPr>
        <w:t xml:space="preserve"> </w:t>
      </w:r>
      <w:r>
        <w:rPr>
          <w:rFonts w:ascii="inherit" w:hAnsi="inherit"/>
          <w:sz w:val="17"/>
        </w:rPr>
        <w:t>of federal NOLs available to offset future taxable income expiring from 2030 through 2036. In accordance with Section 382 of the Internal Revenue code, the usage of the Company’s NOLs could be limited in the event of a change in ownership. The Company performed an analysis and determined that it has had ownership changes of greater than 50%</w:t>
      </w:r>
      <w:r>
        <w:rPr>
          <w:sz w:val="17"/>
        </w:rPr>
        <w:t xml:space="preserve"> </w:t>
      </w:r>
      <w:r>
        <w:rPr>
          <w:rFonts w:ascii="inherit" w:hAnsi="inherit"/>
          <w:sz w:val="17"/>
        </w:rPr>
        <w:t>over a 3-year testing period. The last ownership change was determined to be in 2015. Based on a market capitalization of $124.5 million</w:t>
      </w:r>
      <w:r>
        <w:rPr>
          <w:sz w:val="17"/>
        </w:rPr>
        <w:t xml:space="preserve"> </w:t>
      </w:r>
      <w:r>
        <w:rPr>
          <w:rFonts w:ascii="inherit" w:hAnsi="inherit"/>
          <w:sz w:val="17"/>
        </w:rPr>
        <w:t xml:space="preserve">and using an applicable federal rate of 2.5%, the annual limitation would be approximately $3.0 million. Post change losses generated after June 2, 2015 would not be subject to 382 limitations. Additionally, the Company would be able to increase NOL limitations by the realized built in gain on the sale of PCT in May of 2017.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The Company applies the FASB’s provisions for uncertain tax positions. The Company recognizes interest and penalties associated with certain tax positions as a component of income tax expense. As of June 30, 2019, management does not believe the Company has any material uncertain tax positions. The Company does not believe there will be any material changes in its unrecognized tax positions over the next year. For years prior to 2015, the federal statute of limitations is closed for assessing tax. The Company’s state tax returns remain open to examination for a period of three to four years from date of filing.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u w:val="single"/>
        </w:rPr>
      </w:pPr>
      <w:bookmarkStart w:id="23" w:name="s2F2FD52CA11E538399831728113282E1"/>
      <w:bookmarkEnd w:id="23"/>
      <w:r>
        <w:rPr>
          <w:rFonts w:ascii="inherit" w:hAnsi="inherit"/>
          <w:b/>
          <w:sz w:val="17"/>
          <w:u w:val="single"/>
        </w:rPr>
        <w:t>Note 12 – Contingencies</w:t>
      </w:r>
    </w:p>
    <w:p>
      <w:pPr>
        <w:pStyle w:val="TextBody"/>
        <w:spacing w:lineRule="auto" w:line="288" w:before="0" w:after="0"/>
        <w:jc w:val="both"/>
        <w:rPr/>
      </w:pPr>
      <w:r>
        <w:rPr/>
        <w:t> </w:t>
      </w:r>
    </w:p>
    <w:p>
      <w:pPr>
        <w:pStyle w:val="TextBody"/>
        <w:spacing w:lineRule="auto" w:line="288" w:before="0" w:after="0"/>
        <w:jc w:val="both"/>
        <w:rPr>
          <w:rFonts w:ascii="inherit" w:hAnsi="inherit"/>
          <w:b/>
          <w:i/>
          <w:sz w:val="17"/>
        </w:rPr>
      </w:pPr>
      <w:r>
        <w:rPr>
          <w:rFonts w:ascii="inherit" w:hAnsi="inherit"/>
          <w:b/>
          <w:i/>
          <w:sz w:val="17"/>
        </w:rPr>
        <w:t>Contingencies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Under license agreements with third parties the Company is typically required to pay maintenance fees, make milestone payments and/or pay other fees and expenses and pay royalties upon commercialization of products. The Company also sponsors research at various academic institutions, which research agreements generally provide us with an option to license new technology discovered during the course of the sponsored research.</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DB36EF7CC0CF5E428CD637007BC76C1A">
        <w:bookmarkStart w:id="24" w:name="sD00E281852BF5FC4ACEEA100E52DC805"/>
        <w:bookmarkEnd w:id="24"/>
        <w:r>
          <w:rPr>
            <w:rStyle w:val="InternetLink"/>
            <w:rFonts w:ascii="inherit" w:hAnsi="inherit"/>
            <w:sz w:val="13"/>
          </w:rPr>
          <w:t>Index</w:t>
        </w:r>
      </w:hyperlink>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ITEM 2. MANAGEMENT'S DISCUSSION AND ANALYSIS OF FINANCIAL CONDITION AND RESULTS OF OPERATIONS</w:t>
      </w:r>
    </w:p>
    <w:p>
      <w:pPr>
        <w:pStyle w:val="TextBody"/>
        <w:spacing w:lineRule="auto" w:line="288" w:before="0" w:after="0"/>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2018 Form 10-K. The following discussion should be read in conjunction with our consolidated financial statements and related notes thereto included elsewhere in this Quarterly Report and in our 2018 Form 10-K.</w:t>
      </w:r>
    </w:p>
    <w:p>
      <w:pPr>
        <w:pStyle w:val="TextBody"/>
        <w:spacing w:lineRule="auto" w:line="288" w:before="0" w:after="0"/>
        <w:jc w:val="both"/>
        <w:rPr/>
      </w:pPr>
      <w:r>
        <w:rPr/>
        <w:t> </w:t>
      </w:r>
    </w:p>
    <w:p>
      <w:pPr>
        <w:pStyle w:val="TextBody"/>
        <w:spacing w:lineRule="auto" w:line="288" w:before="0" w:after="0"/>
        <w:jc w:val="both"/>
        <w:rPr>
          <w:rFonts w:ascii="inherit" w:hAnsi="inherit"/>
          <w:b/>
          <w:i/>
          <w:sz w:val="17"/>
        </w:rPr>
      </w:pPr>
      <w:r>
        <w:rPr>
          <w:rFonts w:ascii="inherit" w:hAnsi="inherit"/>
          <w:b/>
          <w:i/>
          <w:sz w:val="17"/>
        </w:rPr>
        <w:t>Overview</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 xml:space="preserve">Caladrius Biosciences, Inc. (“we,” “us,” "our," “Caladrius” or the “Company”) is a late-stage therapeutics development biopharmaceutical company committed to the development of innovative products that have the potential to restore the health of people with chronic illnesses. Our leadership team collectively has decades of biopharmaceutical development experience and world-recognized scientific achievement in the fields of cardiovascular and autoimmune disease, among other areas. Our goal is to build a broad portfolio of novel and versatile products that address important unmet medical needs. Our current product candidates include three developmental treatments for cardiovascular diseases based on its CD34+ cell therapy platform: CLBS12, recipient of SAKIGAKE designation and eligible for early conditional approval in Japan for the treatment of critical limb ischemia ("CLI") based on the results of an ongoing clinical trial; CLBS16, in Phase 2 in the U.S. for the treatment of coronary microvascular dysfunction ("CMD"); and CLBS14, recipient of an RMAT designation and for which we have finalized with the U.S. Food and Drug Administration (the "FDA") the protocol for a Phase 3 confirmatory trial in subjects with no-option refractory disabling angina ("NORDA") for which it has received RMAT designation.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 xml:space="preserve">Ischemic Repair (CD34 Cell Technology)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Our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its CD34+ cell technology, including but not limited to CLI, CMD and NORDA.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Regarding CLBS12, our product candidate for CLI, after detailed discussion and agreement with the Japanese Pharmaceutical and Medical Device Agency ("PMDA"), we opened a Phase 2 trial for enrollment in December 2017 and announced in March 2018 treatment of the first patient. Based on discussions with the PMDA, we expect that a successful outcome of this trial will make CLBS12 eligible for early conditional approval in Japan, thereby effectively making the ongoing trial a potential registration trial in that strategic market. The initial responses observed in the relatively small number of subjects who have reached an endpoint in this open label study are consistent with a positive therapeutic effect and safety profile as reported by previously published clinical trials in Japan and the U.S. While these early signs are encouraging, it is clear that the final outcome of the trial will be dependent on all data from all subjects.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In October 2017, we announced the award of a $1.9 million</w:t>
      </w:r>
      <w:r>
        <w:rPr>
          <w:sz w:val="17"/>
        </w:rPr>
        <w:t xml:space="preserve"> </w:t>
      </w:r>
      <w:r>
        <w:rPr>
          <w:rFonts w:ascii="inherit" w:hAnsi="inherit"/>
          <w:sz w:val="17"/>
        </w:rPr>
        <w:t>grant from the National Institutes of Health to support a clinical study of CD34+ cells in patients with CMD. This led to the initiation of development of CLBS16 and enrollment of patients in the Company's ESCaPE-CMD Phase 2 proof-of-concept study at the Mayo Clinic in Rochester, MN and Cedars-Sinai Medical Center, Los Angeles, CA. The early results observed in this open label trial from the relatively small number of subjects who have reached the 6-month (primary endpoint) follow-up visit support our expectations for CLBS16 and a positive therapeutic effect and acceptable safety profile in this indication. While the final outcome of the trial will be dependent on the 6-month data from all subjects, these early observations of increased coronary flow reserve and decreased angina symptoms in treated patients are encouraging.</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To support a development program of CD34+ cells in the indication of NORDA, we acquired the rights to data and regulatory filings for a CD34+ cell therapy program for refractory angina that had been advanced to Phase 3 under the previous investigational new drug application (“IND”) holder. We have designated this program CLBS14 and reactivated the IND with the FDA with Caladrius as the sponsor. We, working closely with the FDA, have finalized the design of a confirmatory Phase 3 trial which, in combination with previously filed Phase 1, 2 and 3 data, will be considered for the registration of CLBS14.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Immunomodulation (Treg Technology)</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 xml:space="preserve">For the last several years, we have been developing an innovative therapy for T1D (identified as CLBS03) that is based on a proprietary T regulatory cell platform technology for immunomodulation. CLBS03 was granted Fast Track and Orphan drug designations from the FDA for this proposed indication and was granted Advanced Therapeutic Medicinal Product ("ATMP") classification from the European Medicines Agency ("EMA"). This program is based on the use of Tregs (T-regulatory cells) to treat diseases caused by imbalances in an individual's immune system.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In 2016, we commenced patient enrollment in the first of two cohorts in The Sanford Project: T-Rex Study, a Phase 2a prospective, randomized, placebo-controlled, double-blind clinical trial to evaluate the safety and efficacy of CLBS03 in adolescents with recent onset T1D (the "T-Rex Study"). On February 13, 2019, we announced top line results indicating that the therapy was well-tolerated but that the study's primary endpoint of preservation of C-peptide had not been achieved. We and our collaborators are conducting a comprehensive analysis of data from the trial (including the 2-year follow-up data to come in early 2020) and will make decisions regarding further development of CLBS03 based on the results of those analyses.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Additional Out-licensing Opportunities</w:t>
      </w:r>
    </w:p>
    <w:p>
      <w:pPr>
        <w:pStyle w:val="TextBody"/>
        <w:spacing w:lineRule="auto" w:line="288" w:before="0" w:after="0"/>
        <w:ind w:left="0" w:right="0" w:firstLine="360"/>
        <w:jc w:val="both"/>
        <w:rPr>
          <w:rFonts w:ascii="inherit" w:hAnsi="inherit"/>
          <w:sz w:val="17"/>
        </w:rPr>
      </w:pPr>
      <w:r>
        <w:rPr>
          <w:rFonts w:ascii="inherit" w:hAnsi="inherit"/>
          <w:sz w:val="17"/>
        </w:rPr>
        <w:t xml:space="preserve">Our broad intellectual property portfolio of cell therapy assets includes notable programs available for out-licensing in order to continue their clinical development. These include additional indications for both our Treg product and our CD34+ cell technology.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270"/>
        <w:jc w:val="both"/>
        <w:rPr>
          <w:rFonts w:ascii="inherit" w:hAnsi="inherit"/>
          <w:sz w:val="17"/>
        </w:rPr>
      </w:pPr>
      <w:r>
        <w:rPr>
          <w:rFonts w:ascii="inherit" w:hAnsi="inherit"/>
          <w:sz w:val="17"/>
        </w:rPr>
        <w:t xml:space="preserve">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 </w:t>
      </w:r>
    </w:p>
    <w:p>
      <w:pPr>
        <w:pStyle w:val="TextBody"/>
        <w:spacing w:lineRule="auto" w:line="288" w:before="0" w:after="0"/>
        <w:jc w:val="both"/>
        <w:rPr/>
      </w:pPr>
      <w:r>
        <w:rPr/>
        <w:t> </w:t>
      </w:r>
    </w:p>
    <w:p>
      <w:pPr>
        <w:pStyle w:val="TextBody"/>
        <w:spacing w:lineRule="auto" w:line="288" w:before="0" w:after="0"/>
        <w:jc w:val="both"/>
        <w:rPr>
          <w:rFonts w:ascii="inherit" w:hAnsi="inherit"/>
          <w:b/>
          <w:sz w:val="17"/>
        </w:rPr>
      </w:pPr>
      <w:bookmarkStart w:id="25" w:name="s8A12B5060F475C6FA2F4127AD45FCF76"/>
      <w:bookmarkEnd w:id="25"/>
      <w:r>
        <w:rPr>
          <w:rFonts w:ascii="inherit" w:hAnsi="inherit"/>
          <w:b/>
          <w:sz w:val="17"/>
        </w:rPr>
        <w:t>Results of Operations</w:t>
      </w:r>
    </w:p>
    <w:p>
      <w:pPr>
        <w:pStyle w:val="TextBody"/>
        <w:spacing w:lineRule="auto" w:line="288" w:before="0" w:after="0"/>
        <w:jc w:val="both"/>
        <w:rPr/>
      </w:pPr>
      <w:r>
        <w:rPr/>
        <w:t> </w:t>
      </w:r>
    </w:p>
    <w:p>
      <w:pPr>
        <w:pStyle w:val="TextBody"/>
        <w:spacing w:lineRule="auto" w:line="288" w:before="0" w:after="0"/>
        <w:jc w:val="both"/>
        <w:rPr>
          <w:sz w:val="17"/>
        </w:rPr>
      </w:pPr>
      <w:r>
        <w:rPr>
          <w:rFonts w:ascii="inherit" w:hAnsi="inherit"/>
          <w:b/>
          <w:i/>
          <w:sz w:val="17"/>
        </w:rPr>
        <w:t>Three and Six Months Ended</w:t>
      </w:r>
      <w:r>
        <w:rPr>
          <w:sz w:val="17"/>
        </w:rPr>
        <w:t xml:space="preserve"> </w:t>
      </w:r>
      <w:r>
        <w:rPr>
          <w:rFonts w:ascii="inherit" w:hAnsi="inherit"/>
          <w:b/>
          <w:i/>
          <w:sz w:val="17"/>
        </w:rPr>
        <w:t>June 30, 2019</w:t>
      </w:r>
      <w:r>
        <w:rPr>
          <w:sz w:val="17"/>
        </w:rPr>
        <w:t xml:space="preserve"> </w:t>
      </w:r>
      <w:r>
        <w:rPr>
          <w:rFonts w:ascii="inherit" w:hAnsi="inherit"/>
          <w:b/>
          <w:i/>
          <w:sz w:val="17"/>
        </w:rPr>
        <w:t>Compared to Three and Six Months Ended</w:t>
      </w:r>
      <w:r>
        <w:rPr>
          <w:sz w:val="17"/>
        </w:rPr>
        <w:t xml:space="preserve"> </w:t>
      </w:r>
      <w:r>
        <w:rPr>
          <w:rFonts w:ascii="inherit" w:hAnsi="inherit"/>
          <w:b/>
          <w:i/>
          <w:sz w:val="17"/>
        </w:rPr>
        <w:t>June 30, 2018</w:t>
      </w:r>
      <w:r>
        <w:rPr>
          <w:sz w:val="17"/>
        </w:rPr>
        <w:t xml:space="preserve"> </w:t>
      </w:r>
    </w:p>
    <w:p>
      <w:pPr>
        <w:pStyle w:val="TextBody"/>
        <w:spacing w:lineRule="auto" w:line="288" w:before="0" w:after="0"/>
        <w:jc w:val="both"/>
        <w:rPr/>
      </w:pPr>
      <w:r>
        <w:rPr/>
        <w:t> </w:t>
      </w:r>
    </w:p>
    <w:p>
      <w:pPr>
        <w:pStyle w:val="TextBody"/>
        <w:spacing w:lineRule="auto" w:line="288" w:before="0" w:after="0"/>
        <w:ind w:left="0" w:right="0" w:firstLine="360"/>
        <w:jc w:val="both"/>
        <w:rPr>
          <w:sz w:val="17"/>
        </w:rPr>
      </w:pPr>
      <w:r>
        <w:rPr>
          <w:rFonts w:ascii="inherit" w:hAnsi="inherit"/>
          <w:sz w:val="17"/>
        </w:rPr>
        <w:t>Overall, net losses were $5.1 million</w:t>
      </w:r>
      <w:r>
        <w:rPr>
          <w:sz w:val="17"/>
        </w:rPr>
        <w:t xml:space="preserve"> </w:t>
      </w:r>
      <w:r>
        <w:rPr>
          <w:rFonts w:ascii="inherit" w:hAnsi="inherit"/>
          <w:sz w:val="17"/>
        </w:rPr>
        <w:t>and $9.5 million</w:t>
      </w:r>
      <w:r>
        <w:rPr>
          <w:sz w:val="17"/>
        </w:rPr>
        <w:t xml:space="preserve"> </w:t>
      </w:r>
      <w:r>
        <w:rPr>
          <w:rFonts w:ascii="inherit" w:hAnsi="inherit"/>
          <w:sz w:val="17"/>
        </w:rPr>
        <w:t>for the three and six months ended</w:t>
      </w:r>
      <w:r>
        <w:rPr>
          <w:sz w:val="17"/>
        </w:rPr>
        <w:t xml:space="preserve"> </w:t>
      </w:r>
      <w:r>
        <w:rPr>
          <w:rFonts w:ascii="inherit" w:hAnsi="inherit"/>
          <w:sz w:val="17"/>
        </w:rPr>
        <w:t>June 30, 2019, compared to $4.1 million</w:t>
      </w:r>
      <w:r>
        <w:rPr>
          <w:sz w:val="17"/>
        </w:rPr>
        <w:t xml:space="preserve"> </w:t>
      </w:r>
      <w:r>
        <w:rPr>
          <w:rFonts w:ascii="inherit" w:hAnsi="inherit"/>
          <w:sz w:val="17"/>
        </w:rPr>
        <w:t>and $9.1 million</w:t>
      </w:r>
      <w:r>
        <w:rPr>
          <w:sz w:val="17"/>
        </w:rPr>
        <w:t xml:space="preserve"> </w:t>
      </w:r>
      <w:r>
        <w:rPr>
          <w:rFonts w:ascii="inherit" w:hAnsi="inherit"/>
          <w:sz w:val="17"/>
        </w:rPr>
        <w:t>for the three and six months ended</w:t>
      </w:r>
      <w:r>
        <w:rPr>
          <w:sz w:val="17"/>
        </w:rPr>
        <w:t xml:space="preserve"> </w:t>
      </w:r>
      <w:r>
        <w:rPr>
          <w:rFonts w:ascii="inherit" w:hAnsi="inherit"/>
          <w:sz w:val="17"/>
        </w:rPr>
        <w:t xml:space="preserve">June 30, 2018.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pPr>
      <w:r>
        <w:rPr/>
        <w:t>    </w:t>
      </w:r>
    </w:p>
    <w:p>
      <w:pPr>
        <w:pStyle w:val="TextBody"/>
        <w:spacing w:lineRule="auto" w:line="288" w:before="0" w:after="0"/>
        <w:jc w:val="both"/>
        <w:rPr>
          <w:rFonts w:ascii="inherit" w:hAnsi="inherit"/>
          <w:b/>
          <w:sz w:val="17"/>
        </w:rPr>
      </w:pPr>
      <w:r>
        <w:rPr>
          <w:rFonts w:ascii="inherit" w:hAnsi="inherit"/>
          <w:b/>
          <w:sz w:val="17"/>
        </w:rPr>
        <w:t>Operating Expenses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For the three months ended</w:t>
      </w:r>
      <w:r>
        <w:rPr>
          <w:sz w:val="17"/>
        </w:rPr>
        <w:t xml:space="preserve"> </w:t>
      </w:r>
      <w:r>
        <w:rPr>
          <w:rFonts w:ascii="inherit" w:hAnsi="inherit"/>
          <w:sz w:val="17"/>
        </w:rPr>
        <w:t>June 30, 2019, operating expenses totaled $5.3 million</w:t>
      </w:r>
      <w:r>
        <w:rPr>
          <w:sz w:val="17"/>
        </w:rPr>
        <w:t xml:space="preserve"> </w:t>
      </w:r>
      <w:r>
        <w:rPr>
          <w:rFonts w:ascii="inherit" w:hAnsi="inherit"/>
          <w:sz w:val="17"/>
        </w:rPr>
        <w:t>compared to $4.3 million</w:t>
      </w:r>
      <w:r>
        <w:rPr>
          <w:sz w:val="17"/>
        </w:rPr>
        <w:t xml:space="preserve"> </w:t>
      </w:r>
      <w:r>
        <w:rPr>
          <w:rFonts w:ascii="inherit" w:hAnsi="inherit"/>
          <w:sz w:val="17"/>
        </w:rPr>
        <w:t>for the three months ended</w:t>
      </w:r>
      <w:r>
        <w:rPr>
          <w:sz w:val="17"/>
        </w:rPr>
        <w:t xml:space="preserve"> </w:t>
      </w:r>
      <w:r>
        <w:rPr>
          <w:rFonts w:ascii="inherit" w:hAnsi="inherit"/>
          <w:sz w:val="17"/>
        </w:rPr>
        <w:t>June 30, 2018, representing an increase of $1.1 million, or 25%. Operating expenses were comprised of the following:</w:t>
      </w:r>
    </w:p>
    <w:p>
      <w:pPr>
        <w:pStyle w:val="TextBody"/>
        <w:spacing w:lineRule="auto" w:line="288" w:before="0" w:after="0"/>
        <w:jc w:val="both"/>
        <w:rPr/>
      </w:pPr>
      <w:r>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Research and development expenses were approximately $3.0 million</w:t>
            </w:r>
            <w:r>
              <w:rPr>
                <w:sz w:val="17"/>
              </w:rPr>
              <w:t xml:space="preserve"> </w:t>
            </w:r>
            <w:r>
              <w:rPr>
                <w:rFonts w:ascii="inherit" w:hAnsi="inherit"/>
                <w:sz w:val="17"/>
              </w:rPr>
              <w:t>for the three months ended</w:t>
            </w:r>
            <w:r>
              <w:rPr>
                <w:sz w:val="17"/>
              </w:rPr>
              <w:t xml:space="preserve"> </w:t>
            </w:r>
            <w:r>
              <w:rPr>
                <w:rFonts w:ascii="inherit" w:hAnsi="inherit"/>
                <w:sz w:val="17"/>
              </w:rPr>
              <w:t>June 30, 2019, compared to $2.1 million</w:t>
            </w:r>
            <w:r>
              <w:rPr>
                <w:sz w:val="17"/>
              </w:rPr>
              <w:t xml:space="preserve"> </w:t>
            </w:r>
            <w:r>
              <w:rPr>
                <w:rFonts w:ascii="inherit" w:hAnsi="inherit"/>
                <w:sz w:val="17"/>
              </w:rPr>
              <w:t>for the three months ended</w:t>
            </w:r>
            <w:r>
              <w:rPr>
                <w:sz w:val="17"/>
              </w:rPr>
              <w:t xml:space="preserve"> </w:t>
            </w:r>
            <w:r>
              <w:rPr>
                <w:rFonts w:ascii="inherit" w:hAnsi="inherit"/>
                <w:sz w:val="17"/>
              </w:rPr>
              <w:t xml:space="preserve">June 30, 2018, representing an increase of approximately $0.9 million, or 41%. Research and development in both periods focused on the advancement of our ischemic repair platform, and related to (i) expenses associated with our ongoing Phase 2 study of CLBS12 in critical limb ischemia development program in Japan, (ii) expense associated with our ongoing Phase 1b/2a study for CLBS16 in coronary microvascular dysfunction, and (iii) expenses associated with planning our CLBS14 program in NORDA. </w:t>
            </w:r>
          </w:p>
        </w:tc>
      </w:tr>
    </w:tbl>
    <w:p>
      <w:pPr>
        <w:pStyle w:val="TextBody"/>
        <w:spacing w:lineRule="auto" w:line="288" w:before="0" w:after="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General and administrative expenses were approximately $2.4 million</w:t>
            </w:r>
            <w:r>
              <w:rPr>
                <w:sz w:val="17"/>
              </w:rPr>
              <w:t xml:space="preserve"> </w:t>
            </w:r>
            <w:r>
              <w:rPr>
                <w:rFonts w:ascii="inherit" w:hAnsi="inherit"/>
                <w:sz w:val="17"/>
              </w:rPr>
              <w:t>for the three months ended</w:t>
            </w:r>
            <w:r>
              <w:rPr>
                <w:sz w:val="17"/>
              </w:rPr>
              <w:t xml:space="preserve"> </w:t>
            </w:r>
            <w:r>
              <w:rPr>
                <w:rFonts w:ascii="inherit" w:hAnsi="inherit"/>
                <w:sz w:val="17"/>
              </w:rPr>
              <w:t>June 30, 2019, compared to $2.1 million</w:t>
            </w:r>
            <w:r>
              <w:rPr>
                <w:sz w:val="17"/>
              </w:rPr>
              <w:t xml:space="preserve"> </w:t>
            </w:r>
            <w:r>
              <w:rPr>
                <w:rFonts w:ascii="inherit" w:hAnsi="inherit"/>
                <w:sz w:val="17"/>
              </w:rPr>
              <w:t>for the three months ended</w:t>
            </w:r>
            <w:r>
              <w:rPr>
                <w:sz w:val="17"/>
              </w:rPr>
              <w:t xml:space="preserve"> </w:t>
            </w:r>
            <w:r>
              <w:rPr>
                <w:rFonts w:ascii="inherit" w:hAnsi="inherit"/>
                <w:sz w:val="17"/>
              </w:rPr>
              <w:t xml:space="preserve">June 30, 2018, representing an increase of approximately $0.2 million, or 10%. Our general and administrative expenses focus on general corporate-related activities. </w:t>
            </w:r>
          </w:p>
        </w:tc>
      </w:tr>
    </w:tbl>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For the six months ended</w:t>
      </w:r>
      <w:r>
        <w:rPr>
          <w:sz w:val="17"/>
        </w:rPr>
        <w:t xml:space="preserve"> </w:t>
      </w:r>
      <w:r>
        <w:rPr>
          <w:rFonts w:ascii="inherit" w:hAnsi="inherit"/>
          <w:sz w:val="17"/>
        </w:rPr>
        <w:t>June 30, 2019, operating expenses totaled $9.9 million</w:t>
      </w:r>
      <w:r>
        <w:rPr>
          <w:sz w:val="17"/>
        </w:rPr>
        <w:t xml:space="preserve"> </w:t>
      </w:r>
      <w:r>
        <w:rPr>
          <w:rFonts w:ascii="inherit" w:hAnsi="inherit"/>
          <w:sz w:val="17"/>
        </w:rPr>
        <w:t>compared to $9.4 million</w:t>
      </w:r>
      <w:r>
        <w:rPr>
          <w:sz w:val="17"/>
        </w:rPr>
        <w:t xml:space="preserve"> </w:t>
      </w:r>
      <w:r>
        <w:rPr>
          <w:rFonts w:ascii="inherit" w:hAnsi="inherit"/>
          <w:sz w:val="17"/>
        </w:rPr>
        <w:t>for the six months ended</w:t>
      </w:r>
      <w:r>
        <w:rPr>
          <w:sz w:val="17"/>
        </w:rPr>
        <w:t xml:space="preserve"> </w:t>
      </w:r>
      <w:r>
        <w:rPr>
          <w:rFonts w:ascii="inherit" w:hAnsi="inherit"/>
          <w:sz w:val="17"/>
        </w:rPr>
        <w:t>June 30, 2018, representing an increase of $0.5 million, or 5%. Operating expenses were comprised of the following:</w:t>
      </w:r>
    </w:p>
    <w:p>
      <w:pPr>
        <w:pStyle w:val="TextBody"/>
        <w:spacing w:lineRule="auto" w:line="288" w:before="0" w:after="0"/>
        <w:jc w:val="both"/>
        <w:rPr/>
      </w:pPr>
      <w:r>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Research and development expenses were approximately $5.0 million</w:t>
            </w:r>
            <w:r>
              <w:rPr>
                <w:sz w:val="17"/>
              </w:rPr>
              <w:t xml:space="preserve"> </w:t>
            </w:r>
            <w:r>
              <w:rPr>
                <w:rFonts w:ascii="inherit" w:hAnsi="inherit"/>
                <w:sz w:val="17"/>
              </w:rPr>
              <w:t>for the six months ended</w:t>
            </w:r>
            <w:r>
              <w:rPr>
                <w:sz w:val="17"/>
              </w:rPr>
              <w:t xml:space="preserve"> </w:t>
            </w:r>
            <w:r>
              <w:rPr>
                <w:rFonts w:ascii="inherit" w:hAnsi="inherit"/>
                <w:sz w:val="17"/>
              </w:rPr>
              <w:t>June 30, 2019, compared to $4.4 million</w:t>
            </w:r>
            <w:r>
              <w:rPr>
                <w:sz w:val="17"/>
              </w:rPr>
              <w:t xml:space="preserve"> </w:t>
            </w:r>
            <w:r>
              <w:rPr>
                <w:rFonts w:ascii="inherit" w:hAnsi="inherit"/>
                <w:sz w:val="17"/>
              </w:rPr>
              <w:t>for the six months ended</w:t>
            </w:r>
            <w:r>
              <w:rPr>
                <w:sz w:val="17"/>
              </w:rPr>
              <w:t xml:space="preserve"> </w:t>
            </w:r>
            <w:r>
              <w:rPr>
                <w:rFonts w:ascii="inherit" w:hAnsi="inherit"/>
                <w:sz w:val="17"/>
              </w:rPr>
              <w:t xml:space="preserve">June 30, 2018, representing an increase of approximately $0.6 million, or 15%. Research and development in both periods focused on the advancement of our ischemic repair platform, and related to (i) expenses associated with our ongoing Phase 2 study of CLBS12 in critical limb ischemia development program in Japan, (ii) expense associated with our ongoing Phase 1b/2a study for CLBS16 in coronary microvascular dysfunction, and (iii) expenses associated with planning our CLBS14 program in NORDA. </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sz w:val="17"/>
              </w:rPr>
              <w:t>General and administrative expenses were approximately $4.9 million</w:t>
            </w:r>
            <w:r>
              <w:rPr>
                <w:sz w:val="17"/>
              </w:rPr>
              <w:t xml:space="preserve"> </w:t>
            </w:r>
            <w:r>
              <w:rPr>
                <w:rFonts w:ascii="inherit" w:hAnsi="inherit"/>
                <w:sz w:val="17"/>
              </w:rPr>
              <w:t>for the six months ended</w:t>
            </w:r>
            <w:r>
              <w:rPr>
                <w:sz w:val="17"/>
              </w:rPr>
              <w:t xml:space="preserve"> </w:t>
            </w:r>
            <w:r>
              <w:rPr>
                <w:rFonts w:ascii="inherit" w:hAnsi="inherit"/>
                <w:sz w:val="17"/>
              </w:rPr>
              <w:t>June 30, 2019, compared to $5.0 million</w:t>
            </w:r>
            <w:r>
              <w:rPr>
                <w:sz w:val="17"/>
              </w:rPr>
              <w:t xml:space="preserve"> </w:t>
            </w:r>
            <w:r>
              <w:rPr>
                <w:rFonts w:ascii="inherit" w:hAnsi="inherit"/>
                <w:sz w:val="17"/>
              </w:rPr>
              <w:t>for the six months ended</w:t>
            </w:r>
            <w:r>
              <w:rPr>
                <w:sz w:val="17"/>
              </w:rPr>
              <w:t xml:space="preserve"> </w:t>
            </w:r>
            <w:r>
              <w:rPr>
                <w:rFonts w:ascii="inherit" w:hAnsi="inherit"/>
                <w:sz w:val="17"/>
              </w:rPr>
              <w:t xml:space="preserve">June 30, 2018, representing a decrease of approximately $0.1 million, or 3%. Our general and administrative expenses focus on general corporate-related activities. </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both"/>
        <w:rPr>
          <w:rFonts w:ascii="inherit" w:hAnsi="inherit"/>
          <w:sz w:val="17"/>
        </w:rPr>
      </w:pPr>
      <w:r>
        <w:rPr>
          <w:rFonts w:ascii="inherit" w:hAnsi="inherit"/>
          <w:sz w:val="17"/>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Other Income (Expense)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Total other income (expense) is primarily comprised of investment income on cash and marketable securities.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DB36EF7CC0CF5E428CD637007BC76C1A">
        <w:bookmarkStart w:id="26" w:name="s6254C0A993BC55A5B5FE456BDE9C9CB3"/>
        <w:bookmarkEnd w:id="26"/>
        <w:r>
          <w:rPr>
            <w:rStyle w:val="InternetLink"/>
            <w:rFonts w:ascii="inherit" w:hAnsi="inherit"/>
            <w:sz w:val="13"/>
          </w:rPr>
          <w:t>Index</w:t>
        </w:r>
      </w:hyperlink>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Analysis of Liquidity and Capital Resources</w:t>
      </w:r>
    </w:p>
    <w:p>
      <w:pPr>
        <w:pStyle w:val="TextBody"/>
        <w:spacing w:lineRule="auto" w:line="288" w:before="0" w:after="0"/>
        <w:jc w:val="both"/>
        <w:rPr/>
      </w:pPr>
      <w:r>
        <w:rPr/>
        <w:t> </w:t>
      </w:r>
    </w:p>
    <w:p>
      <w:pPr>
        <w:pStyle w:val="TextBody"/>
        <w:spacing w:lineRule="auto" w:line="288" w:before="0" w:after="0"/>
        <w:ind w:left="0" w:right="0" w:firstLine="360"/>
        <w:jc w:val="both"/>
        <w:rPr>
          <w:sz w:val="17"/>
        </w:rPr>
      </w:pPr>
      <w:r>
        <w:rPr>
          <w:rFonts w:ascii="inherit" w:hAnsi="inherit"/>
          <w:sz w:val="17"/>
        </w:rPr>
        <w:t xml:space="preserve">At </w:t>
      </w:r>
      <w:r>
        <w:rPr>
          <w:rFonts w:ascii="inherit" w:hAnsi="inherit"/>
          <w:strike w:val="false"/>
          <w:dstrike w:val="false"/>
          <w:color w:val="000000"/>
          <w:sz w:val="17"/>
          <w:u w:val="none"/>
          <w:effect w:val="none"/>
        </w:rPr>
        <w:t>June 30, 2019</w:t>
      </w:r>
      <w:r>
        <w:rPr>
          <w:rFonts w:ascii="inherit" w:hAnsi="inherit"/>
          <w:sz w:val="17"/>
        </w:rPr>
        <w:t xml:space="preserve">, we had cash, cash equivalents, and marketable securities of approximately $33.7 million, working capital of approximately </w:t>
      </w:r>
      <w:r>
        <w:rPr>
          <w:rFonts w:ascii="inherit" w:hAnsi="inherit"/>
          <w:strike w:val="false"/>
          <w:dstrike w:val="false"/>
          <w:color w:val="000000"/>
          <w:sz w:val="17"/>
          <w:u w:val="none"/>
          <w:effect w:val="none"/>
        </w:rPr>
        <w:t>$29.1 million</w:t>
      </w:r>
      <w:r>
        <w:rPr>
          <w:rFonts w:ascii="inherit" w:hAnsi="inherit"/>
          <w:sz w:val="17"/>
        </w:rPr>
        <w:t xml:space="preserve">, and stockholders’ equity of approximately </w:t>
      </w:r>
      <w:r>
        <w:rPr>
          <w:rFonts w:ascii="inherit" w:hAnsi="inherit"/>
          <w:strike w:val="false"/>
          <w:dstrike w:val="false"/>
          <w:color w:val="000000"/>
          <w:sz w:val="17"/>
          <w:u w:val="none"/>
          <w:effect w:val="none"/>
        </w:rPr>
        <w:t>$29.9 million</w:t>
      </w:r>
      <w:r>
        <w:rPr>
          <w:rFonts w:ascii="inherit" w:hAnsi="inherit"/>
          <w:sz w:val="17"/>
        </w:rPr>
        <w:t>.</w:t>
      </w:r>
    </w:p>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sz w:val="17"/>
        </w:rPr>
      </w:pPr>
      <w:r>
        <w:rPr>
          <w:rFonts w:ascii="inherit" w:hAnsi="inherit"/>
          <w:sz w:val="17"/>
        </w:rPr>
        <w:t>During the six months ended</w:t>
      </w:r>
      <w:r>
        <w:rPr>
          <w:sz w:val="17"/>
        </w:rPr>
        <w:t xml:space="preserve"> </w:t>
      </w:r>
      <w:r>
        <w:rPr>
          <w:rFonts w:ascii="inherit" w:hAnsi="inherit"/>
          <w:sz w:val="17"/>
        </w:rPr>
        <w:t xml:space="preserve">June 30, 2019, we met our immediate cash requirements through existing cash balances. Additionally, we used equity and equity-linked instruments to pay for services and compensation.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Net cash provided by or used in operating, investing and financing activities were as follows (in thousands): </w:t>
      </w:r>
    </w:p>
    <w:tbl>
      <w:tblPr>
        <w:tblW w:w="5438" w:type="dxa"/>
        <w:jc w:val="left"/>
        <w:tblInd w:w="0" w:type="dxa"/>
        <w:tblCellMar>
          <w:top w:w="0" w:type="dxa"/>
          <w:left w:w="0" w:type="dxa"/>
          <w:bottom w:w="0" w:type="dxa"/>
          <w:right w:w="0" w:type="dxa"/>
        </w:tblCellMar>
      </w:tblPr>
      <w:tblGrid>
        <w:gridCol w:w="3440"/>
        <w:gridCol w:w="133"/>
        <w:gridCol w:w="693"/>
        <w:gridCol w:w="117"/>
        <w:gridCol w:w="96"/>
        <w:gridCol w:w="133"/>
        <w:gridCol w:w="693"/>
        <w:gridCol w:w="133"/>
      </w:tblGrid>
      <w:tr>
        <w:trPr/>
        <w:tc>
          <w:tcPr>
            <w:tcW w:w="5438" w:type="dxa"/>
            <w:gridSpan w:val="8"/>
            <w:tcBorders/>
            <w:shd w:fill="auto" w:val="clear"/>
            <w:vAlign w:val="center"/>
          </w:tcPr>
          <w:p>
            <w:pPr>
              <w:pStyle w:val="TableContents"/>
              <w:spacing w:before="0" w:after="283"/>
              <w:rPr>
                <w:sz w:val="4"/>
                <w:szCs w:val="4"/>
              </w:rPr>
            </w:pPr>
            <w:r>
              <w:rPr>
                <w:sz w:val="4"/>
                <w:szCs w:val="4"/>
              </w:rPr>
            </w:r>
          </w:p>
        </w:tc>
      </w:tr>
      <w:tr>
        <w:trPr/>
        <w:tc>
          <w:tcPr>
            <w:tcW w:w="344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40" w:type="dxa"/>
            <w:tcBorders/>
            <w:shd w:fill="auto" w:val="clear"/>
            <w:vAlign w:val="center"/>
          </w:tcPr>
          <w:p>
            <w:pPr>
              <w:pStyle w:val="TableContents"/>
              <w:spacing w:before="0" w:after="0"/>
              <w:ind w:left="0" w:right="0" w:firstLine="30"/>
              <w:jc w:val="left"/>
              <w:rPr/>
            </w:pPr>
            <w:r>
              <w:rPr/>
              <w:t> </w:t>
            </w:r>
          </w:p>
        </w:tc>
        <w:tc>
          <w:tcPr>
            <w:tcW w:w="199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June 30,</w:t>
            </w:r>
          </w:p>
        </w:tc>
      </w:tr>
      <w:tr>
        <w:trPr/>
        <w:tc>
          <w:tcPr>
            <w:tcW w:w="3440" w:type="dxa"/>
            <w:tcBorders/>
            <w:shd w:fill="auto" w:val="clear"/>
            <w:vAlign w:val="center"/>
          </w:tcPr>
          <w:p>
            <w:pPr>
              <w:pStyle w:val="TableContents"/>
              <w:spacing w:before="0" w:after="0"/>
              <w:ind w:left="0" w:right="0" w:firstLine="30"/>
              <w:jc w:val="left"/>
              <w:rPr/>
            </w:pPr>
            <w:r>
              <w:rPr/>
              <w:t> </w:t>
            </w:r>
          </w:p>
        </w:tc>
        <w:tc>
          <w:tcPr>
            <w:tcW w:w="94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6" w:type="dxa"/>
            <w:tcBorders/>
            <w:shd w:fill="auto" w:val="clear"/>
            <w:vAlign w:val="center"/>
          </w:tcPr>
          <w:p>
            <w:pPr>
              <w:pStyle w:val="TableContents"/>
              <w:spacing w:before="0" w:after="0"/>
              <w:ind w:left="0" w:right="0" w:firstLine="30"/>
              <w:rPr/>
            </w:pPr>
            <w:r>
              <w:rPr/>
              <w:t> </w:t>
            </w:r>
          </w:p>
        </w:tc>
        <w:tc>
          <w:tcPr>
            <w:tcW w:w="9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34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operating activities</w:t>
            </w:r>
          </w:p>
        </w:tc>
        <w:tc>
          <w:tcPr>
            <w:tcW w:w="13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(10,205</w:t>
            </w:r>
          </w:p>
        </w:tc>
        <w:tc>
          <w:tcPr>
            <w:tcW w:w="11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6" w:type="dxa"/>
            <w:tcBorders/>
            <w:shd w:fill="CCEEFF" w:val="clear"/>
            <w:vAlign w:val="center"/>
          </w:tcPr>
          <w:p>
            <w:pPr>
              <w:pStyle w:val="TableContents"/>
              <w:spacing w:before="0" w:after="0"/>
              <w:ind w:left="0" w:right="0" w:firstLine="30"/>
              <w:rPr/>
            </w:pPr>
            <w:r>
              <w:rPr/>
              <w:t> </w:t>
            </w:r>
          </w:p>
        </w:tc>
        <w:tc>
          <w:tcPr>
            <w:tcW w:w="13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(12,184</w:t>
            </w:r>
          </w:p>
        </w:tc>
        <w:tc>
          <w:tcPr>
            <w:tcW w:w="13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investing activities</w:t>
            </w:r>
          </w:p>
        </w:tc>
        <w:tc>
          <w:tcPr>
            <w:tcW w:w="8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10,752</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8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650</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financing activities</w:t>
            </w:r>
          </w:p>
        </w:tc>
        <w:tc>
          <w:tcPr>
            <w:tcW w:w="8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908</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8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rPr>
          <w:rFonts w:ascii="inherit" w:hAnsi="inherit"/>
          <w:i/>
          <w:sz w:val="17"/>
          <w:u w:val="single"/>
        </w:rPr>
      </w:pPr>
      <w:r>
        <w:rPr>
          <w:rFonts w:ascii="inherit" w:hAnsi="inherit"/>
          <w:i/>
          <w:sz w:val="17"/>
          <w:u w:val="single"/>
        </w:rPr>
        <w:t>Operating Activities</w:t>
      </w:r>
    </w:p>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sz w:val="17"/>
        </w:rPr>
      </w:pPr>
      <w:r>
        <w:rPr>
          <w:rFonts w:ascii="inherit" w:hAnsi="inherit"/>
          <w:sz w:val="17"/>
        </w:rPr>
        <w:t>Our cash used in operating activities during the six months ended</w:t>
      </w:r>
      <w:r>
        <w:rPr>
          <w:sz w:val="17"/>
        </w:rPr>
        <w:t xml:space="preserve"> </w:t>
      </w:r>
      <w:r>
        <w:rPr>
          <w:rFonts w:ascii="inherit" w:hAnsi="inherit"/>
          <w:sz w:val="17"/>
        </w:rPr>
        <w:t>June 30, 2019</w:t>
      </w:r>
      <w:r>
        <w:rPr>
          <w:sz w:val="17"/>
        </w:rPr>
        <w:t xml:space="preserve"> </w:t>
      </w:r>
      <w:r>
        <w:rPr>
          <w:rFonts w:ascii="inherit" w:hAnsi="inherit"/>
          <w:sz w:val="17"/>
        </w:rPr>
        <w:t xml:space="preserve">was $10.2 million, which is comprised of (i) our net loss of $9.5 million, adjusted for non-cash expenses totaling </w:t>
      </w:r>
      <w:r>
        <w:rPr>
          <w:rFonts w:ascii="inherit" w:hAnsi="inherit"/>
          <w:strike w:val="false"/>
          <w:dstrike w:val="false"/>
          <w:color w:val="000000"/>
          <w:sz w:val="17"/>
          <w:u w:val="none"/>
          <w:effect w:val="none"/>
        </w:rPr>
        <w:t>$1.0 million</w:t>
      </w:r>
      <w:r>
        <w:rPr>
          <w:sz w:val="17"/>
        </w:rPr>
        <w:t xml:space="preserve"> </w:t>
      </w:r>
      <w:r>
        <w:rPr>
          <w:rFonts w:ascii="inherit" w:hAnsi="inherit"/>
          <w:sz w:val="17"/>
        </w:rPr>
        <w:t xml:space="preserve">(which includes adjustments for equity-based compensation, depreciation and amortization, and amortization/accretion of marketable securities), and (ii) changes in operating assets and liabilities using approximately </w:t>
      </w:r>
      <w:r>
        <w:rPr>
          <w:rFonts w:ascii="inherit" w:hAnsi="inherit"/>
          <w:strike w:val="false"/>
          <w:dstrike w:val="false"/>
          <w:color w:val="000000"/>
          <w:sz w:val="17"/>
          <w:u w:val="none"/>
          <w:effect w:val="none"/>
        </w:rPr>
        <w:t>$1.7 million</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Our cash used in operating activities during the six months ended</w:t>
      </w:r>
      <w:r>
        <w:rPr>
          <w:sz w:val="17"/>
        </w:rPr>
        <w:t xml:space="preserve"> </w:t>
      </w:r>
      <w:r>
        <w:rPr>
          <w:rFonts w:ascii="inherit" w:hAnsi="inherit"/>
          <w:sz w:val="17"/>
        </w:rPr>
        <w:t>June 30, 2018</w:t>
      </w:r>
      <w:r>
        <w:rPr>
          <w:sz w:val="17"/>
        </w:rPr>
        <w:t xml:space="preserve"> </w:t>
      </w:r>
      <w:r>
        <w:rPr>
          <w:rFonts w:ascii="inherit" w:hAnsi="inherit"/>
          <w:sz w:val="17"/>
        </w:rPr>
        <w:t>was $12.2 million, which is comprised of (i) our net loss of $9.1 million, adjusted for non-cash expenses totaling $</w:t>
      </w:r>
      <w:r>
        <w:rPr>
          <w:rFonts w:ascii="inherit" w:hAnsi="inherit"/>
          <w:strike w:val="false"/>
          <w:dstrike w:val="false"/>
          <w:color w:val="000000"/>
          <w:sz w:val="17"/>
          <w:u w:val="none"/>
          <w:effect w:val="none"/>
        </w:rPr>
        <w:t>1.1 million</w:t>
      </w:r>
      <w:r>
        <w:rPr>
          <w:sz w:val="17"/>
        </w:rPr>
        <w:t xml:space="preserve"> </w:t>
      </w:r>
      <w:r>
        <w:rPr>
          <w:rFonts w:ascii="inherit" w:hAnsi="inherit"/>
          <w:sz w:val="17"/>
        </w:rPr>
        <w:t>(which includes adjustments for equity-based compensation, depreciation and amortization, and amortization/accretion of marketable securities), and (ii) changes in operating assets and liabilities providing approximately $</w:t>
      </w:r>
      <w:r>
        <w:rPr>
          <w:rFonts w:ascii="inherit" w:hAnsi="inherit"/>
          <w:strike w:val="false"/>
          <w:dstrike w:val="false"/>
          <w:color w:val="000000"/>
          <w:sz w:val="17"/>
          <w:u w:val="none"/>
          <w:effect w:val="none"/>
        </w:rPr>
        <w:t>4.2 million</w:t>
      </w:r>
      <w:r>
        <w:rPr>
          <w:rFonts w:ascii="inherit" w:hAnsi="inherit"/>
          <w:sz w:val="17"/>
        </w:rPr>
        <w: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u w:val="single"/>
        </w:rPr>
      </w:pPr>
      <w:r>
        <w:rPr>
          <w:u w:val="single"/>
        </w:rPr>
        <w:t> </w:t>
      </w:r>
      <w:r>
        <w:rPr>
          <w:rFonts w:ascii="inherit" w:hAnsi="inherit"/>
          <w:i/>
          <w:sz w:val="17"/>
          <w:u w:val="single"/>
        </w:rPr>
        <w:t>Investing Activities</w:t>
      </w:r>
    </w:p>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sz w:val="17"/>
        </w:rPr>
      </w:pPr>
      <w:r>
        <w:rPr>
          <w:rFonts w:ascii="inherit" w:hAnsi="inherit"/>
          <w:sz w:val="17"/>
        </w:rPr>
        <w:t>Our cash provided by investing activities during the six months ended</w:t>
      </w:r>
      <w:r>
        <w:rPr>
          <w:sz w:val="17"/>
        </w:rPr>
        <w:t xml:space="preserve"> </w:t>
      </w:r>
      <w:r>
        <w:rPr>
          <w:rFonts w:ascii="inherit" w:hAnsi="inherit"/>
          <w:sz w:val="17"/>
        </w:rPr>
        <w:t>June 30, 2019</w:t>
      </w:r>
      <w:r>
        <w:rPr>
          <w:sz w:val="17"/>
        </w:rPr>
        <w:t xml:space="preserve"> </w:t>
      </w:r>
      <w:r>
        <w:rPr>
          <w:rFonts w:ascii="inherit" w:hAnsi="inherit"/>
          <w:sz w:val="17"/>
        </w:rPr>
        <w:t>totaled $10.8 million</w:t>
      </w:r>
      <w:r>
        <w:rPr>
          <w:sz w:val="17"/>
        </w:rPr>
        <w:t xml:space="preserve"> </w:t>
      </w:r>
      <w:r>
        <w:rPr>
          <w:rFonts w:ascii="inherit" w:hAnsi="inherit"/>
          <w:sz w:val="17"/>
        </w:rPr>
        <w:t>and was entirely due to net proceeds from the sale of marketable securities (net of proceeds on purchases of marketable securities).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Our cash provided by investing activities during the six months ended</w:t>
      </w:r>
      <w:r>
        <w:rPr>
          <w:sz w:val="17"/>
        </w:rPr>
        <w:t xml:space="preserve"> </w:t>
      </w:r>
      <w:r>
        <w:rPr>
          <w:rFonts w:ascii="inherit" w:hAnsi="inherit"/>
          <w:sz w:val="17"/>
        </w:rPr>
        <w:t>June 30, 2018</w:t>
      </w:r>
      <w:r>
        <w:rPr>
          <w:sz w:val="17"/>
        </w:rPr>
        <w:t xml:space="preserve"> </w:t>
      </w:r>
      <w:r>
        <w:rPr>
          <w:rFonts w:ascii="inherit" w:hAnsi="inherit"/>
          <w:sz w:val="17"/>
        </w:rPr>
        <w:t>totaled approximately $0.7 million, and was primarily due to $2.5 million in proceeds from the sale of our CFC device, and partially offset by net purchases of net investments in marketable securities.</w:t>
      </w:r>
    </w:p>
    <w:p>
      <w:pPr>
        <w:pStyle w:val="TextBody"/>
        <w:spacing w:lineRule="auto" w:line="288" w:before="0" w:after="0"/>
        <w:ind w:left="0" w:right="0" w:firstLine="360"/>
        <w:jc w:val="both"/>
        <w:rPr/>
      </w:pPr>
      <w:r>
        <w:rPr/>
        <w:t> </w:t>
      </w:r>
    </w:p>
    <w:p>
      <w:pPr>
        <w:pStyle w:val="TextBody"/>
        <w:spacing w:lineRule="auto" w:line="288" w:before="0" w:after="0"/>
        <w:jc w:val="both"/>
        <w:rPr>
          <w:rFonts w:ascii="inherit" w:hAnsi="inherit"/>
          <w:i/>
          <w:sz w:val="17"/>
          <w:u w:val="single"/>
        </w:rPr>
      </w:pPr>
      <w:r>
        <w:rPr>
          <w:rFonts w:ascii="inherit" w:hAnsi="inherit"/>
          <w:i/>
          <w:sz w:val="17"/>
          <w:u w:val="single"/>
        </w:rPr>
        <w:t>Financing Activities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Our cash provided by financing activities during the six months ended</w:t>
      </w:r>
      <w:r>
        <w:rPr>
          <w:sz w:val="17"/>
        </w:rPr>
        <w:t xml:space="preserve"> </w:t>
      </w:r>
      <w:r>
        <w:rPr>
          <w:rFonts w:ascii="inherit" w:hAnsi="inherit"/>
          <w:sz w:val="17"/>
        </w:rPr>
        <w:t>June 30, 2019</w:t>
      </w:r>
      <w:r>
        <w:rPr>
          <w:sz w:val="17"/>
        </w:rPr>
        <w:t xml:space="preserve"> </w:t>
      </w:r>
      <w:r>
        <w:rPr>
          <w:rFonts w:ascii="inherit" w:hAnsi="inherit"/>
          <w:sz w:val="17"/>
        </w:rPr>
        <w:t>consisted of proceeds of $1.0 million</w:t>
      </w:r>
      <w:r>
        <w:rPr>
          <w:sz w:val="17"/>
        </w:rPr>
        <w:t xml:space="preserve"> </w:t>
      </w:r>
      <w:r>
        <w:rPr>
          <w:rFonts w:ascii="inherit" w:hAnsi="inherit"/>
          <w:sz w:val="17"/>
        </w:rPr>
        <w:t>through the issuance of 250,000</w:t>
      </w:r>
      <w:r>
        <w:rPr>
          <w:sz w:val="17"/>
        </w:rPr>
        <w:t xml:space="preserve"> </w:t>
      </w:r>
      <w:r>
        <w:rPr>
          <w:rFonts w:ascii="inherit" w:hAnsi="inherit"/>
          <w:sz w:val="17"/>
        </w:rPr>
        <w:t xml:space="preserve">shares of our common stock under the provisions of our common stock purchase agreement with Lincoln Park Capital, which was partially offset by tax withholding-related payments on net share settlement equity awards to employees. </w:t>
      </w:r>
    </w:p>
    <w:p>
      <w:pPr>
        <w:pStyle w:val="TextBody"/>
        <w:spacing w:lineRule="auto" w:line="288" w:before="0" w:after="0"/>
        <w:ind w:left="0" w:right="0" w:firstLine="360"/>
        <w:jc w:val="both"/>
        <w:rPr>
          <w:sz w:val="17"/>
        </w:rPr>
      </w:pPr>
      <w:r>
        <w:rPr>
          <w:rFonts w:ascii="inherit" w:hAnsi="inherit"/>
          <w:sz w:val="17"/>
        </w:rPr>
        <w:t>Our cash provided by financing activities during the six months ended</w:t>
      </w:r>
      <w:r>
        <w:rPr>
          <w:sz w:val="17"/>
        </w:rPr>
        <w:t xml:space="preserve"> </w:t>
      </w:r>
      <w:r>
        <w:rPr>
          <w:rFonts w:ascii="inherit" w:hAnsi="inherit"/>
          <w:sz w:val="17"/>
        </w:rPr>
        <w:t>June 30, 2018</w:t>
      </w:r>
      <w:r>
        <w:rPr>
          <w:sz w:val="17"/>
        </w:rPr>
        <w:t xml:space="preserve"> </w:t>
      </w:r>
      <w:r>
        <w:rPr>
          <w:rFonts w:ascii="inherit" w:hAnsi="inherit"/>
          <w:sz w:val="17"/>
        </w:rPr>
        <w:t>consisted of proceeds of approximately $0.2 million through the issuance of 34,215 shares of our common stock under the provisions of our Common Stock Sales Agreement with H.C. Wainwright and $0.3 million of option exercise proceeds, which was partially offset by payment obligations under equipment finance leases and tax withholding-related payments on net share settlement equity awards to employees.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Liquidity and Capital Requirements Outlook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We believe that our cash on hand will enable us to fund operating expenses for at least the next 12 months following the issuance of our financial statements; however, the completion of Phase 3 clinical development of CLBS14 is contingent upon the future acquisition of additional capital.</w:t>
      </w:r>
    </w:p>
    <w:p>
      <w:pPr>
        <w:pStyle w:val="TextBody"/>
        <w:spacing w:lineRule="auto" w:line="288" w:before="0" w:after="0"/>
        <w:ind w:left="0" w:right="0" w:firstLine="360"/>
        <w:jc w:val="both"/>
        <w:rPr>
          <w:rFonts w:ascii="inherit" w:hAnsi="inherit"/>
          <w:sz w:val="17"/>
        </w:rPr>
      </w:pPr>
      <w:r>
        <w:rPr>
          <w:rFonts w:ascii="inherit" w:hAnsi="inherit"/>
          <w:sz w:val="17"/>
        </w:rPr>
        <w:t>On March 13,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our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w:t>
      </w:r>
    </w:p>
    <w:p>
      <w:pPr>
        <w:pStyle w:val="TextBody"/>
        <w:spacing w:lineRule="auto" w:line="288" w:before="0" w:after="0"/>
        <w:ind w:left="0" w:right="0" w:firstLine="360"/>
        <w:jc w:val="both"/>
        <w:rPr>
          <w:sz w:val="17"/>
        </w:rPr>
      </w:pPr>
      <w:r>
        <w:rPr>
          <w:rFonts w:ascii="inherit" w:hAnsi="inherit"/>
          <w:sz w:val="17"/>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As of June 30, 2019, we issued 149,041</w:t>
      </w:r>
      <w:r>
        <w:rPr>
          <w:sz w:val="17"/>
        </w:rPr>
        <w:t xml:space="preserve"> </w:t>
      </w:r>
      <w:r>
        <w:rPr>
          <w:rFonts w:ascii="inherit" w:hAnsi="inherit"/>
          <w:sz w:val="17"/>
        </w:rPr>
        <w:t xml:space="preserve">shares of common stock under the Sales Agreement for net proceeds of $1.0 million. </w:t>
      </w:r>
    </w:p>
    <w:p>
      <w:pPr>
        <w:pStyle w:val="TextBody"/>
        <w:spacing w:lineRule="auto" w:line="288" w:before="0" w:after="0"/>
        <w:ind w:left="0" w:right="0" w:firstLine="360"/>
        <w:jc w:val="both"/>
        <w:rPr>
          <w:rFonts w:ascii="inherit" w:hAnsi="inherit"/>
          <w:sz w:val="17"/>
        </w:rPr>
      </w:pPr>
      <w:r>
        <w:rPr>
          <w:rFonts w:ascii="inherit" w:hAnsi="inherit"/>
          <w:sz w:val="17"/>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bookmarkStart w:id="27" w:name="s06BC7CC2DC8354639C3E95DC362D4B57"/>
      <w:bookmarkEnd w:id="27"/>
      <w:r>
        <w:rPr>
          <w:rFonts w:ascii="inherit" w:hAnsi="inherit"/>
          <w:b/>
          <w:sz w:val="17"/>
        </w:rPr>
        <w:t>Seasonality</w:t>
      </w:r>
    </w:p>
    <w:p>
      <w:pPr>
        <w:pStyle w:val="TextBody"/>
        <w:spacing w:lineRule="auto" w:line="288" w:before="0" w:after="0"/>
        <w:ind w:left="0" w:right="0" w:firstLine="255"/>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We do not believe that our operations are seasonal in nature.</w:t>
      </w:r>
    </w:p>
    <w:p>
      <w:pPr>
        <w:pStyle w:val="TextBody"/>
        <w:spacing w:lineRule="auto" w:line="288" w:before="0" w:after="0"/>
        <w:jc w:val="both"/>
        <w:rPr/>
      </w:pPr>
      <w:r>
        <w:rPr/>
        <w:t> </w:t>
      </w:r>
    </w:p>
    <w:p>
      <w:pPr>
        <w:pStyle w:val="TextBody"/>
        <w:spacing w:lineRule="auto" w:line="288" w:before="0" w:after="0"/>
        <w:jc w:val="both"/>
        <w:rPr>
          <w:rFonts w:ascii="inherit" w:hAnsi="inherit"/>
          <w:b/>
          <w:sz w:val="17"/>
        </w:rPr>
      </w:pPr>
      <w:r>
        <w:rPr>
          <w:rFonts w:ascii="inherit" w:hAnsi="inherit"/>
          <w:b/>
          <w:sz w:val="17"/>
        </w:rPr>
        <w:t>Off-Balance Sheet Arrangements</w:t>
      </w:r>
    </w:p>
    <w:p>
      <w:pPr>
        <w:pStyle w:val="TextBody"/>
        <w:spacing w:lineRule="auto" w:line="288" w:before="0" w:after="0"/>
        <w:ind w:left="0" w:right="0" w:firstLine="255"/>
        <w:jc w:val="both"/>
        <w:rPr/>
      </w:pPr>
      <w:r>
        <w:rPr/>
        <w:t> </w:t>
      </w:r>
    </w:p>
    <w:p>
      <w:pPr>
        <w:pStyle w:val="TextBody"/>
        <w:spacing w:lineRule="auto" w:line="288" w:before="0" w:after="0"/>
        <w:ind w:left="0" w:right="0" w:firstLine="360"/>
        <w:jc w:val="both"/>
        <w:rPr>
          <w:rFonts w:ascii="inherit" w:hAnsi="inherit"/>
          <w:sz w:val="17"/>
        </w:rPr>
      </w:pPr>
      <w:r>
        <w:rPr>
          <w:rFonts w:ascii="inherit" w:hAnsi="inherit"/>
          <w:sz w:val="17"/>
        </w:rPr>
        <w:t>We do not have any off-balance sheet arrangements.</w:t>
      </w:r>
    </w:p>
    <w:p>
      <w:pPr>
        <w:pStyle w:val="TextBody"/>
        <w:spacing w:lineRule="auto" w:line="288" w:before="0" w:after="0"/>
        <w:jc w:val="left"/>
        <w:rPr/>
      </w:pPr>
      <w:r>
        <w:rPr/>
        <w:t> </w:t>
      </w:r>
    </w:p>
    <w:p>
      <w:pPr>
        <w:pStyle w:val="TextBody"/>
        <w:spacing w:lineRule="auto" w:line="288" w:before="0" w:after="0"/>
        <w:ind w:left="0" w:right="0" w:firstLine="60"/>
        <w:jc w:val="both"/>
        <w:rPr>
          <w:rFonts w:ascii="inherit" w:hAnsi="inherit"/>
          <w:b/>
          <w:sz w:val="17"/>
        </w:rPr>
      </w:pPr>
      <w:r>
        <w:rPr>
          <w:rFonts w:ascii="inherit" w:hAnsi="inherit"/>
          <w:b/>
          <w:sz w:val="17"/>
        </w:rPr>
        <w:t>Critical Accounting Policies and Estimates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left"/>
        <w:rPr>
          <w:sz w:val="17"/>
        </w:rPr>
      </w:pPr>
      <w:r>
        <w:rPr>
          <w:rFonts w:ascii="inherit" w:hAnsi="inherit"/>
          <w:sz w:val="17"/>
        </w:rPr>
        <w:t>There have been no material changes in our critical accounting policies and estimates during the three and six months ended</w:t>
      </w:r>
      <w:r>
        <w:rPr>
          <w:sz w:val="17"/>
        </w:rPr>
        <w:t xml:space="preserve"> </w:t>
      </w:r>
      <w:r>
        <w:rPr>
          <w:rFonts w:ascii="inherit" w:hAnsi="inherit"/>
          <w:sz w:val="17"/>
        </w:rPr>
        <w:t>June 30, 2019, compared to those reported in our 2018</w:t>
      </w:r>
      <w:r>
        <w:rPr>
          <w:sz w:val="17"/>
        </w:rPr>
        <w:t xml:space="preserve"> </w:t>
      </w:r>
      <w:r>
        <w:rPr>
          <w:rFonts w:ascii="inherit" w:hAnsi="inherit"/>
          <w:sz w:val="17"/>
        </w:rPr>
        <w:t>Form 10-K.</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8" w:name="s3CE8F031E86854DBB5A63CA3986F2D6F"/>
      <w:bookmarkEnd w:id="28"/>
      <w:r>
        <w:rPr>
          <w:rFonts w:ascii="inherit" w:hAnsi="inherit"/>
          <w:b/>
          <w:sz w:val="17"/>
        </w:rPr>
        <w:t>ITEM 3.  QUANTITATIVE AND QUALITATIVE DISCLOSURES ABOUT MARKET RISK</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DB36EF7CC0CF5E428CD637007BC76C1A">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435"/>
        <w:jc w:val="both"/>
        <w:rPr>
          <w:rFonts w:ascii="inherit" w:hAnsi="inherit"/>
          <w:sz w:val="17"/>
        </w:rPr>
      </w:pPr>
      <w:r>
        <w:rPr>
          <w:rFonts w:ascii="inherit" w:hAnsi="inherit"/>
          <w:sz w:val="17"/>
        </w:rPr>
        <w:t>Not applicable.</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9" w:name="s5F996F68BBEC5D1F97AD583B68B59BA1"/>
      <w:bookmarkEnd w:id="29"/>
      <w:r>
        <w:rPr>
          <w:rFonts w:ascii="inherit" w:hAnsi="inherit"/>
          <w:b/>
          <w:sz w:val="17"/>
        </w:rPr>
        <w:t>ITEM 4.  CONTROLS AND PROCEDURES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(a)  Disclosure Controls and Procedures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sz w:val="17"/>
        </w:rPr>
      </w:pPr>
      <w:r>
        <w:rPr>
          <w:rFonts w:ascii="inherit" w:hAnsi="inherit"/>
          <w:sz w:val="17"/>
        </w:rPr>
        <w:t xml:space="preserve">As of </w:t>
      </w:r>
      <w:r>
        <w:rPr>
          <w:rFonts w:ascii="inherit" w:hAnsi="inherit"/>
          <w:strike w:val="false"/>
          <w:dstrike w:val="false"/>
          <w:color w:val="000000"/>
          <w:sz w:val="17"/>
          <w:u w:val="none"/>
          <w:effect w:val="none"/>
        </w:rPr>
        <w:t>June 30, 2019</w:t>
      </w:r>
      <w:r>
        <w:rPr>
          <w:rFonts w:ascii="inherit" w:hAnsi="inherit"/>
          <w:sz w:val="17"/>
        </w:rPr>
        <w:t>, we carried out an evaluation, with the participation of our management, including our Chief Executive Officer and Chief Financial Officer, of the effectiveness of our disclosure controls and procedures pursuant to Rule 13a-15(e) and 15d-15(e) of the Exchange Act. Based on that evaluation, our Chief Executive Officer and Chief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and Chief Financial Officer, as appropriate to allow timely decisions regarding required disclosure.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(b)  Changes in Internal Control over Financial Reporting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DB36EF7CC0CF5E428CD637007BC76C1A">
        <w:bookmarkStart w:id="30" w:name="s8863E7ABE90859BB80BEB7F5246028D9"/>
        <w:bookmarkEnd w:id="30"/>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OTHER INFORMATION</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31" w:name="s213D012BD6925551B2B3A0834C52387B"/>
      <w:bookmarkEnd w:id="31"/>
      <w:r>
        <w:rPr>
          <w:rFonts w:ascii="inherit" w:hAnsi="inherit"/>
          <w:b/>
          <w:sz w:val="17"/>
        </w:rPr>
        <w:t>ITEM 1. LEGAL PROCEEDINGS</w:t>
      </w:r>
    </w:p>
    <w:p>
      <w:pPr>
        <w:pStyle w:val="TextBody"/>
        <w:spacing w:lineRule="auto" w:line="288" w:before="0" w:after="0"/>
        <w:jc w:val="both"/>
        <w:rPr/>
      </w:pPr>
      <w:r>
        <w:rPr/>
        <w:t xml:space="preserve">      </w:t>
      </w:r>
      <w:r>
        <w:rPr>
          <w:rFonts w:ascii="inherit" w:hAnsi="inherit"/>
          <w:sz w:val="17"/>
        </w:rPr>
        <w:t>There are no material changes to the disclosures previously reported in our 2018 Form 10-K.</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bookmarkStart w:id="32" w:name="sDDEFB2A8E54055889563BAA64BC26372"/>
      <w:bookmarkEnd w:id="32"/>
      <w:r>
        <w:rPr>
          <w:rFonts w:ascii="inherit" w:hAnsi="inherit"/>
          <w:b/>
          <w:sz w:val="17"/>
        </w:rPr>
        <w:t>ITEM 1A. RISK FACTORS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There have been no material changes to the risk factors previously reported in our 2018 Form 10-K. See the risk factors set forth in our 2018 Annual Report on Form 10-K under the caption "Item 1 A - Risk Factors."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bookmarkStart w:id="33" w:name="sBC02779E8C6A55A0A865D88E5CFEAB3C"/>
      <w:bookmarkEnd w:id="33"/>
      <w:r>
        <w:rPr>
          <w:rFonts w:ascii="inherit" w:hAnsi="inherit"/>
          <w:b/>
          <w:sz w:val="17"/>
        </w:rPr>
        <w:t>ITEM 2.  UNREGISTERED SALES OF EQUITY SECURITIES AND USE OF PROCEEDS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None.</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34" w:name="s9AB9AADAEAD053658A5B1FFE5FE1F33D"/>
      <w:bookmarkEnd w:id="34"/>
      <w:r>
        <w:rPr>
          <w:rFonts w:ascii="inherit" w:hAnsi="inherit"/>
          <w:b/>
          <w:sz w:val="17"/>
        </w:rPr>
        <w:t>ITEM 3.  DEFAULTS UPON SENIOR SECURITIES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rPr>
          <w:rFonts w:ascii="inherit" w:hAnsi="inherit"/>
          <w:sz w:val="17"/>
        </w:rPr>
      </w:pPr>
      <w:r>
        <w:rPr>
          <w:rFonts w:ascii="inherit" w:hAnsi="inherit"/>
          <w:sz w:val="17"/>
        </w:rPr>
        <w:t>None.</w:t>
      </w:r>
    </w:p>
    <w:p>
      <w:pPr>
        <w:pStyle w:val="TextBody"/>
        <w:spacing w:lineRule="auto" w:line="288" w:before="0" w:after="0"/>
        <w:rPr>
          <w:rFonts w:ascii="inherit" w:hAnsi="inherit"/>
          <w:sz w:val="17"/>
        </w:rPr>
      </w:pPr>
      <w:r>
        <w:rPr>
          <w:rFonts w:ascii="inherit" w:hAnsi="inherit"/>
          <w:sz w:val="17"/>
        </w:rPr>
      </w:r>
      <w:bookmarkStart w:id="35" w:name="sE97E7E3E7D635509852BE9B21E2C1F0A"/>
      <w:bookmarkStart w:id="36" w:name="sE97E7E3E7D635509852BE9B21E2C1F0A"/>
      <w:bookmarkEnd w:id="36"/>
    </w:p>
    <w:p>
      <w:pPr>
        <w:pStyle w:val="TextBody"/>
        <w:spacing w:lineRule="auto" w:line="288" w:before="0" w:after="0"/>
        <w:rPr>
          <w:rFonts w:ascii="inherit" w:hAnsi="inherit"/>
          <w:b/>
          <w:sz w:val="17"/>
        </w:rPr>
      </w:pPr>
      <w:r>
        <w:rPr>
          <w:rFonts w:ascii="inherit" w:hAnsi="inherit"/>
          <w:b/>
          <w:sz w:val="17"/>
        </w:rPr>
        <w:t>ITEM 4. MINE SAFETY DISCLOSURES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360"/>
        <w:jc w:val="left"/>
        <w:rPr>
          <w:rFonts w:ascii="inherit" w:hAnsi="inherit"/>
          <w:sz w:val="17"/>
        </w:rPr>
      </w:pPr>
      <w:r>
        <w:rPr>
          <w:rFonts w:ascii="inherit" w:hAnsi="inherit"/>
          <w:sz w:val="17"/>
        </w:rPr>
        <w:t>Not applicable.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bookmarkStart w:id="37" w:name="sAA66E515FB745F40BAD52D9E2905BC49"/>
      <w:bookmarkEnd w:id="37"/>
      <w:r>
        <w:rPr>
          <w:rFonts w:ascii="inherit" w:hAnsi="inherit"/>
          <w:b/>
          <w:sz w:val="17"/>
        </w:rPr>
        <w:t>ITEM 5. OTHER INFORMATION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None.</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bookmarkStart w:id="38" w:name="sF510BA79144D53D2A5CD35DC4920F6CB"/>
      <w:bookmarkEnd w:id="38"/>
      <w:r>
        <w:rPr>
          <w:rFonts w:ascii="inherit" w:hAnsi="inherit"/>
          <w:b/>
          <w:sz w:val="17"/>
        </w:rPr>
        <w:t>ITEM 6. EXHIBITS</w:t>
      </w:r>
    </w:p>
    <w:p>
      <w:pPr>
        <w:pStyle w:val="TextBody"/>
        <w:spacing w:lineRule="auto" w:line="288" w:before="0" w:after="0"/>
        <w:ind w:left="0" w:right="0" w:firstLine="720"/>
        <w:rPr>
          <w:rFonts w:ascii="inherit" w:hAnsi="inherit"/>
          <w:sz w:val="17"/>
        </w:rPr>
      </w:pPr>
      <w:r>
        <w:rPr>
          <w:rFonts w:ascii="inherit" w:hAnsi="inherit"/>
          <w:sz w:val="17"/>
        </w:rPr>
        <w:t>The Exhibit Index appearing immediately after the signature page to this Form 10-Q is incorporated herein by reference.</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DB36EF7CC0CF5E428CD637007BC76C1A">
        <w:bookmarkStart w:id="39" w:name="s10BCA983F2685A4EBA21A8EB575EA67B"/>
        <w:bookmarkEnd w:id="39"/>
        <w:r>
          <w:rPr>
            <w:rStyle w:val="InternetLink"/>
            <w:rFonts w:ascii="inherit" w:hAnsi="inherit"/>
            <w:sz w:val="13"/>
          </w:rPr>
          <w:t>Index</w:t>
        </w:r>
      </w:hyperlink>
    </w:p>
    <w:p>
      <w:pPr>
        <w:pStyle w:val="TextBody"/>
        <w:spacing w:before="0" w:after="0"/>
        <w:rPr/>
      </w:pPr>
      <w:r>
        <w:rPr/>
      </w:r>
    </w:p>
    <w:p>
      <w:pPr>
        <w:pStyle w:val="TextBody"/>
        <w:spacing w:lineRule="auto" w:line="288" w:before="0" w:after="0"/>
        <w:ind w:left="0" w:right="0" w:firstLine="180"/>
        <w:jc w:val="center"/>
        <w:rPr>
          <w:rFonts w:ascii="Arial" w:hAnsi="Arial"/>
          <w:b/>
          <w:sz w:val="17"/>
        </w:rPr>
      </w:pPr>
      <w:r>
        <w:rPr>
          <w:rFonts w:ascii="Arial" w:hAnsi="Arial"/>
          <w:b/>
          <w:sz w:val="17"/>
        </w:rPr>
        <w:t>SIGNATURES</w:t>
      </w:r>
    </w:p>
    <w:p>
      <w:pPr>
        <w:pStyle w:val="TextBody"/>
        <w:spacing w:lineRule="auto" w:line="288" w:before="0" w:after="0"/>
        <w:ind w:left="0" w:right="0" w:firstLine="720"/>
        <w:jc w:val="both"/>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tbl>
      <w:tblPr>
        <w:tblW w:w="9535" w:type="dxa"/>
        <w:jc w:val="center"/>
        <w:tblInd w:w="0" w:type="dxa"/>
        <w:tblCellMar>
          <w:top w:w="0" w:type="dxa"/>
          <w:left w:w="0" w:type="dxa"/>
          <w:bottom w:w="0" w:type="dxa"/>
          <w:right w:w="0" w:type="dxa"/>
        </w:tblCellMar>
      </w:tblPr>
      <w:tblGrid>
        <w:gridCol w:w="1310"/>
        <w:gridCol w:w="90"/>
        <w:gridCol w:w="8135"/>
      </w:tblGrid>
      <w:tr>
        <w:trPr/>
        <w:tc>
          <w:tcPr>
            <w:tcW w:w="9535" w:type="dxa"/>
            <w:gridSpan w:val="3"/>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1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1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center"/>
              <w:rPr/>
            </w:pPr>
            <w:r>
              <w:rPr/>
              <w:t> </w:t>
            </w:r>
          </w:p>
        </w:tc>
        <w:tc>
          <w:tcPr>
            <w:tcW w:w="813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center"/>
              <w:rPr/>
            </w:pPr>
            <w:r>
              <w:rPr/>
              <w:t> </w:t>
            </w:r>
          </w:p>
        </w:tc>
        <w:tc>
          <w:tcPr>
            <w:tcW w:w="813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CALADRIUS BIOSCIENCES, INC.</w:t>
            </w:r>
          </w:p>
        </w:tc>
      </w:tr>
      <w:tr>
        <w:trPr/>
        <w:tc>
          <w:tcPr>
            <w:tcW w:w="131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August 8, 2019</w:t>
            </w:r>
          </w:p>
        </w:tc>
        <w:tc>
          <w:tcPr>
            <w:tcW w:w="90" w:type="dxa"/>
            <w:tcBorders/>
            <w:shd w:fill="auto" w:val="clear"/>
            <w:vAlign w:val="center"/>
          </w:tcPr>
          <w:p>
            <w:pPr>
              <w:pStyle w:val="TableContents"/>
              <w:spacing w:before="0" w:after="0"/>
              <w:ind w:left="0" w:right="0" w:firstLine="30"/>
              <w:jc w:val="center"/>
              <w:rPr/>
            </w:pPr>
            <w:r>
              <w:rPr/>
              <w:t> </w:t>
            </w:r>
          </w:p>
        </w:tc>
        <w:tc>
          <w:tcPr>
            <w:tcW w:w="8135" w:type="dxa"/>
            <w:tcBorders/>
            <w:shd w:fill="auto" w:val="clear"/>
            <w:vAlign w:val="center"/>
          </w:tcPr>
          <w:p>
            <w:pPr>
              <w:pStyle w:val="TableContents"/>
              <w:spacing w:before="0" w:after="0"/>
              <w:rPr>
                <w:sz w:val="17"/>
              </w:rPr>
            </w:pPr>
            <w:r>
              <w:rPr>
                <w:rFonts w:ascii="inherit" w:hAnsi="inherit"/>
                <w:sz w:val="17"/>
              </w:rPr>
              <w:t xml:space="preserve">By: </w:t>
            </w:r>
            <w:r>
              <w:rPr>
                <w:sz w:val="17"/>
              </w:rPr>
              <w:t> </w:t>
            </w:r>
            <w:r>
              <w:rPr>
                <w:rFonts w:ascii="inherit" w:hAnsi="inherit"/>
                <w:sz w:val="17"/>
                <w:u w:val="single"/>
              </w:rPr>
              <w:t>/s/ David J. Mazzo, PhD</w:t>
            </w:r>
            <w:r>
              <w:rPr>
                <w:sz w:val="17"/>
              </w:rPr>
              <w:t>      </w:t>
            </w:r>
          </w:p>
          <w:p>
            <w:pPr>
              <w:pStyle w:val="TableContents"/>
              <w:spacing w:before="0" w:after="0"/>
              <w:rPr>
                <w:rFonts w:ascii="inherit" w:hAnsi="inherit"/>
                <w:sz w:val="17"/>
              </w:rPr>
            </w:pPr>
            <w:r>
              <w:rPr>
                <w:rFonts w:ascii="inherit" w:hAnsi="inherit"/>
                <w:sz w:val="17"/>
              </w:rPr>
              <w:t xml:space="preserve">Name: David J. Mazzo, PhD </w:t>
            </w:r>
          </w:p>
          <w:p>
            <w:pPr>
              <w:pStyle w:val="TableContents"/>
              <w:spacing w:before="0" w:after="0"/>
              <w:rPr>
                <w:rFonts w:ascii="inherit" w:hAnsi="inherit"/>
                <w:sz w:val="17"/>
              </w:rPr>
            </w:pPr>
            <w:r>
              <w:rPr>
                <w:rFonts w:ascii="inherit" w:hAnsi="inherit"/>
                <w:sz w:val="17"/>
              </w:rPr>
              <w:t>Title: President and Chief Executive Officer</w:t>
            </w:r>
          </w:p>
          <w:p>
            <w:pPr>
              <w:pStyle w:val="TableContents"/>
              <w:spacing w:before="0" w:after="0"/>
              <w:ind w:left="0" w:right="0" w:firstLine="30"/>
              <w:rPr>
                <w:rFonts w:ascii="inherit" w:hAnsi="inherit"/>
                <w:sz w:val="17"/>
              </w:rPr>
            </w:pPr>
            <w:r>
              <w:rPr>
                <w:rFonts w:ascii="inherit" w:hAnsi="inherit"/>
                <w:sz w:val="17"/>
              </w:rPr>
              <w:t>(Principal Executive Officer)</w:t>
            </w:r>
          </w:p>
        </w:tc>
      </w:tr>
      <w:tr>
        <w:trPr/>
        <w:tc>
          <w:tcPr>
            <w:tcW w:w="131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August 8, 2019</w:t>
            </w:r>
          </w:p>
        </w:tc>
        <w:tc>
          <w:tcPr>
            <w:tcW w:w="90" w:type="dxa"/>
            <w:tcBorders/>
            <w:shd w:fill="auto" w:val="clear"/>
            <w:vAlign w:val="center"/>
          </w:tcPr>
          <w:p>
            <w:pPr>
              <w:pStyle w:val="TableContents"/>
              <w:spacing w:before="0" w:after="0"/>
              <w:ind w:left="0" w:right="0" w:firstLine="30"/>
              <w:rPr/>
            </w:pPr>
            <w:r>
              <w:rPr/>
              <w:t> </w:t>
            </w:r>
          </w:p>
        </w:tc>
        <w:tc>
          <w:tcPr>
            <w:tcW w:w="8135" w:type="dxa"/>
            <w:tcBorders/>
            <w:shd w:fill="auto" w:val="clear"/>
            <w:vAlign w:val="center"/>
          </w:tcPr>
          <w:p>
            <w:pPr>
              <w:pStyle w:val="TableContents"/>
              <w:spacing w:before="0" w:after="0"/>
              <w:jc w:val="left"/>
              <w:rPr>
                <w:sz w:val="17"/>
              </w:rPr>
            </w:pPr>
            <w:r>
              <w:rPr>
                <w:rFonts w:ascii="inherit" w:hAnsi="inherit"/>
                <w:sz w:val="17"/>
              </w:rPr>
              <w:t xml:space="preserve">By: </w:t>
            </w:r>
            <w:r>
              <w:rPr>
                <w:rFonts w:ascii="inherit" w:hAnsi="inherit"/>
                <w:sz w:val="17"/>
                <w:u w:val="single"/>
              </w:rPr>
              <w:t>/s/ Joseph Talamo</w:t>
            </w:r>
            <w:r>
              <w:rPr>
                <w:sz w:val="17"/>
              </w:rPr>
              <w:t>                    </w:t>
            </w:r>
          </w:p>
          <w:p>
            <w:pPr>
              <w:pStyle w:val="TableContents"/>
              <w:spacing w:before="0" w:after="0"/>
              <w:jc w:val="left"/>
              <w:rPr>
                <w:rFonts w:ascii="inherit" w:hAnsi="inherit"/>
                <w:sz w:val="17"/>
              </w:rPr>
            </w:pPr>
            <w:r>
              <w:rPr>
                <w:rFonts w:ascii="inherit" w:hAnsi="inherit"/>
                <w:sz w:val="17"/>
              </w:rPr>
              <w:t xml:space="preserve">Name: Joseph Talamo </w:t>
            </w:r>
          </w:p>
          <w:p>
            <w:pPr>
              <w:pStyle w:val="TableContents"/>
              <w:spacing w:before="0" w:after="0"/>
              <w:jc w:val="left"/>
              <w:rPr>
                <w:rFonts w:ascii="inherit" w:hAnsi="inherit"/>
                <w:sz w:val="17"/>
              </w:rPr>
            </w:pPr>
            <w:r>
              <w:rPr>
                <w:rFonts w:ascii="inherit" w:hAnsi="inherit"/>
                <w:sz w:val="17"/>
              </w:rPr>
              <w:t>Title: Senior Vice President and Chief Financial Officer (Principal Financial and Accounting Officer)</w:t>
            </w:r>
          </w:p>
        </w:tc>
      </w:tr>
    </w:tbl>
    <w:p>
      <w:pPr>
        <w:pStyle w:val="TextBody"/>
        <w:spacing w:lineRule="auto" w:line="288" w:before="0" w:after="0"/>
        <w:ind w:left="0" w:right="0" w:firstLine="315"/>
        <w:jc w:val="both"/>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DB36EF7CC0CF5E428CD637007BC76C1A">
        <w:bookmarkStart w:id="40" w:name="sC07647FACBD959A99D8C1916DB533AEF"/>
        <w:bookmarkEnd w:id="40"/>
        <w:r>
          <w:rPr>
            <w:rStyle w:val="InternetLink"/>
            <w:rFonts w:ascii="inherit" w:hAnsi="inherit"/>
            <w:sz w:val="13"/>
          </w:rPr>
          <w:t>Index</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CALADRIUS BIOSCIENCES, INC.</w:t>
      </w:r>
    </w:p>
    <w:p>
      <w:pPr>
        <w:pStyle w:val="TextBody"/>
        <w:spacing w:lineRule="auto" w:line="288" w:before="0" w:after="0"/>
        <w:jc w:val="center"/>
        <w:rPr>
          <w:rFonts w:ascii="inherit" w:hAnsi="inherit"/>
          <w:b/>
          <w:sz w:val="17"/>
        </w:rPr>
      </w:pPr>
      <w:r>
        <w:rPr>
          <w:rFonts w:ascii="inherit" w:hAnsi="inherit"/>
          <w:b/>
          <w:sz w:val="17"/>
        </w:rPr>
        <w:t>FORM 10-Q</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jc w:val="both"/>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649"/>
        <w:gridCol w:w="189"/>
        <w:gridCol w:w="936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4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3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9" w:type="dxa"/>
            <w:tcBorders/>
            <w:shd w:fill="CCEEFF" w:val="clear"/>
            <w:vAlign w:val="center"/>
          </w:tcPr>
          <w:p>
            <w:pPr>
              <w:pStyle w:val="TableContents"/>
              <w:spacing w:before="0" w:after="0"/>
              <w:ind w:left="0" w:right="0" w:firstLine="30"/>
              <w:jc w:val="center"/>
              <w:rPr/>
            </w:pPr>
            <w:hyperlink w:anchor="clbs-ex311_20190630xq2.htm">
              <w:r>
                <w:rPr>
                  <w:rStyle w:val="InternetLink"/>
                  <w:rFonts w:ascii="inherit" w:hAnsi="inherit"/>
                  <w:color w:val="0000FF"/>
                  <w:sz w:val="15"/>
                  <w:u w:val="single"/>
                </w:rPr>
                <w:t>31.1</w:t>
              </w:r>
            </w:hyperlink>
          </w:p>
        </w:tc>
        <w:tc>
          <w:tcPr>
            <w:tcW w:w="18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36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Chief Executive Officer pursuant to Section 302 of the Sarbanes-Oxley Act of 2002</w:t>
            </w:r>
          </w:p>
        </w:tc>
      </w:tr>
      <w:tr>
        <w:trPr/>
        <w:tc>
          <w:tcPr>
            <w:tcW w:w="649" w:type="dxa"/>
            <w:tcBorders/>
            <w:shd w:fill="auto" w:val="clear"/>
            <w:vAlign w:val="center"/>
          </w:tcPr>
          <w:p>
            <w:pPr>
              <w:pStyle w:val="TableContents"/>
              <w:spacing w:before="0" w:after="0"/>
              <w:ind w:left="0" w:right="0" w:firstLine="30"/>
              <w:jc w:val="center"/>
              <w:rPr/>
            </w:pPr>
            <w:hyperlink w:anchor="clbs-ex312_20190630xq2.htm">
              <w:r>
                <w:rPr>
                  <w:rStyle w:val="InternetLink"/>
                  <w:rFonts w:ascii="inherit" w:hAnsi="inherit"/>
                  <w:color w:val="0000FF"/>
                  <w:sz w:val="15"/>
                  <w:u w:val="single"/>
                </w:rPr>
                <w:t>31.2</w:t>
              </w:r>
            </w:hyperlink>
          </w:p>
        </w:tc>
        <w:tc>
          <w:tcPr>
            <w:tcW w:w="18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36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Certification of Chief Financial Officer pursuant to Section 302 of the Sarbanes-Oxley Act of 2002 </w:t>
            </w:r>
          </w:p>
        </w:tc>
      </w:tr>
      <w:tr>
        <w:trPr/>
        <w:tc>
          <w:tcPr>
            <w:tcW w:w="649" w:type="dxa"/>
            <w:tcBorders/>
            <w:shd w:fill="CCEEFF" w:val="clear"/>
            <w:vAlign w:val="center"/>
          </w:tcPr>
          <w:p>
            <w:pPr>
              <w:pStyle w:val="TableContents"/>
              <w:spacing w:before="0" w:after="0"/>
              <w:ind w:left="0" w:right="0" w:firstLine="30"/>
              <w:jc w:val="center"/>
              <w:rPr/>
            </w:pPr>
            <w:hyperlink w:anchor="clbs-ex321_20190630xq2.htm">
              <w:r>
                <w:rPr>
                  <w:rStyle w:val="InternetLink"/>
                  <w:rFonts w:ascii="inherit" w:hAnsi="inherit"/>
                  <w:color w:val="0000FF"/>
                  <w:sz w:val="15"/>
                  <w:u w:val="single"/>
                </w:rPr>
                <w:t>32.1</w:t>
              </w:r>
            </w:hyperlink>
          </w:p>
        </w:tc>
        <w:tc>
          <w:tcPr>
            <w:tcW w:w="18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36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Chief Executive Officer pursuant to 18 U.S.C. Section 1350, as adopted pursuant to Section 906 of the Sarbanes-Oxley Act of 2002</w:t>
            </w:r>
          </w:p>
        </w:tc>
      </w:tr>
      <w:tr>
        <w:trPr/>
        <w:tc>
          <w:tcPr>
            <w:tcW w:w="649" w:type="dxa"/>
            <w:tcBorders/>
            <w:shd w:fill="auto" w:val="clear"/>
            <w:vAlign w:val="center"/>
          </w:tcPr>
          <w:p>
            <w:pPr>
              <w:pStyle w:val="TableContents"/>
              <w:spacing w:before="0" w:after="0"/>
              <w:ind w:left="0" w:right="0" w:firstLine="30"/>
              <w:jc w:val="center"/>
              <w:rPr/>
            </w:pPr>
            <w:hyperlink w:anchor="clbs-ex322_20190630xq2.htm">
              <w:r>
                <w:rPr>
                  <w:rStyle w:val="InternetLink"/>
                  <w:rFonts w:ascii="inherit" w:hAnsi="inherit"/>
                  <w:color w:val="0000FF"/>
                  <w:sz w:val="15"/>
                  <w:u w:val="single"/>
                </w:rPr>
                <w:t>32.2</w:t>
              </w:r>
            </w:hyperlink>
          </w:p>
        </w:tc>
        <w:tc>
          <w:tcPr>
            <w:tcW w:w="18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36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Certification of Chief Financial Officer pursuant to 18 U.S.C. Section 1350, as adopted pursuant to Section 906 of the Sarbanes-Oxley Act of 2002</w:t>
            </w:r>
          </w:p>
        </w:tc>
      </w:tr>
      <w:tr>
        <w:trPr/>
        <w:tc>
          <w:tcPr>
            <w:tcW w:w="64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101.INS</w:t>
            </w:r>
          </w:p>
        </w:tc>
        <w:tc>
          <w:tcPr>
            <w:tcW w:w="189" w:type="dxa"/>
            <w:tcBorders/>
            <w:shd w:fill="CCEEFF" w:val="clear"/>
            <w:vAlign w:val="center"/>
          </w:tcPr>
          <w:p>
            <w:pPr>
              <w:pStyle w:val="TableContents"/>
              <w:spacing w:before="0" w:after="0"/>
              <w:ind w:left="0" w:right="0" w:firstLine="30"/>
              <w:rPr/>
            </w:pPr>
            <w:r>
              <w:rPr/>
              <w:t> </w:t>
            </w:r>
          </w:p>
        </w:tc>
        <w:tc>
          <w:tcPr>
            <w:tcW w:w="936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XBRL Instance Document</w:t>
            </w:r>
          </w:p>
        </w:tc>
      </w:tr>
      <w:tr>
        <w:trPr/>
        <w:tc>
          <w:tcPr>
            <w:tcW w:w="64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101.SCH</w:t>
            </w:r>
          </w:p>
        </w:tc>
        <w:tc>
          <w:tcPr>
            <w:tcW w:w="189" w:type="dxa"/>
            <w:tcBorders/>
            <w:shd w:fill="auto" w:val="clear"/>
            <w:vAlign w:val="center"/>
          </w:tcPr>
          <w:p>
            <w:pPr>
              <w:pStyle w:val="TableContents"/>
              <w:spacing w:before="0" w:after="0"/>
              <w:ind w:left="0" w:right="0" w:firstLine="30"/>
              <w:rPr/>
            </w:pPr>
            <w:r>
              <w:rPr/>
              <w:t> </w:t>
            </w:r>
          </w:p>
        </w:tc>
        <w:tc>
          <w:tcPr>
            <w:tcW w:w="936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Schema</w:t>
            </w:r>
          </w:p>
        </w:tc>
      </w:tr>
      <w:tr>
        <w:trPr/>
        <w:tc>
          <w:tcPr>
            <w:tcW w:w="64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101.CAL</w:t>
            </w:r>
          </w:p>
        </w:tc>
        <w:tc>
          <w:tcPr>
            <w:tcW w:w="189" w:type="dxa"/>
            <w:tcBorders/>
            <w:shd w:fill="CCEEFF" w:val="clear"/>
            <w:vAlign w:val="center"/>
          </w:tcPr>
          <w:p>
            <w:pPr>
              <w:pStyle w:val="TableContents"/>
              <w:spacing w:before="0" w:after="0"/>
              <w:ind w:left="0" w:right="0" w:firstLine="30"/>
              <w:rPr/>
            </w:pPr>
            <w:r>
              <w:rPr/>
              <w:t> </w:t>
            </w:r>
          </w:p>
        </w:tc>
        <w:tc>
          <w:tcPr>
            <w:tcW w:w="936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Calculation Linkbase</w:t>
            </w:r>
          </w:p>
        </w:tc>
      </w:tr>
      <w:tr>
        <w:trPr/>
        <w:tc>
          <w:tcPr>
            <w:tcW w:w="64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101.DEF</w:t>
            </w:r>
          </w:p>
        </w:tc>
        <w:tc>
          <w:tcPr>
            <w:tcW w:w="189" w:type="dxa"/>
            <w:tcBorders/>
            <w:shd w:fill="auto" w:val="clear"/>
            <w:vAlign w:val="center"/>
          </w:tcPr>
          <w:p>
            <w:pPr>
              <w:pStyle w:val="TableContents"/>
              <w:spacing w:before="0" w:after="0"/>
              <w:ind w:left="0" w:right="0" w:firstLine="30"/>
              <w:rPr/>
            </w:pPr>
            <w:r>
              <w:rPr/>
              <w:t> </w:t>
            </w:r>
          </w:p>
        </w:tc>
        <w:tc>
          <w:tcPr>
            <w:tcW w:w="936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Definition Linkbase</w:t>
            </w:r>
          </w:p>
        </w:tc>
      </w:tr>
      <w:tr>
        <w:trPr/>
        <w:tc>
          <w:tcPr>
            <w:tcW w:w="649" w:type="dxa"/>
            <w:tcBorders/>
            <w:shd w:fill="CCEEFF" w:val="clear"/>
            <w:vAlign w:val="center"/>
          </w:tcPr>
          <w:p>
            <w:pPr>
              <w:pStyle w:val="TableContents"/>
              <w:spacing w:before="0" w:after="0"/>
              <w:ind w:left="0" w:right="0" w:firstLine="30"/>
              <w:jc w:val="center"/>
              <w:rPr>
                <w:rFonts w:ascii="inherit" w:hAnsi="inherit"/>
                <w:sz w:val="15"/>
              </w:rPr>
            </w:pPr>
            <w:r>
              <w:rPr>
                <w:rFonts w:ascii="inherit" w:hAnsi="inherit"/>
                <w:sz w:val="15"/>
              </w:rPr>
              <w:t>101.LAB</w:t>
            </w:r>
          </w:p>
        </w:tc>
        <w:tc>
          <w:tcPr>
            <w:tcW w:w="189" w:type="dxa"/>
            <w:tcBorders/>
            <w:shd w:fill="CCEEFF" w:val="clear"/>
            <w:vAlign w:val="center"/>
          </w:tcPr>
          <w:p>
            <w:pPr>
              <w:pStyle w:val="TableContents"/>
              <w:spacing w:before="0" w:after="0"/>
              <w:ind w:left="0" w:right="0" w:firstLine="30"/>
              <w:rPr/>
            </w:pPr>
            <w:r>
              <w:rPr/>
              <w:t> </w:t>
            </w:r>
          </w:p>
        </w:tc>
        <w:tc>
          <w:tcPr>
            <w:tcW w:w="936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XBRL Taxonomy Extension Label Linkbase</w:t>
            </w:r>
          </w:p>
        </w:tc>
      </w:tr>
      <w:tr>
        <w:trPr/>
        <w:tc>
          <w:tcPr>
            <w:tcW w:w="649"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101.PRE</w:t>
            </w:r>
          </w:p>
        </w:tc>
        <w:tc>
          <w:tcPr>
            <w:tcW w:w="189" w:type="dxa"/>
            <w:tcBorders/>
            <w:shd w:fill="auto" w:val="clear"/>
            <w:vAlign w:val="center"/>
          </w:tcPr>
          <w:p>
            <w:pPr>
              <w:pStyle w:val="TableContents"/>
              <w:spacing w:before="0" w:after="0"/>
              <w:ind w:left="0" w:right="0" w:firstLine="30"/>
              <w:rPr/>
            </w:pPr>
            <w:r>
              <w:rPr/>
              <w:t> </w:t>
            </w:r>
          </w:p>
        </w:tc>
        <w:tc>
          <w:tcPr>
            <w:tcW w:w="9367" w:type="dxa"/>
            <w:tcBorders/>
            <w:shd w:fill="auto" w:val="clear"/>
            <w:vAlign w:val="center"/>
          </w:tcPr>
          <w:p>
            <w:pPr>
              <w:pStyle w:val="TableContents"/>
              <w:spacing w:before="0" w:after="0"/>
              <w:jc w:val="left"/>
              <w:rPr>
                <w:rFonts w:ascii="inherit" w:hAnsi="inherit"/>
                <w:sz w:val="15"/>
              </w:rPr>
            </w:pPr>
            <w:r>
              <w:rPr>
                <w:rFonts w:ascii="inherit" w:hAnsi="inherit"/>
                <w:sz w:val="15"/>
              </w:rPr>
              <w:t>XBRL Taxonomy Extension Presentation Linkbase</w:t>
            </w:r>
          </w:p>
        </w:tc>
      </w:tr>
    </w:tbl>
    <w:p>
      <w:pPr>
        <w:pStyle w:val="TextBody"/>
        <w:spacing w:lineRule="auto" w:line="288" w:before="0" w:after="0"/>
        <w:jc w:val="left"/>
        <w:rPr>
          <w:rFonts w:ascii="inherit" w:hAnsi="inherit"/>
          <w:sz w:val="20"/>
        </w:rPr>
      </w:pPr>
      <w:r>
        <w:rPr>
          <w:rFonts w:ascii="inherit" w:hAnsi="inherit"/>
          <w:sz w:val="20"/>
        </w:rPr>
        <w:t>_______________</w:t>
      </w:r>
    </w:p>
    <w:p>
      <w:pPr>
        <w:pStyle w:val="TextBody"/>
        <w:spacing w:lineRule="auto" w:line="288" w:before="0" w:after="0"/>
        <w:jc w:val="left"/>
        <w:rPr>
          <w:rFonts w:ascii="inherit" w:hAnsi="inherit"/>
          <w:sz w:val="17"/>
        </w:rPr>
      </w:pPr>
      <w:r>
        <w:rPr>
          <w:rFonts w:ascii="inherit" w:hAnsi="inherit"/>
          <w:sz w:val="17"/>
        </w:rPr>
      </w:r>
    </w:p>
    <w:tbl>
      <w:tblPr>
        <w:tblW w:w="1930" w:type="dxa"/>
        <w:jc w:val="center"/>
        <w:tblInd w:w="0" w:type="dxa"/>
        <w:tblCellMar>
          <w:top w:w="0" w:type="dxa"/>
          <w:left w:w="0" w:type="dxa"/>
          <w:bottom w:w="0" w:type="dxa"/>
          <w:right w:w="0" w:type="dxa"/>
        </w:tblCellMar>
      </w:tblPr>
      <w:tblGrid>
        <w:gridCol w:w="245"/>
        <w:gridCol w:w="1685"/>
      </w:tblGrid>
      <w:tr>
        <w:trPr/>
        <w:tc>
          <w:tcPr>
            <w:tcW w:w="1930"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Filed herewith.</w:t>
            </w:r>
          </w:p>
        </w:tc>
      </w:tr>
      <w:tr>
        <w:trPr/>
        <w:tc>
          <w:tcPr>
            <w:tcW w:w="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85" w:type="dxa"/>
            <w:tcBorders/>
            <w:shd w:fill="auto" w:val="clear"/>
            <w:vAlign w:val="center"/>
          </w:tcPr>
          <w:p>
            <w:pPr>
              <w:pStyle w:val="TableContents"/>
              <w:spacing w:before="0" w:after="0"/>
              <w:jc w:val="left"/>
              <w:rPr>
                <w:rFonts w:ascii="inherit" w:hAnsi="inherit"/>
                <w:sz w:val="17"/>
              </w:rPr>
            </w:pPr>
            <w:r>
              <w:rPr>
                <w:rFonts w:ascii="inherit" w:hAnsi="inherit"/>
                <w:sz w:val="17"/>
              </w:rPr>
              <w:t>Furnished herewith.</w:t>
            </w:r>
          </w:p>
        </w:tc>
      </w:tr>
    </w:tbl>
    <w:p>
      <w:pPr>
        <w:pStyle w:val="TextBody"/>
        <w:spacing w:lineRule="auto" w:line="288" w:before="0" w:after="0"/>
        <w:jc w:val="left"/>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jc w:val="right"/>
        <w:rPr>
          <w:rFonts w:ascii="inherit" w:hAnsi="inherit"/>
          <w:b/>
          <w:sz w:val="17"/>
        </w:rPr>
      </w:pPr>
      <w:bookmarkStart w:id="41" w:name="s4AC05D04B7645D4F928B2EEE48D15011"/>
      <w:bookmarkStart w:id="42" w:name="clbs-ex311_20190630xq2.htm"/>
      <w:bookmarkStart w:id="43" w:name="ksclbsex311_20190630xq2"/>
      <w:bookmarkEnd w:id="41"/>
      <w:bookmarkEnd w:id="42"/>
      <w:bookmarkEnd w:id="43"/>
      <w:r>
        <w:rPr>
          <w:rFonts w:ascii="inherit" w:hAnsi="inherit"/>
          <w:b/>
          <w:sz w:val="17"/>
        </w:rPr>
        <w:t>Exhibit 31.1</w:t>
      </w:r>
    </w:p>
    <w:p>
      <w:pPr>
        <w:pStyle w:val="TextBody"/>
        <w:spacing w:lineRule="auto" w:line="288" w:before="0" w:after="0"/>
        <w:jc w:val="left"/>
        <w:rPr/>
      </w:pPr>
      <w:r>
        <w:rPr/>
        <w:t> </w:t>
      </w:r>
    </w:p>
    <w:p>
      <w:pPr>
        <w:pStyle w:val="TextBody"/>
        <w:spacing w:lineRule="auto" w:line="288" w:before="0" w:after="0"/>
        <w:jc w:val="center"/>
        <w:rPr>
          <w:rFonts w:ascii="inherit" w:hAnsi="inherit"/>
          <w:b/>
          <w:sz w:val="17"/>
        </w:rPr>
      </w:pPr>
      <w:r>
        <w:rPr>
          <w:rFonts w:ascii="inherit" w:hAnsi="inherit"/>
          <w:b/>
          <w:sz w:val="17"/>
        </w:rPr>
        <w:t>CERTIFICATION</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I, David J. Mazzo,PhD, certify that: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1.  I have reviewed this Quarterly Report on Form 10-Q of Caladrius Biosciences, Inc.;</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b) Any fraud, whether or not material, that involves management or other employees who have a significant role in the registrant's internal control over financial reporting.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Date: </w:t>
      </w:r>
      <w:r>
        <w:rPr>
          <w:rFonts w:ascii="inherit" w:hAnsi="inherit"/>
          <w:strike w:val="false"/>
          <w:dstrike w:val="false"/>
          <w:color w:val="000000"/>
          <w:sz w:val="17"/>
          <w:u w:val="none"/>
          <w:effect w:val="none"/>
        </w:rPr>
        <w:t>August 8, 2019</w:t>
      </w:r>
      <w:r>
        <w:rPr>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u w:val="single"/>
        </w:rPr>
      </w:pPr>
      <w:r>
        <w:rPr>
          <w:rFonts w:ascii="inherit" w:hAnsi="inherit"/>
          <w:sz w:val="17"/>
          <w:u w:val="single"/>
        </w:rPr>
        <w:t xml:space="preserve">/s/ David J. Mazzo, PhD     </w:t>
      </w:r>
    </w:p>
    <w:p>
      <w:pPr>
        <w:pStyle w:val="TextBody"/>
        <w:spacing w:lineRule="auto" w:line="288" w:before="0" w:after="0"/>
        <w:jc w:val="both"/>
        <w:rPr>
          <w:rFonts w:ascii="inherit" w:hAnsi="inherit"/>
          <w:sz w:val="17"/>
        </w:rPr>
      </w:pPr>
      <w:r>
        <w:rPr>
          <w:rFonts w:ascii="inherit" w:hAnsi="inherit"/>
          <w:sz w:val="17"/>
        </w:rPr>
        <w:t>Name: David J. Mazzo, PhD</w:t>
      </w:r>
    </w:p>
    <w:p>
      <w:pPr>
        <w:pStyle w:val="TextBody"/>
        <w:spacing w:lineRule="auto" w:line="288" w:before="0" w:after="0"/>
        <w:jc w:val="both"/>
        <w:rPr>
          <w:rFonts w:ascii="inherit" w:hAnsi="inherit"/>
          <w:sz w:val="17"/>
        </w:rPr>
      </w:pPr>
      <w:r>
        <w:rPr>
          <w:rFonts w:ascii="inherit" w:hAnsi="inherit"/>
          <w:sz w:val="17"/>
        </w:rPr>
        <w:t xml:space="preserve">Title: President and Chief Executive Officer (Principal Executive Officer) </w:t>
      </w:r>
    </w:p>
    <w:p>
      <w:pPr>
        <w:pStyle w:val="TextBody"/>
        <w:rPr/>
      </w:pPr>
      <w:r>
        <w:rPr/>
      </w:r>
      <w:r>
        <w:br w:type="page"/>
      </w:r>
    </w:p>
    <w:p>
      <w:pPr>
        <w:pStyle w:val="TextBody"/>
        <w:spacing w:lineRule="auto" w:line="288" w:before="0" w:after="0"/>
        <w:jc w:val="right"/>
        <w:rPr>
          <w:rFonts w:ascii="inherit" w:hAnsi="inherit"/>
          <w:b/>
          <w:sz w:val="17"/>
        </w:rPr>
      </w:pPr>
      <w:bookmarkStart w:id="44" w:name="sF99A412E3AE05E4E9E2D5B85A572E67D"/>
      <w:bookmarkStart w:id="45" w:name="clbs-ex312_20190630xq2.htm"/>
      <w:bookmarkStart w:id="46" w:name="ksclbsex312_20190630xq2"/>
      <w:bookmarkEnd w:id="44"/>
      <w:bookmarkEnd w:id="45"/>
      <w:bookmarkEnd w:id="46"/>
      <w:r>
        <w:rPr>
          <w:rFonts w:ascii="inherit" w:hAnsi="inherit"/>
          <w:b/>
          <w:sz w:val="17"/>
        </w:rPr>
        <w:t>Exhibit 31.2</w:t>
      </w:r>
    </w:p>
    <w:p>
      <w:pPr>
        <w:pStyle w:val="TextBody"/>
        <w:spacing w:lineRule="auto" w:line="288" w:before="0" w:after="0"/>
        <w:jc w:val="center"/>
        <w:rPr/>
      </w:pPr>
      <w:r>
        <w:rPr/>
        <w:t> </w:t>
      </w:r>
    </w:p>
    <w:p>
      <w:pPr>
        <w:pStyle w:val="TextBody"/>
        <w:spacing w:lineRule="auto" w:line="288" w:before="0" w:after="0"/>
        <w:jc w:val="center"/>
        <w:rPr>
          <w:rFonts w:ascii="inherit" w:hAnsi="inherit"/>
          <w:b/>
          <w:sz w:val="17"/>
        </w:rPr>
      </w:pPr>
      <w:r>
        <w:rPr>
          <w:rFonts w:ascii="inherit" w:hAnsi="inherit"/>
          <w:b/>
          <w:sz w:val="17"/>
        </w:rPr>
        <w:t>CERTIFICATION</w:t>
      </w:r>
    </w:p>
    <w:p>
      <w:pPr>
        <w:pStyle w:val="TextBody"/>
        <w:spacing w:lineRule="auto" w:line="288" w:before="0" w:after="0"/>
        <w:jc w:val="left"/>
        <w:rPr/>
      </w:pPr>
      <w:r>
        <w:rPr/>
        <w:t> </w:t>
      </w:r>
    </w:p>
    <w:p>
      <w:pPr>
        <w:pStyle w:val="TextBody"/>
        <w:spacing w:lineRule="auto" w:line="288" w:before="0" w:after="0"/>
        <w:jc w:val="both"/>
        <w:rPr>
          <w:rFonts w:ascii="inherit" w:hAnsi="inherit"/>
          <w:sz w:val="17"/>
        </w:rPr>
      </w:pPr>
      <w:r>
        <w:rPr>
          <w:rFonts w:ascii="inherit" w:hAnsi="inherit"/>
          <w:sz w:val="17"/>
        </w:rPr>
        <w:t>I, Joseph Talamo, certify that: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1.  I have reviewed this Quarterly Report on Form 10-Q of Caladrius Biosciences, Inc.;</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ind w:left="0" w:right="0" w:firstLine="720"/>
        <w:jc w:val="both"/>
        <w:rPr/>
      </w:pPr>
      <w:r>
        <w:rPr/>
        <w:t> </w:t>
      </w:r>
    </w:p>
    <w:p>
      <w:pPr>
        <w:pStyle w:val="TextBody"/>
        <w:spacing w:lineRule="auto" w:line="288" w:before="0" w:after="0"/>
        <w:ind w:left="0" w:right="0" w:firstLine="720"/>
        <w:jc w:val="both"/>
        <w:rPr>
          <w:rFonts w:ascii="inherit" w:hAnsi="inherit"/>
          <w:sz w:val="17"/>
        </w:rPr>
      </w:pPr>
      <w:r>
        <w:rPr>
          <w:rFonts w:ascii="inherit" w:hAnsi="inherit"/>
          <w:sz w:val="17"/>
        </w:rPr>
        <w:t>b) Any fraud, whether or not material, that involves management or other employees who have a significant role in the registrant's internal control over financial reporting.</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Date: </w:t>
      </w:r>
      <w:r>
        <w:rPr>
          <w:rFonts w:ascii="inherit" w:hAnsi="inherit"/>
          <w:strike w:val="false"/>
          <w:dstrike w:val="false"/>
          <w:color w:val="000000"/>
          <w:sz w:val="17"/>
          <w:u w:val="none"/>
          <w:effect w:val="none"/>
        </w:rPr>
        <w:t>August 8, 2019</w:t>
      </w:r>
      <w:r>
        <w:rPr>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 </w:t>
      </w:r>
      <w:r>
        <w:rPr>
          <w:rFonts w:ascii="inherit" w:hAnsi="inherit"/>
          <w:sz w:val="17"/>
          <w:u w:val="single"/>
        </w:rPr>
        <w:t>/s/ Joseph Talamo</w:t>
      </w:r>
      <w:r>
        <w:rPr>
          <w:sz w:val="17"/>
        </w:rPr>
        <w:t xml:space="preserve">       </w:t>
      </w:r>
    </w:p>
    <w:p>
      <w:pPr>
        <w:pStyle w:val="TextBody"/>
        <w:spacing w:lineRule="auto" w:line="288" w:before="0" w:after="0"/>
        <w:jc w:val="both"/>
        <w:rPr>
          <w:rFonts w:ascii="inherit" w:hAnsi="inherit"/>
          <w:sz w:val="17"/>
        </w:rPr>
      </w:pPr>
      <w:r>
        <w:rPr>
          <w:rFonts w:ascii="inherit" w:hAnsi="inherit"/>
          <w:sz w:val="17"/>
        </w:rPr>
        <w:t>Name: Joseph Talamo</w:t>
      </w:r>
    </w:p>
    <w:p>
      <w:pPr>
        <w:pStyle w:val="TextBody"/>
        <w:spacing w:lineRule="auto" w:line="288" w:before="0" w:after="0"/>
        <w:jc w:val="both"/>
        <w:rPr>
          <w:rFonts w:ascii="inherit" w:hAnsi="inherit"/>
          <w:sz w:val="17"/>
        </w:rPr>
      </w:pPr>
      <w:r>
        <w:rPr>
          <w:rFonts w:ascii="inherit" w:hAnsi="inherit"/>
          <w:sz w:val="17"/>
        </w:rPr>
        <w:t>Title: Senior Vice President and Chief Financial Officer (Principal Financial and Accounting Officer)</w:t>
      </w:r>
    </w:p>
    <w:p>
      <w:pPr>
        <w:pStyle w:val="TextBody"/>
        <w:spacing w:lineRule="auto" w:line="288" w:before="0" w:after="0"/>
        <w:jc w:val="both"/>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b/>
          <w:sz w:val="17"/>
        </w:rPr>
      </w:pPr>
      <w:bookmarkStart w:id="47" w:name="sD0887A82EBC35675B47910955B14F2D9"/>
      <w:bookmarkStart w:id="48" w:name="clbs-ex321_20190630xq2.htm"/>
      <w:bookmarkStart w:id="49" w:name="ksclbsex321_20190630xq2"/>
      <w:bookmarkEnd w:id="47"/>
      <w:bookmarkEnd w:id="48"/>
      <w:bookmarkEnd w:id="49"/>
      <w:r>
        <w:rPr>
          <w:rFonts w:ascii="inherit" w:hAnsi="inherit"/>
          <w:b/>
          <w:sz w:val="17"/>
        </w:rPr>
        <w:t>Exhibit 32.1</w:t>
      </w:r>
    </w:p>
    <w:p>
      <w:pPr>
        <w:pStyle w:val="TextBody"/>
        <w:spacing w:lineRule="auto" w:line="288" w:before="0" w:after="0"/>
        <w:jc w:val="left"/>
        <w:rPr/>
      </w:pPr>
      <w:r>
        <w:rPr/>
        <w:t> </w:t>
      </w:r>
    </w:p>
    <w:p>
      <w:pPr>
        <w:pStyle w:val="TextBody"/>
        <w:spacing w:lineRule="auto" w:line="288" w:before="0" w:after="0"/>
        <w:jc w:val="center"/>
        <w:rPr>
          <w:rFonts w:ascii="inherit" w:hAnsi="inherit"/>
          <w:b/>
          <w:sz w:val="17"/>
        </w:rPr>
      </w:pPr>
      <w:r>
        <w:rPr>
          <w:rFonts w:ascii="inherit" w:hAnsi="inherit"/>
          <w:b/>
          <w:sz w:val="17"/>
        </w:rPr>
        <w:t>CERTIFICATION PURSUANT TO</w:t>
      </w:r>
    </w:p>
    <w:p>
      <w:pPr>
        <w:pStyle w:val="TextBody"/>
        <w:spacing w:lineRule="auto" w:line="288" w:before="0" w:after="0"/>
        <w:jc w:val="center"/>
        <w:rPr>
          <w:rFonts w:ascii="inherit" w:hAnsi="inherit"/>
          <w:b/>
          <w:sz w:val="17"/>
        </w:rPr>
      </w:pPr>
      <w:r>
        <w:rPr>
          <w:rFonts w:ascii="inherit" w:hAnsi="inherit"/>
          <w:b/>
          <w:sz w:val="17"/>
        </w:rPr>
        <w:t>18 U.S.C. SECTION 1350,</w:t>
      </w:r>
    </w:p>
    <w:p>
      <w:pPr>
        <w:pStyle w:val="TextBody"/>
        <w:spacing w:lineRule="auto" w:line="288" w:before="0" w:after="0"/>
        <w:jc w:val="center"/>
        <w:rPr>
          <w:rFonts w:ascii="inherit" w:hAnsi="inherit"/>
          <w:b/>
          <w:sz w:val="17"/>
        </w:rPr>
      </w:pPr>
      <w:r>
        <w:rPr>
          <w:rFonts w:ascii="inherit" w:hAnsi="inherit"/>
          <w:b/>
          <w:sz w:val="17"/>
        </w:rPr>
        <w:t>AS ADOPTED PURSUANT TO</w:t>
      </w:r>
    </w:p>
    <w:p>
      <w:pPr>
        <w:pStyle w:val="TextBody"/>
        <w:spacing w:lineRule="auto" w:line="288" w:before="0" w:after="0"/>
        <w:jc w:val="center"/>
        <w:rPr>
          <w:rFonts w:ascii="inherit" w:hAnsi="inherit"/>
          <w:b/>
          <w:sz w:val="17"/>
        </w:rPr>
      </w:pPr>
      <w:r>
        <w:rPr>
          <w:rFonts w:ascii="inherit" w:hAnsi="inherit"/>
          <w:b/>
          <w:sz w:val="17"/>
        </w:rPr>
        <w:t>SECTION 906 OF THE SARBANES-OXLEY ACT OF 2002</w:t>
      </w:r>
    </w:p>
    <w:p>
      <w:pPr>
        <w:pStyle w:val="TextBody"/>
        <w:spacing w:lineRule="auto" w:line="288" w:before="0" w:after="0"/>
        <w:jc w:val="center"/>
        <w:rPr/>
      </w:pPr>
      <w:r>
        <w:rPr/>
        <w:t> </w:t>
      </w:r>
    </w:p>
    <w:p>
      <w:pPr>
        <w:pStyle w:val="TextBody"/>
        <w:spacing w:lineRule="auto" w:line="288" w:before="0" w:after="0"/>
        <w:jc w:val="both"/>
        <w:rPr>
          <w:sz w:val="17"/>
        </w:rPr>
      </w:pPr>
      <w:r>
        <w:rPr>
          <w:rFonts w:ascii="inherit" w:hAnsi="inherit"/>
          <w:sz w:val="17"/>
        </w:rPr>
        <w:t xml:space="preserve">In connection with the Quarterly Report on Form 10-Q of Caladrius Biosciences, Inc. (the “Company”) for the quarter ended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39"/>
        <w:gridCol w:w="9666"/>
      </w:tblGrid>
      <w:tr>
        <w:trPr/>
        <w:tc>
          <w:tcPr>
            <w:tcW w:w="539" w:type="dxa"/>
            <w:tcBorders/>
            <w:shd w:fill="auto" w:val="clear"/>
            <w:vAlign w:val="center"/>
          </w:tcPr>
          <w:p>
            <w:pPr>
              <w:pStyle w:val="TableContents"/>
              <w:spacing w:before="0" w:after="283"/>
              <w:rPr>
                <w:sz w:val="4"/>
                <w:szCs w:val="4"/>
              </w:rPr>
            </w:pPr>
            <w:r>
              <w:rPr>
                <w:sz w:val="4"/>
                <w:szCs w:val="4"/>
              </w:rPr>
            </w:r>
          </w:p>
        </w:tc>
        <w:tc>
          <w:tcPr>
            <w:tcW w:w="9666" w:type="dxa"/>
            <w:tcBorders/>
            <w:shd w:fill="auto" w:val="clear"/>
            <w:vAlign w:val="center"/>
          </w:tcPr>
          <w:p>
            <w:pPr>
              <w:pStyle w:val="TableContents"/>
              <w:spacing w:before="0" w:after="283"/>
              <w:rPr>
                <w:sz w:val="4"/>
                <w:szCs w:val="4"/>
              </w:rPr>
            </w:pPr>
            <w:r>
              <w:rPr>
                <w:sz w:val="4"/>
                <w:szCs w:val="4"/>
              </w:rPr>
            </w:r>
          </w:p>
        </w:tc>
      </w:tr>
      <w:tr>
        <w:trPr/>
        <w:tc>
          <w:tcPr>
            <w:tcW w:w="539"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1.</w:t>
            </w:r>
          </w:p>
        </w:tc>
        <w:tc>
          <w:tcPr>
            <w:tcW w:w="9666"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Report fully complies with the requirements of Section 13(a) or 15(d) of the Securities Exchange Act of 1934 as amended; and</w:t>
            </w:r>
          </w:p>
        </w:tc>
      </w:tr>
    </w:tbl>
    <w:p>
      <w:pPr>
        <w:pStyle w:val="TextBody"/>
        <w:spacing w:lineRule="auto" w:line="288" w:before="0" w:after="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22"/>
        <w:gridCol w:w="9683"/>
      </w:tblGrid>
      <w:tr>
        <w:trPr/>
        <w:tc>
          <w:tcPr>
            <w:tcW w:w="522" w:type="dxa"/>
            <w:tcBorders/>
            <w:shd w:fill="auto" w:val="clear"/>
            <w:vAlign w:val="center"/>
          </w:tcPr>
          <w:p>
            <w:pPr>
              <w:pStyle w:val="TableContents"/>
              <w:spacing w:before="0" w:after="283"/>
              <w:rPr>
                <w:sz w:val="4"/>
                <w:szCs w:val="4"/>
              </w:rPr>
            </w:pPr>
            <w:r>
              <w:rPr>
                <w:sz w:val="4"/>
                <w:szCs w:val="4"/>
              </w:rPr>
            </w:r>
          </w:p>
        </w:tc>
        <w:tc>
          <w:tcPr>
            <w:tcW w:w="9683" w:type="dxa"/>
            <w:tcBorders/>
            <w:shd w:fill="auto" w:val="clear"/>
            <w:vAlign w:val="center"/>
          </w:tcPr>
          <w:p>
            <w:pPr>
              <w:pStyle w:val="TableContents"/>
              <w:spacing w:before="0" w:after="283"/>
              <w:rPr>
                <w:sz w:val="4"/>
                <w:szCs w:val="4"/>
              </w:rPr>
            </w:pPr>
            <w:r>
              <w:rPr>
                <w:sz w:val="4"/>
                <w:szCs w:val="4"/>
              </w:rPr>
            </w:r>
          </w:p>
        </w:tc>
      </w:tr>
      <w:tr>
        <w:trPr/>
        <w:tc>
          <w:tcPr>
            <w:tcW w:w="522"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2.</w:t>
            </w:r>
          </w:p>
        </w:tc>
        <w:tc>
          <w:tcPr>
            <w:tcW w:w="968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information contained in the Report fairly presents, in all material respects, the financial condition of the Company as of the dates presented and the results of operations of the Company for the periods presented.</w:t>
            </w:r>
          </w:p>
        </w:tc>
      </w:tr>
    </w:tbl>
    <w:p>
      <w:pPr>
        <w:pStyle w:val="TextBody"/>
        <w:spacing w:lineRule="auto" w:line="288" w:before="0" w:after="0"/>
        <w:jc w:val="both"/>
        <w:rPr/>
      </w:pPr>
      <w:r>
        <w:rPr/>
        <w:t> </w:t>
      </w:r>
    </w:p>
    <w:p>
      <w:pPr>
        <w:pStyle w:val="TextBody"/>
        <w:spacing w:lineRule="auto" w:line="288" w:before="0" w:after="0"/>
        <w:jc w:val="both"/>
        <w:rPr>
          <w:sz w:val="17"/>
        </w:rPr>
      </w:pPr>
      <w:r>
        <w:rPr>
          <w:rFonts w:ascii="inherit" w:hAnsi="inherit"/>
          <w:sz w:val="17"/>
        </w:rPr>
        <w:t>Dated:  </w:t>
      </w:r>
      <w:r>
        <w:rPr>
          <w:rFonts w:ascii="inherit" w:hAnsi="inherit"/>
          <w:strike w:val="false"/>
          <w:dstrike w:val="false"/>
          <w:color w:val="000000"/>
          <w:sz w:val="17"/>
          <w:u w:val="none"/>
          <w:effect w:val="none"/>
        </w:rPr>
        <w:t>August 8, 2019</w:t>
      </w:r>
      <w:r>
        <w:rPr>
          <w:sz w:val="17"/>
        </w:rPr>
        <w:t xml:space="preserve"> </w:t>
      </w:r>
    </w:p>
    <w:p>
      <w:pPr>
        <w:pStyle w:val="TextBody"/>
        <w:spacing w:lineRule="auto" w:line="288" w:before="0" w:after="0"/>
        <w:jc w:val="left"/>
        <w:rPr/>
      </w:pPr>
      <w:r>
        <w:rPr/>
        <w:t> </w:t>
      </w:r>
    </w:p>
    <w:p>
      <w:pPr>
        <w:pStyle w:val="TextBody"/>
        <w:spacing w:lineRule="auto" w:line="288" w:before="0" w:after="0"/>
        <w:jc w:val="left"/>
        <w:rPr>
          <w:rFonts w:ascii="inherit" w:hAnsi="inherit"/>
          <w:sz w:val="17"/>
        </w:rPr>
      </w:pPr>
      <w:r>
        <w:rPr>
          <w:rFonts w:ascii="inherit" w:hAnsi="inherit"/>
          <w:sz w:val="17"/>
        </w:rPr>
      </w:r>
    </w:p>
    <w:tbl>
      <w:tblPr>
        <w:tblW w:w="5630" w:type="dxa"/>
        <w:jc w:val="center"/>
        <w:tblInd w:w="0" w:type="dxa"/>
        <w:tblCellMar>
          <w:top w:w="0" w:type="dxa"/>
          <w:left w:w="0" w:type="dxa"/>
          <w:bottom w:w="0" w:type="dxa"/>
          <w:right w:w="0" w:type="dxa"/>
        </w:tblCellMar>
      </w:tblPr>
      <w:tblGrid>
        <w:gridCol w:w="105"/>
        <w:gridCol w:w="5525"/>
      </w:tblGrid>
      <w:tr>
        <w:trPr/>
        <w:tc>
          <w:tcPr>
            <w:tcW w:w="5630" w:type="dxa"/>
            <w:gridSpan w:val="2"/>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55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552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 xml:space="preserve">/s/ David J. Mazzo, PhD </w:t>
            </w:r>
          </w:p>
        </w:tc>
      </w:tr>
      <w:tr>
        <w:trPr/>
        <w:tc>
          <w:tcPr>
            <w:tcW w:w="105" w:type="dxa"/>
            <w:tcBorders/>
            <w:shd w:fill="auto" w:val="clear"/>
            <w:vAlign w:val="center"/>
          </w:tcPr>
          <w:p>
            <w:pPr>
              <w:pStyle w:val="TableContents"/>
              <w:spacing w:before="0" w:after="0"/>
              <w:ind w:left="0" w:right="0" w:firstLine="30"/>
              <w:jc w:val="left"/>
              <w:rPr/>
            </w:pPr>
            <w:r>
              <w:rPr/>
              <w:t> </w:t>
            </w:r>
          </w:p>
        </w:tc>
        <w:tc>
          <w:tcPr>
            <w:tcW w:w="55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David J. Mazzo, PhD</w:t>
            </w:r>
          </w:p>
        </w:tc>
      </w:tr>
      <w:tr>
        <w:trPr/>
        <w:tc>
          <w:tcPr>
            <w:tcW w:w="105" w:type="dxa"/>
            <w:tcBorders/>
            <w:shd w:fill="auto" w:val="clear"/>
            <w:vAlign w:val="center"/>
          </w:tcPr>
          <w:p>
            <w:pPr>
              <w:pStyle w:val="TableContents"/>
              <w:spacing w:before="0" w:after="0"/>
              <w:ind w:left="0" w:right="0" w:firstLine="30"/>
              <w:jc w:val="left"/>
              <w:rPr/>
            </w:pPr>
            <w:r>
              <w:rPr/>
              <w:t> </w:t>
            </w:r>
          </w:p>
        </w:tc>
        <w:tc>
          <w:tcPr>
            <w:tcW w:w="5525" w:type="dxa"/>
            <w:tcBorders/>
            <w:shd w:fill="auto" w:val="clear"/>
            <w:vAlign w:val="center"/>
          </w:tcPr>
          <w:p>
            <w:pPr>
              <w:pStyle w:val="TableContents"/>
              <w:spacing w:before="0" w:after="0"/>
              <w:jc w:val="left"/>
              <w:rPr>
                <w:rFonts w:ascii="inherit" w:hAnsi="inherit"/>
                <w:sz w:val="17"/>
              </w:rPr>
            </w:pPr>
            <w:r>
              <w:rPr>
                <w:rFonts w:ascii="inherit" w:hAnsi="inherit"/>
                <w:sz w:val="17"/>
              </w:rPr>
              <w:t>President and Chief Executive Officer (Principal Executive Officer)</w:t>
            </w:r>
          </w:p>
        </w:tc>
      </w:tr>
    </w:tbl>
    <w:p>
      <w:pPr>
        <w:pStyle w:val="TextBody"/>
        <w:spacing w:lineRule="auto" w:line="288" w:before="0" w:after="0"/>
        <w:jc w:val="left"/>
        <w:rPr/>
      </w:pPr>
      <w:r>
        <w:rPr/>
        <w:t> </w:t>
      </w:r>
    </w:p>
    <w:p>
      <w:pPr>
        <w:pStyle w:val="TextBody"/>
        <w:spacing w:lineRule="auto" w:line="288" w:before="0" w:after="0"/>
        <w:jc w:val="both"/>
        <w:rPr>
          <w:rFonts w:ascii="inherit" w:hAnsi="inherit"/>
          <w:sz w:val="17"/>
        </w:rPr>
      </w:pPr>
      <w:r>
        <w:rPr>
          <w:rFonts w:ascii="inherit" w:hAnsi="inherit"/>
          <w:sz w:val="17"/>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spacing w:lineRule="auto" w:line="288" w:before="0" w:after="0"/>
        <w:jc w:val="both"/>
        <w:rPr/>
      </w:pPr>
      <w:r>
        <w:rPr/>
        <w:t>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b/>
          <w:sz w:val="17"/>
        </w:rPr>
      </w:pPr>
      <w:bookmarkStart w:id="50" w:name="sE35BF2B4EFD85A7E8251F5B62FEFE58F"/>
      <w:bookmarkStart w:id="51" w:name="clbs-ex322_20190630xq2.htm"/>
      <w:bookmarkStart w:id="52" w:name="ksclbsex322_20190630xq2"/>
      <w:bookmarkEnd w:id="50"/>
      <w:bookmarkEnd w:id="51"/>
      <w:bookmarkEnd w:id="52"/>
      <w:r>
        <w:rPr>
          <w:rFonts w:ascii="inherit" w:hAnsi="inherit"/>
          <w:b/>
          <w:sz w:val="17"/>
        </w:rPr>
        <w:t>Exhibit 32.2</w:t>
      </w:r>
    </w:p>
    <w:p>
      <w:pPr>
        <w:pStyle w:val="TextBody"/>
        <w:spacing w:lineRule="auto" w:line="288" w:before="0" w:after="0"/>
        <w:jc w:val="left"/>
        <w:rPr/>
      </w:pPr>
      <w:r>
        <w:rPr/>
        <w:t> </w:t>
      </w:r>
    </w:p>
    <w:p>
      <w:pPr>
        <w:pStyle w:val="TextBody"/>
        <w:spacing w:lineRule="auto" w:line="288" w:before="0" w:after="0"/>
        <w:jc w:val="center"/>
        <w:rPr>
          <w:rFonts w:ascii="inherit" w:hAnsi="inherit"/>
          <w:b/>
          <w:sz w:val="17"/>
        </w:rPr>
      </w:pPr>
      <w:r>
        <w:rPr>
          <w:rFonts w:ascii="inherit" w:hAnsi="inherit"/>
          <w:b/>
          <w:sz w:val="17"/>
        </w:rPr>
        <w:t>CERTIFICATION PURSUANT TO</w:t>
      </w:r>
    </w:p>
    <w:p>
      <w:pPr>
        <w:pStyle w:val="TextBody"/>
        <w:spacing w:lineRule="auto" w:line="288" w:before="0" w:after="0"/>
        <w:jc w:val="center"/>
        <w:rPr>
          <w:rFonts w:ascii="inherit" w:hAnsi="inherit"/>
          <w:b/>
          <w:sz w:val="17"/>
        </w:rPr>
      </w:pPr>
      <w:r>
        <w:rPr>
          <w:rFonts w:ascii="inherit" w:hAnsi="inherit"/>
          <w:b/>
          <w:sz w:val="17"/>
        </w:rPr>
        <w:t>18 U.S.C. SECTION 1350,</w:t>
      </w:r>
    </w:p>
    <w:p>
      <w:pPr>
        <w:pStyle w:val="TextBody"/>
        <w:spacing w:lineRule="auto" w:line="288" w:before="0" w:after="0"/>
        <w:jc w:val="center"/>
        <w:rPr>
          <w:rFonts w:ascii="inherit" w:hAnsi="inherit"/>
          <w:b/>
          <w:sz w:val="17"/>
        </w:rPr>
      </w:pPr>
      <w:r>
        <w:rPr>
          <w:rFonts w:ascii="inherit" w:hAnsi="inherit"/>
          <w:b/>
          <w:sz w:val="17"/>
        </w:rPr>
        <w:t>AS ADOPTED PURSUANT TO</w:t>
      </w:r>
    </w:p>
    <w:p>
      <w:pPr>
        <w:pStyle w:val="TextBody"/>
        <w:spacing w:lineRule="auto" w:line="288" w:before="0" w:after="0"/>
        <w:jc w:val="center"/>
        <w:rPr>
          <w:rFonts w:ascii="inherit" w:hAnsi="inherit"/>
          <w:b/>
          <w:sz w:val="17"/>
        </w:rPr>
      </w:pPr>
      <w:r>
        <w:rPr>
          <w:rFonts w:ascii="inherit" w:hAnsi="inherit"/>
          <w:b/>
          <w:sz w:val="17"/>
        </w:rPr>
        <w:t>SECTION 906 OF THE SARBANES-OXLEY ACT OF 2002</w:t>
      </w:r>
    </w:p>
    <w:p>
      <w:pPr>
        <w:pStyle w:val="TextBody"/>
        <w:spacing w:lineRule="auto" w:line="288" w:before="0" w:after="0"/>
        <w:jc w:val="center"/>
        <w:rPr/>
      </w:pPr>
      <w:r>
        <w:rPr/>
        <w:t> </w:t>
      </w:r>
    </w:p>
    <w:p>
      <w:pPr>
        <w:pStyle w:val="TextBody"/>
        <w:spacing w:lineRule="auto" w:line="288" w:before="0" w:after="0"/>
        <w:jc w:val="both"/>
        <w:rPr>
          <w:sz w:val="17"/>
        </w:rPr>
      </w:pPr>
      <w:r>
        <w:rPr>
          <w:rFonts w:ascii="inherit" w:hAnsi="inherit"/>
          <w:sz w:val="17"/>
        </w:rPr>
        <w:t xml:space="preserve">In connection with the Quarterly Report on Form 10-Q of Caladrius Biosciences, Inc. (the “Company”) for the quarter ended </w:t>
      </w:r>
      <w:r>
        <w:rPr>
          <w:rFonts w:ascii="inherit" w:hAnsi="inherit"/>
          <w:strike w:val="false"/>
          <w:dstrike w:val="false"/>
          <w:color w:val="000000"/>
          <w:sz w:val="17"/>
          <w:u w:val="none"/>
          <w:effect w:val="none"/>
        </w:rPr>
        <w:t>June 30, 2019</w:t>
      </w:r>
      <w:r>
        <w:rPr>
          <w:sz w:val="17"/>
        </w:rPr>
        <w:t xml:space="preserve"> </w:t>
      </w:r>
      <w:r>
        <w:rPr>
          <w:rFonts w:ascii="inherit" w:hAnsi="inherit"/>
          <w:sz w:val="17"/>
        </w:rPr>
        <w:t>filed with the Securities and Exchange Commission on the date hereof (the “Report”), I, Joseph Talamo, Senior Vice President and Chief Financial Officer of the Company, certify, pursuant to 18 U.S.C. Section 1350, as adopted pursuant to Section 906 of the Sarbanes-Oxley Act of 2002, to my knowledge that:</w:t>
      </w:r>
    </w:p>
    <w:p>
      <w:pPr>
        <w:pStyle w:val="TextBody"/>
        <w:spacing w:lineRule="auto" w:line="288" w:before="0" w:after="0"/>
        <w:jc w:val="both"/>
        <w:rPr/>
      </w:pPr>
      <w:r>
        <w:rPr/>
        <w:t> </w:t>
      </w:r>
    </w:p>
    <w:p>
      <w:pPr>
        <w:pStyle w:val="TextBody"/>
        <w:spacing w:lineRule="auto" w:line="288" w:before="0" w:after="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39"/>
        <w:gridCol w:w="9666"/>
      </w:tblGrid>
      <w:tr>
        <w:trPr/>
        <w:tc>
          <w:tcPr>
            <w:tcW w:w="539" w:type="dxa"/>
            <w:tcBorders/>
            <w:shd w:fill="auto" w:val="clear"/>
            <w:vAlign w:val="center"/>
          </w:tcPr>
          <w:p>
            <w:pPr>
              <w:pStyle w:val="TableContents"/>
              <w:spacing w:before="0" w:after="283"/>
              <w:rPr>
                <w:sz w:val="4"/>
                <w:szCs w:val="4"/>
              </w:rPr>
            </w:pPr>
            <w:r>
              <w:rPr>
                <w:sz w:val="4"/>
                <w:szCs w:val="4"/>
              </w:rPr>
            </w:r>
          </w:p>
        </w:tc>
        <w:tc>
          <w:tcPr>
            <w:tcW w:w="9666" w:type="dxa"/>
            <w:tcBorders/>
            <w:shd w:fill="auto" w:val="clear"/>
            <w:vAlign w:val="center"/>
          </w:tcPr>
          <w:p>
            <w:pPr>
              <w:pStyle w:val="TableContents"/>
              <w:spacing w:before="0" w:after="283"/>
              <w:rPr>
                <w:sz w:val="4"/>
                <w:szCs w:val="4"/>
              </w:rPr>
            </w:pPr>
            <w:r>
              <w:rPr>
                <w:sz w:val="4"/>
                <w:szCs w:val="4"/>
              </w:rPr>
            </w:r>
          </w:p>
        </w:tc>
      </w:tr>
      <w:tr>
        <w:trPr/>
        <w:tc>
          <w:tcPr>
            <w:tcW w:w="539"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1.</w:t>
            </w:r>
          </w:p>
        </w:tc>
        <w:tc>
          <w:tcPr>
            <w:tcW w:w="9666"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Report fully complies with the requirements of Section 13(a) or 15(d) of the Securities Exchange Act of 1934 as amended; and</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22"/>
        <w:gridCol w:w="9683"/>
      </w:tblGrid>
      <w:tr>
        <w:trPr/>
        <w:tc>
          <w:tcPr>
            <w:tcW w:w="522" w:type="dxa"/>
            <w:tcBorders/>
            <w:shd w:fill="auto" w:val="clear"/>
            <w:vAlign w:val="center"/>
          </w:tcPr>
          <w:p>
            <w:pPr>
              <w:pStyle w:val="TableContents"/>
              <w:spacing w:before="0" w:after="283"/>
              <w:rPr>
                <w:sz w:val="4"/>
                <w:szCs w:val="4"/>
              </w:rPr>
            </w:pPr>
            <w:r>
              <w:rPr>
                <w:sz w:val="4"/>
                <w:szCs w:val="4"/>
              </w:rPr>
            </w:r>
          </w:p>
        </w:tc>
        <w:tc>
          <w:tcPr>
            <w:tcW w:w="9683" w:type="dxa"/>
            <w:tcBorders/>
            <w:shd w:fill="auto" w:val="clear"/>
            <w:vAlign w:val="center"/>
          </w:tcPr>
          <w:p>
            <w:pPr>
              <w:pStyle w:val="TableContents"/>
              <w:spacing w:before="0" w:after="283"/>
              <w:rPr>
                <w:sz w:val="4"/>
                <w:szCs w:val="4"/>
              </w:rPr>
            </w:pPr>
            <w:r>
              <w:rPr>
                <w:sz w:val="4"/>
                <w:szCs w:val="4"/>
              </w:rPr>
            </w:r>
          </w:p>
        </w:tc>
      </w:tr>
      <w:tr>
        <w:trPr/>
        <w:tc>
          <w:tcPr>
            <w:tcW w:w="522"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2.</w:t>
            </w:r>
          </w:p>
        </w:tc>
        <w:tc>
          <w:tcPr>
            <w:tcW w:w="968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information contained in the Report fairly presents, in all material respects, the financial condition of the Company as of the dates presented and the results of operations of the Company for the periods presented.</w:t>
            </w:r>
          </w:p>
        </w:tc>
      </w:tr>
    </w:tbl>
    <w:p>
      <w:pPr>
        <w:pStyle w:val="TextBody"/>
        <w:spacing w:lineRule="auto" w:line="288" w:before="0" w:after="0"/>
        <w:jc w:val="both"/>
        <w:rPr/>
      </w:pPr>
      <w:r>
        <w:rPr/>
        <w:t> </w:t>
      </w:r>
    </w:p>
    <w:p>
      <w:pPr>
        <w:pStyle w:val="TextBody"/>
        <w:spacing w:lineRule="auto" w:line="288" w:before="0" w:after="0"/>
        <w:jc w:val="both"/>
        <w:rPr>
          <w:sz w:val="17"/>
        </w:rPr>
      </w:pPr>
      <w:r>
        <w:rPr>
          <w:rFonts w:ascii="inherit" w:hAnsi="inherit"/>
          <w:sz w:val="17"/>
        </w:rPr>
        <w:t>Dated:  </w:t>
      </w:r>
      <w:r>
        <w:rPr>
          <w:rFonts w:ascii="inherit" w:hAnsi="inherit"/>
          <w:strike w:val="false"/>
          <w:dstrike w:val="false"/>
          <w:color w:val="000000"/>
          <w:sz w:val="17"/>
          <w:u w:val="none"/>
          <w:effect w:val="none"/>
        </w:rPr>
        <w:t>August 8, 2019</w:t>
      </w:r>
      <w:r>
        <w:rPr>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pPr>
      <w:r>
        <w:rPr/>
        <w:t> </w:t>
      </w:r>
    </w:p>
    <w:tbl>
      <w:tblPr>
        <w:tblW w:w="7775" w:type="dxa"/>
        <w:jc w:val="center"/>
        <w:tblInd w:w="0" w:type="dxa"/>
        <w:tblCellMar>
          <w:top w:w="0" w:type="dxa"/>
          <w:left w:w="0" w:type="dxa"/>
          <w:bottom w:w="0" w:type="dxa"/>
          <w:right w:w="0" w:type="dxa"/>
        </w:tblCellMar>
      </w:tblPr>
      <w:tblGrid>
        <w:gridCol w:w="105"/>
        <w:gridCol w:w="7670"/>
      </w:tblGrid>
      <w:tr>
        <w:trPr/>
        <w:tc>
          <w:tcPr>
            <w:tcW w:w="7775" w:type="dxa"/>
            <w:gridSpan w:val="2"/>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76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7670"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 xml:space="preserve">/s/ Joseph Talamo </w:t>
            </w:r>
          </w:p>
        </w:tc>
      </w:tr>
      <w:tr>
        <w:trPr/>
        <w:tc>
          <w:tcPr>
            <w:tcW w:w="105" w:type="dxa"/>
            <w:tcBorders/>
            <w:shd w:fill="auto" w:val="clear"/>
            <w:vAlign w:val="center"/>
          </w:tcPr>
          <w:p>
            <w:pPr>
              <w:pStyle w:val="TableContents"/>
              <w:spacing w:before="0" w:after="0"/>
              <w:ind w:left="0" w:right="0" w:firstLine="30"/>
              <w:jc w:val="left"/>
              <w:rPr/>
            </w:pPr>
            <w:r>
              <w:rPr/>
              <w:t> </w:t>
            </w:r>
          </w:p>
        </w:tc>
        <w:tc>
          <w:tcPr>
            <w:tcW w:w="76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Joseph Talamo</w:t>
            </w:r>
          </w:p>
        </w:tc>
      </w:tr>
      <w:tr>
        <w:trPr/>
        <w:tc>
          <w:tcPr>
            <w:tcW w:w="105" w:type="dxa"/>
            <w:tcBorders/>
            <w:shd w:fill="auto" w:val="clear"/>
            <w:vAlign w:val="center"/>
          </w:tcPr>
          <w:p>
            <w:pPr>
              <w:pStyle w:val="TableContents"/>
              <w:spacing w:before="0" w:after="0"/>
              <w:ind w:left="0" w:right="0" w:firstLine="30"/>
              <w:jc w:val="left"/>
              <w:rPr/>
            </w:pPr>
            <w:r>
              <w:rPr/>
              <w:t> </w:t>
            </w:r>
          </w:p>
        </w:tc>
        <w:tc>
          <w:tcPr>
            <w:tcW w:w="7670" w:type="dxa"/>
            <w:tcBorders/>
            <w:shd w:fill="auto" w:val="clear"/>
            <w:vAlign w:val="center"/>
          </w:tcPr>
          <w:p>
            <w:pPr>
              <w:pStyle w:val="TableContents"/>
              <w:spacing w:before="0" w:after="0"/>
              <w:jc w:val="left"/>
              <w:rPr>
                <w:rFonts w:ascii="inherit" w:hAnsi="inherit"/>
                <w:sz w:val="17"/>
              </w:rPr>
            </w:pPr>
            <w:r>
              <w:rPr>
                <w:rFonts w:ascii="inherit" w:hAnsi="inherit"/>
                <w:sz w:val="17"/>
              </w:rPr>
              <w:t>Senior Vice President and Chief Financial Officer (Principal Financial and Accounting Officer)</w:t>
            </w:r>
          </w:p>
        </w:tc>
      </w:tr>
    </w:tbl>
    <w:p>
      <w:pPr>
        <w:pStyle w:val="TextBody"/>
        <w:spacing w:lineRule="auto" w:line="288" w:before="0" w:after="0"/>
        <w:jc w:val="left"/>
        <w:rPr/>
      </w:pPr>
      <w:r>
        <w:rPr/>
        <w:t> </w:t>
      </w:r>
    </w:p>
    <w:p>
      <w:pPr>
        <w:pStyle w:val="TextBody"/>
        <w:spacing w:lineRule="auto" w:line="288" w:before="0" w:after="0"/>
        <w:jc w:val="both"/>
        <w:rPr>
          <w:rFonts w:ascii="inherit" w:hAnsi="inherit"/>
          <w:sz w:val="17"/>
        </w:rPr>
      </w:pPr>
      <w:r>
        <w:rPr>
          <w:rFonts w:ascii="inherit" w:hAnsi="inherit"/>
          <w:sz w:val="17"/>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spacing w:lineRule="auto" w:line="288" w:before="0" w:after="0"/>
        <w:jc w:val="both"/>
        <w:rPr/>
      </w:pPr>
      <w:r>
        <w:rPr/>
        <w:t> </w:t>
      </w:r>
    </w:p>
    <w:p>
      <w:pPr>
        <w:pStyle w:val="TextBody"/>
        <w:spacing w:lineRule="auto" w:line="288" w:before="0" w:after="0"/>
        <w:rPr>
          <w:rFonts w:ascii="inherit" w:hAnsi="inherit"/>
          <w:sz w:val="17"/>
        </w:rPr>
      </w:pPr>
      <w:r>
        <w:rPr>
          <w:rFonts w:ascii="inherit" w:hAnsi="inherit"/>
          <w:sz w:val="17"/>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13175</Words>
  <CharactersWithSpaces>84823</CharactersWithSpaces>
  <Paragraphs>2933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