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10-Q</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   to 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001-33650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LISATA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22-2343568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 Allen Road, 2nd Floor, Basking Ridge, New Jersey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07920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908-842-0100</w:t>
      </w:r>
    </w:p>
    <w:p>
      <w:pPr>
        <w:pStyle w:val="TextBody"/>
        <w:bidi w:val="0"/>
        <w:spacing w:lineRule="auto" w:line="288"/>
        <w:jc w:val="center"/>
        <w:rPr>
          <w:rFonts w:ascii="Times New Roman;sans-serif" w:hAnsi="Times New Roman;sans-serif"/>
          <w:b w:val="false"/>
          <w:color w:val="000000"/>
          <w:sz w:val="20"/>
          <w:u w:val="single"/>
          <w:shd w:fill="FFFF00" w:val="clear"/>
        </w:rPr>
      </w:pPr>
      <w:r>
        <w:rPr>
          <w:rFonts w:ascii="Times New Roman;sans-serif" w:hAnsi="Times New Roman;sans-serif"/>
          <w:b w:val="false"/>
          <w:color w:val="000000"/>
          <w:sz w:val="20"/>
          <w:u w:val="single"/>
          <w:shd w:fill="FFFF00" w:val="clear"/>
        </w:rPr>
      </w:r>
    </w:p>
    <w:tbl>
      <w:tblPr>
        <w:tblW w:w="9118" w:type="dxa"/>
        <w:jc w:val="center"/>
        <w:tblInd w:w="0" w:type="dxa"/>
        <w:tblLayout w:type="fixed"/>
        <w:tblCellMar>
          <w:top w:w="28" w:type="dxa"/>
          <w:left w:w="28" w:type="dxa"/>
          <w:bottom w:w="28" w:type="dxa"/>
          <w:right w:w="28" w:type="dxa"/>
        </w:tblCellMar>
      </w:tblPr>
      <w:tblGrid>
        <w:gridCol w:w="1305"/>
        <w:gridCol w:w="1147"/>
        <w:gridCol w:w="1147"/>
        <w:gridCol w:w="565"/>
        <w:gridCol w:w="565"/>
        <w:gridCol w:w="565"/>
        <w:gridCol w:w="1120"/>
        <w:gridCol w:w="1120"/>
        <w:gridCol w:w="1584"/>
      </w:tblGrid>
      <w:tr>
        <w:trPr/>
        <w:tc>
          <w:tcPr>
            <w:tcW w:w="130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LSTA</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0" w:after="66"/>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03"/>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bidi w:val="0"/>
        <w:spacing w:before="0" w:after="6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6417" w:type="dxa"/>
        <w:jc w:val="center"/>
        <w:tblInd w:w="0" w:type="dxa"/>
        <w:tblLayout w:type="fixed"/>
        <w:tblCellMar>
          <w:top w:w="28" w:type="dxa"/>
          <w:left w:w="28" w:type="dxa"/>
          <w:bottom w:w="28" w:type="dxa"/>
          <w:right w:w="28" w:type="dxa"/>
        </w:tblCellMar>
      </w:tblPr>
      <w:tblGrid>
        <w:gridCol w:w="1291"/>
        <w:gridCol w:w="1131"/>
        <w:gridCol w:w="1147"/>
        <w:gridCol w:w="488"/>
        <w:gridCol w:w="488"/>
        <w:gridCol w:w="421"/>
        <w:gridCol w:w="421"/>
        <w:gridCol w:w="421"/>
        <w:gridCol w:w="609"/>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w:t>
            </w:r>
          </w:p>
        </w:tc>
        <w:tc>
          <w:tcPr>
            <w:tcW w:w="28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as of May 8, 2025</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8,598,204 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r>
    </w:tbl>
    <w:p>
      <w:pPr>
        <w:pStyle w:val="TextBody"/>
        <w:bidi w:val="0"/>
        <w:spacing w:before="0" w:after="0"/>
        <w:ind w:left="0" w:right="0" w:firstLine="360"/>
        <w:jc w:val="left"/>
        <w:rPr/>
      </w:pPr>
      <w:r>
        <w:rPr/>
      </w:r>
    </w:p>
    <w:p>
      <w:pPr>
        <w:pStyle w:val="TextBody"/>
        <w:bidi w:val="0"/>
        <w:spacing w:before="0" w:after="66"/>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“anticipate,”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sufficient capital or strategic business arrangements to fund our operations and expansion plans,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build and maintain the management and human resources infrastructure necessary to support the operation and/or growth of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 market is established for our products and our ability to capture a meaningful share of this market;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scientific, regulatory and medical developments beyond our control;</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potential strategic or financial benefits of various licensing agreements will be realized;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results of our development activities;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and the need of patients to meet the inclusion criteria of the trial or otherwise;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extent to which any future public health crisis and their long-term effects may impact, directly or indirectly, our business, including our clinical trials and financial condition;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factors discussed in “Risk Factors” in our Annual Report on Form 10-K filed with the Securities and Exchange Commission (the “SEC”) on February 27, 2025 (our “2024 Form 10-K”).</w:t>
      </w:r>
    </w:p>
    <w:p>
      <w:pPr>
        <w:pStyle w:val="TextBody"/>
        <w:bidi w:val="0"/>
        <w:spacing w:lineRule="auto" w:line="288" w:before="0" w:after="160"/>
        <w:jc w:val="both"/>
        <w:rPr/>
      </w:pPr>
      <w:r>
        <w:rPr>
          <w:rFonts w:ascii="Times New Roman;sans-serif" w:hAnsi="Times New Roman;sans-serif"/>
          <w:b w:val="false"/>
          <w:color w:val="000000"/>
          <w:sz w:val="20"/>
        </w:rPr>
        <w:t xml:space="preserve">The factors discussed herein, including those risks described in “Item 1A. Risk Factors” and elsewhere in our 2024 Form 10-K and in our other periodic filings with the SEC, which are available for review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 xml:space="preserve">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reliance on these forward-looking statements, which speak only as of the date they were made. Except as required by law, we undertake no obligation to update any forward-looking statements, whether as a result of new information, future events or otherwise.</w:t>
      </w:r>
    </w:p>
    <w:p>
      <w:pPr>
        <w:pStyle w:val="TextBody"/>
        <w:bidi w:val="0"/>
        <w:spacing w:before="0" w:after="6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3"/>
        <w:gridCol w:w="248"/>
        <w:gridCol w:w="249"/>
        <w:gridCol w:w="2870"/>
        <w:gridCol w:w="2870"/>
        <w:gridCol w:w="2873"/>
        <w:gridCol w:w="236"/>
        <w:gridCol w:w="236"/>
        <w:gridCol w:w="340"/>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PART I- FINANCIAL INFORMATION</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051F2"/>
                <w:sz w:val="18"/>
              </w:rPr>
            </w:pPr>
            <w:r>
              <w:rPr>
                <w:rFonts w:ascii="Times New Roman;sans-serif" w:hAnsi="Times New Roman;sans-serif"/>
                <w:b/>
                <w:color w:val="3051F2"/>
                <w:sz w:val="18"/>
              </w:rPr>
              <w:t>Page No.</w:t>
            </w:r>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65296f168ea449b99126b2b55f877ea4_10">
              <w:r>
                <w:rPr>
                  <w:rStyle w:val="InternetLink"/>
                  <w:rFonts w:ascii="Times New Roman;sans-serif" w:hAnsi="Times New Roman;sans-serif"/>
                  <w:b/>
                  <w:color w:val="0000FF"/>
                  <w:sz w:val="18"/>
                  <w:u w:val="single"/>
                </w:rPr>
                <w:t>Financial Statements:</w:t>
              </w:r>
            </w:hyperlink>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3">
              <w:r>
                <w:rPr>
                  <w:rStyle w:val="InternetLink"/>
                  <w:rFonts w:ascii="Times New Roman;sans-serif" w:hAnsi="Times New Roman;sans-serif"/>
                  <w:b w:val="false"/>
                  <w:strike w:val="false"/>
                  <w:dstrike w:val="false"/>
                  <w:color w:val="0000FF"/>
                  <w:sz w:val="18"/>
                  <w:u w:val="none"/>
                  <w:effect w:val="none"/>
                </w:rPr>
                <w:t>5</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65296f168ea449b99126b2b55f877ea4_16">
              <w:r>
                <w:rPr>
                  <w:rStyle w:val="InternetLink"/>
                  <w:rFonts w:ascii="Times New Roman;sans-serif" w:hAnsi="Times New Roman;sans-serif"/>
                  <w:b/>
                  <w:strike w:val="false"/>
                  <w:dstrike w:val="false"/>
                  <w:color w:val="0000FF"/>
                  <w:sz w:val="18"/>
                  <w:u w:val="none"/>
                  <w:effect w:val="none"/>
                </w:rPr>
                <w:t>Consolidated Balance Sheets at March 31 2025 (unaudited) and December 31, 2024</w:t>
              </w:r>
            </w:hyperlink>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6">
              <w:r>
                <w:rPr>
                  <w:rStyle w:val="InternetLink"/>
                  <w:rFonts w:ascii="Times New Roman;sans-serif" w:hAnsi="Times New Roman;sans-serif"/>
                  <w:b w:val="false"/>
                  <w:strike w:val="false"/>
                  <w:dstrike w:val="false"/>
                  <w:color w:val="0000FF"/>
                  <w:sz w:val="18"/>
                  <w:u w:val="none"/>
                  <w:effect w:val="none"/>
                </w:rPr>
                <w:t>5</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65296f168ea449b99126b2b55f877ea4_19">
              <w:r>
                <w:rPr>
                  <w:rStyle w:val="InternetLink"/>
                  <w:rFonts w:ascii="Times New Roman;sans-serif" w:hAnsi="Times New Roman;sans-serif"/>
                  <w:b/>
                  <w:strike w:val="false"/>
                  <w:dstrike w:val="false"/>
                  <w:color w:val="000080"/>
                  <w:sz w:val="18"/>
                  <w:u w:val="single"/>
                  <w:effect w:val="none"/>
                </w:rPr>
                <w:t>Consolidated Statements of Operations for the three</w:t>
              </w:r>
            </w:hyperlink>
            <w:hyperlink w:anchor="i65296f168ea449b99126b2b55f877ea4_19">
              <w:r>
                <w:rPr>
                  <w:rStyle w:val="InternetLink"/>
                  <w:rFonts w:ascii="Times New Roman;sans-serif" w:hAnsi="Times New Roman;sans-serif"/>
                  <w:b/>
                  <w:strike w:val="false"/>
                  <w:dstrike w:val="false"/>
                  <w:color w:val="000080"/>
                  <w:sz w:val="18"/>
                  <w:u w:val="single"/>
                  <w:effect w:val="none"/>
                </w:rPr>
                <w:t xml:space="preserve"> months ended </w:t>
              </w:r>
            </w:hyperlink>
            <w:hyperlink w:anchor="i65296f168ea449b99126b2b55f877ea4_19">
              <w:r>
                <w:rPr>
                  <w:rStyle w:val="InternetLink"/>
                  <w:rFonts w:ascii="Times New Roman;sans-serif" w:hAnsi="Times New Roman;sans-serif"/>
                  <w:b/>
                  <w:strike w:val="false"/>
                  <w:dstrike w:val="false"/>
                  <w:color w:val="000080"/>
                  <w:sz w:val="18"/>
                  <w:u w:val="single"/>
                  <w:effect w:val="none"/>
                </w:rPr>
                <w:t>March 31, 2025</w:t>
              </w:r>
            </w:hyperlink>
            <w:hyperlink w:anchor="i65296f168ea449b99126b2b55f877ea4_19">
              <w:r>
                <w:rPr>
                  <w:rStyle w:val="InternetLink"/>
                  <w:rFonts w:ascii="Times New Roman;sans-serif" w:hAnsi="Times New Roman;sans-serif"/>
                  <w:b/>
                  <w:strike w:val="false"/>
                  <w:dstrike w:val="false"/>
                  <w:color w:val="000080"/>
                  <w:sz w:val="18"/>
                  <w:u w:val="single"/>
                  <w:effect w:val="none"/>
                </w:rPr>
                <w:t xml:space="preserve"> and 202</w:t>
              </w:r>
            </w:hyperlink>
            <w:hyperlink w:anchor="i65296f168ea449b99126b2b55f877ea4_19">
              <w:r>
                <w:rPr>
                  <w:rStyle w:val="InternetLink"/>
                  <w:rFonts w:ascii="Times New Roman;sans-serif" w:hAnsi="Times New Roman;sans-serif"/>
                  <w:b/>
                  <w:strike w:val="false"/>
                  <w:dstrike w:val="false"/>
                  <w:color w:val="000080"/>
                  <w:sz w:val="18"/>
                  <w:u w:val="single"/>
                  <w:effect w:val="none"/>
                </w:rPr>
                <w:t>4</w:t>
              </w:r>
            </w:hyperlink>
            <w:hyperlink w:anchor="i65296f168ea449b99126b2b55f877ea4_19">
              <w:r>
                <w:rPr>
                  <w:rStyle w:val="InternetLink"/>
                  <w:rFonts w:ascii="Times New Roman;sans-serif" w:hAnsi="Times New Roman;sans-serif"/>
                  <w:b/>
                  <w:strike w:val="false"/>
                  <w:dstrike w:val="false"/>
                  <w:color w:val="000080"/>
                  <w:sz w:val="18"/>
                  <w:u w:val="single"/>
                  <w:effect w:val="none"/>
                </w:rPr>
                <w:t xml:space="preserve"> (unaudited)</w:t>
              </w:r>
            </w:hyperlink>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9">
              <w:r>
                <w:rPr>
                  <w:rStyle w:val="InternetLink"/>
                  <w:rFonts w:ascii="Times New Roman;sans-serif" w:hAnsi="Times New Roman;sans-serif"/>
                  <w:b w:val="false"/>
                  <w:strike w:val="false"/>
                  <w:dstrike w:val="false"/>
                  <w:color w:val="0000FF"/>
                  <w:sz w:val="18"/>
                  <w:u w:val="none"/>
                  <w:effect w:val="none"/>
                </w:rPr>
                <w:t>6</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296f168ea449b99126b2b55f877ea4_22">
              <w:r>
                <w:rPr>
                  <w:rStyle w:val="InternetLink"/>
                  <w:rFonts w:ascii="Times New Roman;sans-serif" w:hAnsi="Times New Roman;sans-serif"/>
                  <w:b/>
                  <w:strike w:val="false"/>
                  <w:dstrike w:val="false"/>
                  <w:color w:val="000080"/>
                  <w:sz w:val="18"/>
                  <w:u w:val="single"/>
                  <w:effect w:val="none"/>
                </w:rPr>
                <w:t xml:space="preserve">Consolidated Statements of Comprehensive Loss for the three </w:t>
              </w:r>
            </w:hyperlink>
            <w:hyperlink w:anchor="i65296f168ea449b99126b2b55f877ea4_22">
              <w:r>
                <w:rPr>
                  <w:rStyle w:val="InternetLink"/>
                  <w:rFonts w:ascii="Times New Roman;sans-serif" w:hAnsi="Times New Roman;sans-serif"/>
                  <w:b/>
                  <w:strike w:val="false"/>
                  <w:dstrike w:val="false"/>
                  <w:color w:val="000080"/>
                  <w:sz w:val="18"/>
                  <w:u w:val="single"/>
                  <w:effect w:val="none"/>
                </w:rPr>
                <w:t xml:space="preserve">months ended </w:t>
              </w:r>
            </w:hyperlink>
            <w:hyperlink w:anchor="i65296f168ea449b99126b2b55f877ea4_22">
              <w:r>
                <w:rPr>
                  <w:rStyle w:val="InternetLink"/>
                  <w:rFonts w:ascii="Times New Roman;sans-serif" w:hAnsi="Times New Roman;sans-serif"/>
                  <w:b/>
                  <w:strike w:val="false"/>
                  <w:dstrike w:val="false"/>
                  <w:color w:val="000080"/>
                  <w:sz w:val="18"/>
                  <w:u w:val="single"/>
                  <w:effect w:val="none"/>
                </w:rPr>
                <w:t>March 31</w:t>
              </w:r>
            </w:hyperlink>
            <w:hyperlink w:anchor="i65296f168ea449b99126b2b55f877ea4_22">
              <w:r>
                <w:rPr>
                  <w:rStyle w:val="InternetLink"/>
                  <w:rFonts w:ascii="Times New Roman;sans-serif" w:hAnsi="Times New Roman;sans-serif"/>
                  <w:b/>
                  <w:strike w:val="false"/>
                  <w:dstrike w:val="false"/>
                  <w:color w:val="000080"/>
                  <w:sz w:val="18"/>
                  <w:u w:val="single"/>
                  <w:effect w:val="none"/>
                </w:rPr>
                <w:t>, 202</w:t>
              </w:r>
            </w:hyperlink>
            <w:hyperlink w:anchor="i65296f168ea449b99126b2b55f877ea4_22">
              <w:r>
                <w:rPr>
                  <w:rStyle w:val="InternetLink"/>
                  <w:rFonts w:ascii="Times New Roman;sans-serif" w:hAnsi="Times New Roman;sans-serif"/>
                  <w:b/>
                  <w:strike w:val="false"/>
                  <w:dstrike w:val="false"/>
                  <w:color w:val="000080"/>
                  <w:sz w:val="18"/>
                  <w:u w:val="single"/>
                  <w:effect w:val="none"/>
                </w:rPr>
                <w:t>5</w:t>
              </w:r>
            </w:hyperlink>
            <w:hyperlink w:anchor="i65296f168ea449b99126b2b55f877ea4_22">
              <w:r>
                <w:rPr>
                  <w:rStyle w:val="InternetLink"/>
                  <w:rFonts w:ascii="Times New Roman;sans-serif" w:hAnsi="Times New Roman;sans-serif"/>
                  <w:b/>
                  <w:strike w:val="false"/>
                  <w:dstrike w:val="false"/>
                  <w:color w:val="000080"/>
                  <w:sz w:val="18"/>
                  <w:u w:val="single"/>
                  <w:effect w:val="none"/>
                </w:rPr>
                <w:t xml:space="preserve"> and 202</w:t>
              </w:r>
            </w:hyperlink>
            <w:hyperlink w:anchor="i65296f168ea449b99126b2b55f877ea4_22">
              <w:r>
                <w:rPr>
                  <w:rStyle w:val="InternetLink"/>
                  <w:rFonts w:ascii="Times New Roman;sans-serif" w:hAnsi="Times New Roman;sans-serif"/>
                  <w:b/>
                  <w:strike w:val="false"/>
                  <w:dstrike w:val="false"/>
                  <w:color w:val="000080"/>
                  <w:sz w:val="18"/>
                  <w:u w:val="single"/>
                  <w:effect w:val="none"/>
                </w:rPr>
                <w:t>4</w:t>
              </w:r>
            </w:hyperlink>
            <w:hyperlink w:anchor="i65296f168ea449b99126b2b55f877ea4_22">
              <w:r>
                <w:rPr>
                  <w:rStyle w:val="InternetLink"/>
                  <w:rFonts w:ascii="Times New Roman;sans-serif" w:hAnsi="Times New Roman;sans-serif"/>
                  <w:b/>
                  <w:strike w:val="false"/>
                  <w:dstrike w:val="false"/>
                  <w:color w:val="000080"/>
                  <w:sz w:val="18"/>
                  <w:u w:val="single"/>
                  <w:effect w:val="none"/>
                </w:rPr>
                <w:t xml:space="preserve"> (unaudited)</w:t>
              </w:r>
            </w:hyperlink>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22">
              <w:r>
                <w:rPr>
                  <w:rStyle w:val="InternetLink"/>
                  <w:rFonts w:ascii="Times New Roman;sans-serif" w:hAnsi="Times New Roman;sans-serif"/>
                  <w:b w:val="false"/>
                  <w:strike w:val="false"/>
                  <w:dstrike w:val="false"/>
                  <w:color w:val="0000FF"/>
                  <w:sz w:val="18"/>
                  <w:u w:val="none"/>
                  <w:effect w:val="none"/>
                </w:rPr>
                <w:t>7</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296f168ea449b99126b2b55f877ea4_25">
              <w:r>
                <w:rPr>
                  <w:rStyle w:val="InternetLink"/>
                  <w:rFonts w:ascii="Times New Roman;sans-serif" w:hAnsi="Times New Roman;sans-serif"/>
                  <w:b/>
                  <w:strike w:val="false"/>
                  <w:dstrike w:val="false"/>
                  <w:color w:val="000080"/>
                  <w:sz w:val="18"/>
                  <w:u w:val="single"/>
                  <w:effect w:val="none"/>
                </w:rPr>
                <w:t xml:space="preserve">Consolidated Statements of Equity for the three </w:t>
              </w:r>
            </w:hyperlink>
            <w:hyperlink w:anchor="i65296f168ea449b99126b2b55f877ea4_25">
              <w:r>
                <w:rPr>
                  <w:rStyle w:val="InternetLink"/>
                  <w:rFonts w:ascii="Times New Roman;sans-serif" w:hAnsi="Times New Roman;sans-serif"/>
                  <w:b/>
                  <w:strike w:val="false"/>
                  <w:dstrike w:val="false"/>
                  <w:color w:val="000080"/>
                  <w:sz w:val="18"/>
                  <w:u w:val="single"/>
                  <w:effect w:val="none"/>
                </w:rPr>
                <w:t xml:space="preserve">months ended </w:t>
              </w:r>
            </w:hyperlink>
            <w:hyperlink w:anchor="i65296f168ea449b99126b2b55f877ea4_25">
              <w:r>
                <w:rPr>
                  <w:rStyle w:val="InternetLink"/>
                  <w:rFonts w:ascii="Times New Roman;sans-serif" w:hAnsi="Times New Roman;sans-serif"/>
                  <w:b/>
                  <w:strike w:val="false"/>
                  <w:dstrike w:val="false"/>
                  <w:color w:val="000080"/>
                  <w:sz w:val="18"/>
                  <w:u w:val="single"/>
                  <w:effect w:val="none"/>
                </w:rPr>
                <w:t>March 31, 2025</w:t>
              </w:r>
            </w:hyperlink>
            <w:hyperlink w:anchor="i65296f168ea449b99126b2b55f877ea4_25">
              <w:r>
                <w:rPr>
                  <w:rStyle w:val="InternetLink"/>
                  <w:rFonts w:ascii="Times New Roman;sans-serif" w:hAnsi="Times New Roman;sans-serif"/>
                  <w:b/>
                  <w:strike w:val="false"/>
                  <w:dstrike w:val="false"/>
                  <w:color w:val="000080"/>
                  <w:sz w:val="18"/>
                  <w:u w:val="single"/>
                  <w:effect w:val="none"/>
                </w:rPr>
                <w:t xml:space="preserve"> and 202</w:t>
              </w:r>
            </w:hyperlink>
            <w:hyperlink w:anchor="i65296f168ea449b99126b2b55f877ea4_25">
              <w:r>
                <w:rPr>
                  <w:rStyle w:val="InternetLink"/>
                  <w:rFonts w:ascii="Times New Roman;sans-serif" w:hAnsi="Times New Roman;sans-serif"/>
                  <w:b/>
                  <w:strike w:val="false"/>
                  <w:dstrike w:val="false"/>
                  <w:color w:val="000080"/>
                  <w:sz w:val="18"/>
                  <w:u w:val="single"/>
                  <w:effect w:val="none"/>
                </w:rPr>
                <w:t>4</w:t>
              </w:r>
            </w:hyperlink>
            <w:hyperlink w:anchor="i65296f168ea449b99126b2b55f877ea4_25">
              <w:r>
                <w:rPr>
                  <w:rStyle w:val="InternetLink"/>
                  <w:rFonts w:ascii="Times New Roman;sans-serif" w:hAnsi="Times New Roman;sans-serif"/>
                  <w:b/>
                  <w:strike w:val="false"/>
                  <w:dstrike w:val="false"/>
                  <w:color w:val="000080"/>
                  <w:sz w:val="18"/>
                  <w:u w:val="single"/>
                  <w:effect w:val="none"/>
                </w:rPr>
                <w:t xml:space="preserve"> (unaudited) </w:t>
              </w:r>
            </w:hyperlink>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25">
              <w:r>
                <w:rPr>
                  <w:rStyle w:val="InternetLink"/>
                  <w:rFonts w:ascii="Times New Roman;sans-serif" w:hAnsi="Times New Roman;sans-serif"/>
                  <w:b w:val="false"/>
                  <w:strike w:val="false"/>
                  <w:dstrike w:val="false"/>
                  <w:color w:val="0000FF"/>
                  <w:sz w:val="18"/>
                  <w:u w:val="none"/>
                  <w:effect w:val="none"/>
                </w:rPr>
                <w:t>8</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65296f168ea449b99126b2b55f877ea4_31">
              <w:r>
                <w:rPr>
                  <w:rStyle w:val="InternetLink"/>
                  <w:rFonts w:ascii="Times New Roman;sans-serif" w:hAnsi="Times New Roman;sans-serif"/>
                  <w:b/>
                  <w:strike w:val="false"/>
                  <w:dstrike w:val="false"/>
                  <w:color w:val="000080"/>
                  <w:sz w:val="18"/>
                  <w:u w:val="single"/>
                  <w:effect w:val="none"/>
                </w:rPr>
                <w:t xml:space="preserve">Consolidated Statements of Cash Flows for the </w:t>
              </w:r>
            </w:hyperlink>
            <w:hyperlink w:anchor="i65296f168ea449b99126b2b55f877ea4_31">
              <w:r>
                <w:rPr>
                  <w:rStyle w:val="InternetLink"/>
                  <w:rFonts w:ascii="Times New Roman;sans-serif" w:hAnsi="Times New Roman;sans-serif"/>
                  <w:b/>
                  <w:strike w:val="false"/>
                  <w:dstrike w:val="false"/>
                  <w:color w:val="000080"/>
                  <w:sz w:val="18"/>
                  <w:u w:val="single"/>
                  <w:effect w:val="none"/>
                </w:rPr>
                <w:t>three</w:t>
              </w:r>
            </w:hyperlink>
            <w:hyperlink w:anchor="i65296f168ea449b99126b2b55f877ea4_31">
              <w:r>
                <w:rPr>
                  <w:rStyle w:val="InternetLink"/>
                  <w:rFonts w:ascii="Times New Roman;sans-serif" w:hAnsi="Times New Roman;sans-serif"/>
                  <w:b/>
                  <w:strike w:val="false"/>
                  <w:dstrike w:val="false"/>
                  <w:color w:val="000080"/>
                  <w:sz w:val="18"/>
                  <w:u w:val="single"/>
                  <w:effect w:val="none"/>
                </w:rPr>
                <w:t xml:space="preserve"> months ended </w:t>
              </w:r>
            </w:hyperlink>
            <w:hyperlink w:anchor="i65296f168ea449b99126b2b55f877ea4_31">
              <w:r>
                <w:rPr>
                  <w:rStyle w:val="InternetLink"/>
                  <w:rFonts w:ascii="Times New Roman;sans-serif" w:hAnsi="Times New Roman;sans-serif"/>
                  <w:b/>
                  <w:strike w:val="false"/>
                  <w:dstrike w:val="false"/>
                  <w:color w:val="000080"/>
                  <w:sz w:val="18"/>
                  <w:u w:val="single"/>
                  <w:effect w:val="none"/>
                </w:rPr>
                <w:t>Ma</w:t>
              </w:r>
            </w:hyperlink>
            <w:hyperlink w:anchor="i65296f168ea449b99126b2b55f877ea4_31">
              <w:r>
                <w:rPr>
                  <w:rStyle w:val="InternetLink"/>
                  <w:rFonts w:ascii="Times New Roman;sans-serif" w:hAnsi="Times New Roman;sans-serif"/>
                  <w:b/>
                  <w:strike w:val="false"/>
                  <w:dstrike w:val="false"/>
                  <w:color w:val="000080"/>
                  <w:sz w:val="18"/>
                  <w:u w:val="single"/>
                  <w:effect w:val="none"/>
                </w:rPr>
                <w:t xml:space="preserve">rch 31, </w:t>
              </w:r>
            </w:hyperlink>
            <w:hyperlink w:anchor="i65296f168ea449b99126b2b55f877ea4_31">
              <w:r>
                <w:rPr>
                  <w:rStyle w:val="InternetLink"/>
                  <w:rFonts w:ascii="Times New Roman;sans-serif" w:hAnsi="Times New Roman;sans-serif"/>
                  <w:b/>
                  <w:strike w:val="false"/>
                  <w:dstrike w:val="false"/>
                  <w:color w:val="000080"/>
                  <w:sz w:val="18"/>
                  <w:u w:val="single"/>
                  <w:effect w:val="none"/>
                </w:rPr>
                <w:t>2025</w:t>
              </w:r>
            </w:hyperlink>
            <w:hyperlink w:anchor="i65296f168ea449b99126b2b55f877ea4_31">
              <w:r>
                <w:rPr>
                  <w:rStyle w:val="InternetLink"/>
                  <w:rFonts w:ascii="Times New Roman;sans-serif" w:hAnsi="Times New Roman;sans-serif"/>
                  <w:b/>
                  <w:strike w:val="false"/>
                  <w:dstrike w:val="false"/>
                  <w:color w:val="000080"/>
                  <w:sz w:val="18"/>
                  <w:u w:val="single"/>
                  <w:effect w:val="none"/>
                </w:rPr>
                <w:t xml:space="preserve"> and 202</w:t>
              </w:r>
            </w:hyperlink>
            <w:hyperlink w:anchor="i65296f168ea449b99126b2b55f877ea4_31">
              <w:r>
                <w:rPr>
                  <w:rStyle w:val="InternetLink"/>
                  <w:rFonts w:ascii="Times New Roman;sans-serif" w:hAnsi="Times New Roman;sans-serif"/>
                  <w:b/>
                  <w:strike w:val="false"/>
                  <w:dstrike w:val="false"/>
                  <w:color w:val="000080"/>
                  <w:sz w:val="18"/>
                  <w:u w:val="single"/>
                  <w:effect w:val="none"/>
                </w:rPr>
                <w:t>4</w:t>
              </w:r>
            </w:hyperlink>
            <w:hyperlink w:anchor="i65296f168ea449b99126b2b55f877ea4_31">
              <w:r>
                <w:rPr>
                  <w:rStyle w:val="InternetLink"/>
                  <w:rFonts w:ascii="Times New Roman;sans-serif" w:hAnsi="Times New Roman;sans-serif"/>
                  <w:b/>
                  <w:strike w:val="false"/>
                  <w:dstrike w:val="false"/>
                  <w:color w:val="000080"/>
                  <w:sz w:val="18"/>
                  <w:u w:val="single"/>
                  <w:effect w:val="none"/>
                </w:rPr>
                <w:t xml:space="preserve"> (unaudited)</w:t>
              </w:r>
            </w:hyperlink>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31">
              <w:r>
                <w:rPr>
                  <w:rStyle w:val="InternetLink"/>
                  <w:rFonts w:ascii="Times New Roman;sans-serif" w:hAnsi="Times New Roman;sans-serif"/>
                  <w:b w:val="false"/>
                  <w:strike w:val="false"/>
                  <w:dstrike w:val="false"/>
                  <w:color w:val="0000FF"/>
                  <w:sz w:val="18"/>
                  <w:u w:val="none"/>
                  <w:effect w:val="none"/>
                </w:rPr>
                <w:t>9</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Notes to Unaudited Consolidated Financial Statements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34">
              <w:r>
                <w:rPr>
                  <w:rStyle w:val="InternetLink"/>
                  <w:rFonts w:ascii="Times New Roman;sans-serif" w:hAnsi="Times New Roman;sans-serif"/>
                  <w:b w:val="false"/>
                  <w:strike w:val="false"/>
                  <w:dstrike w:val="false"/>
                  <w:color w:val="0000FF"/>
                  <w:sz w:val="18"/>
                  <w:u w:val="none"/>
                  <w:effect w:val="none"/>
                </w:rPr>
                <w:t>10</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2.</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Management’s Discussion and Analysis of Financial Condition and Results of Operations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94">
              <w:r>
                <w:rPr>
                  <w:rStyle w:val="InternetLink"/>
                  <w:rFonts w:ascii="Times New Roman;sans-serif" w:hAnsi="Times New Roman;sans-serif"/>
                  <w:b w:val="false"/>
                  <w:strike w:val="false"/>
                  <w:dstrike w:val="false"/>
                  <w:color w:val="0000FF"/>
                  <w:sz w:val="18"/>
                  <w:u w:val="none"/>
                  <w:effect w:val="none"/>
                </w:rPr>
                <w:t>25</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3.</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Quantitative and Qualitative Disclosures About Market Risk</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06">
              <w:r>
                <w:rPr>
                  <w:rStyle w:val="InternetLink"/>
                  <w:rFonts w:ascii="Times New Roman;sans-serif" w:hAnsi="Times New Roman;sans-serif"/>
                  <w:b w:val="false"/>
                  <w:strike w:val="false"/>
                  <w:dstrike w:val="false"/>
                  <w:color w:val="0000FF"/>
                  <w:sz w:val="18"/>
                  <w:u w:val="none"/>
                  <w:effect w:val="none"/>
                </w:rPr>
                <w:t>31</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4.</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Controls and Procedures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09">
              <w:r>
                <w:rPr>
                  <w:rStyle w:val="InternetLink"/>
                  <w:rFonts w:ascii="Times New Roman;sans-serif" w:hAnsi="Times New Roman;sans-serif"/>
                  <w:b w:val="false"/>
                  <w:strike w:val="false"/>
                  <w:dstrike w:val="false"/>
                  <w:color w:val="0000FF"/>
                  <w:sz w:val="18"/>
                  <w:u w:val="none"/>
                  <w:effect w:val="none"/>
                </w:rPr>
                <w:t>31</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PART II- OTHER INFORMATION</w:t>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Legal Proceedings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15">
              <w:r>
                <w:rPr>
                  <w:rStyle w:val="InternetLink"/>
                  <w:rFonts w:ascii="Times New Roman;sans-serif" w:hAnsi="Times New Roman;sans-serif"/>
                  <w:b w:val="false"/>
                  <w:strike w:val="false"/>
                  <w:dstrike w:val="false"/>
                  <w:color w:val="0000FF"/>
                  <w:sz w:val="18"/>
                  <w:u w:val="none"/>
                  <w:effect w:val="none"/>
                </w:rPr>
                <w:t>33</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1A.</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Risk Factors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18">
              <w:r>
                <w:rPr>
                  <w:rStyle w:val="InternetLink"/>
                  <w:rFonts w:ascii="Times New Roman;sans-serif" w:hAnsi="Times New Roman;sans-serif"/>
                  <w:b w:val="false"/>
                  <w:strike w:val="false"/>
                  <w:dstrike w:val="false"/>
                  <w:color w:val="0000FF"/>
                  <w:sz w:val="18"/>
                  <w:u w:val="none"/>
                  <w:effect w:val="none"/>
                </w:rPr>
                <w:t>33</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2.</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Unregistered Sales of Equity Securities and Use of Proceeds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21">
              <w:r>
                <w:rPr>
                  <w:rStyle w:val="InternetLink"/>
                  <w:rFonts w:ascii="Times New Roman;sans-serif" w:hAnsi="Times New Roman;sans-serif"/>
                  <w:b w:val="false"/>
                  <w:strike w:val="false"/>
                  <w:dstrike w:val="false"/>
                  <w:color w:val="0000FF"/>
                  <w:sz w:val="18"/>
                  <w:u w:val="none"/>
                  <w:effect w:val="none"/>
                </w:rPr>
                <w:t>33</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3.</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Defaults Upon Senior Securities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24">
              <w:r>
                <w:rPr>
                  <w:rStyle w:val="InternetLink"/>
                  <w:rFonts w:ascii="Times New Roman;sans-serif" w:hAnsi="Times New Roman;sans-serif"/>
                  <w:b w:val="false"/>
                  <w:strike w:val="false"/>
                  <w:dstrike w:val="false"/>
                  <w:color w:val="0000FF"/>
                  <w:sz w:val="18"/>
                  <w:u w:val="none"/>
                  <w:effect w:val="none"/>
                </w:rPr>
                <w:t>33</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4.</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Mine Safety Disclosures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27">
              <w:r>
                <w:rPr>
                  <w:rStyle w:val="InternetLink"/>
                  <w:rFonts w:ascii="Times New Roman;sans-serif" w:hAnsi="Times New Roman;sans-serif"/>
                  <w:b w:val="false"/>
                  <w:strike w:val="false"/>
                  <w:dstrike w:val="false"/>
                  <w:color w:val="0000FF"/>
                  <w:sz w:val="18"/>
                  <w:u w:val="none"/>
                  <w:effect w:val="none"/>
                </w:rPr>
                <w:t>33</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5.</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Other Information</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30">
              <w:r>
                <w:rPr>
                  <w:rStyle w:val="InternetLink"/>
                  <w:rFonts w:ascii="Times New Roman;sans-serif" w:hAnsi="Times New Roman;sans-serif"/>
                  <w:b w:val="false"/>
                  <w:strike w:val="false"/>
                  <w:dstrike w:val="false"/>
                  <w:color w:val="0000FF"/>
                  <w:sz w:val="18"/>
                  <w:u w:val="none"/>
                  <w:effect w:val="none"/>
                </w:rPr>
                <w:t>33</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6.</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Exhibits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33">
              <w:r>
                <w:rPr>
                  <w:rStyle w:val="InternetLink"/>
                  <w:rFonts w:ascii="Times New Roman;sans-serif" w:hAnsi="Times New Roman;sans-serif"/>
                  <w:b w:val="false"/>
                  <w:strike w:val="false"/>
                  <w:dstrike w:val="false"/>
                  <w:color w:val="0000FF"/>
                  <w:sz w:val="18"/>
                  <w:u w:val="none"/>
                  <w:effect w:val="none"/>
                </w:rPr>
                <w:t>33</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Signatures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65296f168ea449b99126b2b55f877ea4_136">
              <w:r>
                <w:rPr>
                  <w:rStyle w:val="InternetLink"/>
                  <w:rFonts w:ascii="Times New Roman;sans-serif" w:hAnsi="Times New Roman;sans-serif"/>
                  <w:b w:val="false"/>
                  <w:strike w:val="false"/>
                  <w:dstrike w:val="false"/>
                  <w:color w:val="0000FF"/>
                  <w:sz w:val="18"/>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data)</w:t>
      </w:r>
    </w:p>
    <w:tbl>
      <w:tblPr>
        <w:tblW w:w="9656" w:type="dxa"/>
        <w:jc w:val="left"/>
        <w:tblInd w:w="0" w:type="dxa"/>
        <w:tblLayout w:type="fixed"/>
        <w:tblCellMar>
          <w:top w:w="28" w:type="dxa"/>
          <w:left w:w="28" w:type="dxa"/>
          <w:bottom w:w="28" w:type="dxa"/>
          <w:right w:w="28" w:type="dxa"/>
        </w:tblCellMar>
      </w:tblPr>
      <w:tblGrid>
        <w:gridCol w:w="2571"/>
        <w:gridCol w:w="2255"/>
        <w:gridCol w:w="2269"/>
        <w:gridCol w:w="216"/>
        <w:gridCol w:w="713"/>
        <w:gridCol w:w="120"/>
        <w:gridCol w:w="109"/>
        <w:gridCol w:w="109"/>
        <w:gridCol w:w="109"/>
        <w:gridCol w:w="233"/>
        <w:gridCol w:w="769"/>
        <w:gridCol w:w="183"/>
      </w:tblGrid>
      <w:tr>
        <w:trPr/>
        <w:tc>
          <w:tcPr>
            <w:tcW w:w="257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license - intangible, net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NON-CONTROLLING INTERESTS AND STOCKHOLDERS' EQUITY</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14)</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authorized 500,000,000 shares; issued 8,620,900</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and 8,409,582 shares at March 31, 2025 and December 31, 2024, respectively; and </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outstanding, 8,620,162 and 8,408,844 shares at March 31, 2025 and December 31, 2024, </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respectively</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578,923 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738 shares at March 31, 2025 and December 31, 2024</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(552,790)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(548,066)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Lisata Therapeutics, Inc. stockholders' equity</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non-controlling interests and stockholders' equity</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data)</w:t>
      </w:r>
    </w:p>
    <w:tbl>
      <w:tblPr>
        <w:tblW w:w="8877" w:type="dxa"/>
        <w:jc w:val="center"/>
        <w:tblInd w:w="0" w:type="dxa"/>
        <w:tblLayout w:type="fixed"/>
        <w:tblCellMar>
          <w:top w:w="28" w:type="dxa"/>
          <w:left w:w="28" w:type="dxa"/>
          <w:bottom w:w="28" w:type="dxa"/>
          <w:right w:w="28" w:type="dxa"/>
        </w:tblCellMar>
      </w:tblPr>
      <w:tblGrid>
        <w:gridCol w:w="1949"/>
        <w:gridCol w:w="1715"/>
        <w:gridCol w:w="1721"/>
        <w:gridCol w:w="230"/>
        <w:gridCol w:w="740"/>
        <w:gridCol w:w="127"/>
        <w:gridCol w:w="127"/>
        <w:gridCol w:w="127"/>
        <w:gridCol w:w="127"/>
        <w:gridCol w:w="230"/>
        <w:gridCol w:w="740"/>
        <w:gridCol w:w="127"/>
        <w:gridCol w:w="109"/>
        <w:gridCol w:w="109"/>
        <w:gridCol w:w="109"/>
        <w:gridCol w:w="109"/>
        <w:gridCol w:w="109"/>
        <w:gridCol w:w="109"/>
        <w:gridCol w:w="109"/>
        <w:gridCol w:w="154"/>
      </w:tblGrid>
      <w:tr>
        <w:trPr/>
        <w:tc>
          <w:tcPr>
            <w:tcW w:w="194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 before benefit from income taxes and noncontrolling interests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 net income (loss) attributable to noncontrolling interests</w:t>
            </w:r>
          </w:p>
        </w:tc>
        <w:tc>
          <w:tcPr>
            <w:tcW w:w="9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Lisata Therapeutics, Inc. common stockholders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 loss per share</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Lisata Therapeutics, Inc. common stockholders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shares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8486" w:type="dxa"/>
        <w:jc w:val="center"/>
        <w:tblInd w:w="0" w:type="dxa"/>
        <w:tblLayout w:type="fixed"/>
        <w:tblCellMar>
          <w:top w:w="28" w:type="dxa"/>
          <w:left w:w="28" w:type="dxa"/>
          <w:bottom w:w="28" w:type="dxa"/>
          <w:right w:w="28" w:type="dxa"/>
        </w:tblCellMar>
      </w:tblPr>
      <w:tblGrid>
        <w:gridCol w:w="1806"/>
        <w:gridCol w:w="1582"/>
        <w:gridCol w:w="1606"/>
        <w:gridCol w:w="230"/>
        <w:gridCol w:w="740"/>
        <w:gridCol w:w="127"/>
        <w:gridCol w:w="127"/>
        <w:gridCol w:w="127"/>
        <w:gridCol w:w="127"/>
        <w:gridCol w:w="230"/>
        <w:gridCol w:w="740"/>
        <w:gridCol w:w="127"/>
        <w:gridCol w:w="109"/>
        <w:gridCol w:w="109"/>
        <w:gridCol w:w="109"/>
        <w:gridCol w:w="109"/>
        <w:gridCol w:w="109"/>
        <w:gridCol w:w="109"/>
        <w:gridCol w:w="109"/>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 (loss):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 for sale securities - net unrealized loss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translation adjustment arising during the period</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gain (loss)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Lisata Therapeutics, Inc. common</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w:t>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(4,721)</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(5,463)</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bidi w:val="0"/>
        <w:spacing w:before="0" w:after="0"/>
        <w:jc w:val="center"/>
        <w:rPr/>
      </w:pPr>
      <w:r>
        <w:rPr/>
      </w:r>
    </w:p>
    <w:tbl>
      <w:tblPr>
        <w:tblW w:w="12660"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109"/>
        <w:gridCol w:w="109"/>
        <w:gridCol w:w="109"/>
        <w:gridCol w:w="278"/>
        <w:gridCol w:w="278"/>
        <w:gridCol w:w="171"/>
        <w:gridCol w:w="109"/>
        <w:gridCol w:w="109"/>
        <w:gridCol w:w="109"/>
        <w:gridCol w:w="269"/>
        <w:gridCol w:w="331"/>
        <w:gridCol w:w="151"/>
        <w:gridCol w:w="190"/>
        <w:gridCol w:w="190"/>
        <w:gridCol w:w="191"/>
        <w:gridCol w:w="196"/>
        <w:gridCol w:w="736"/>
        <w:gridCol w:w="109"/>
        <w:gridCol w:w="109"/>
        <w:gridCol w:w="109"/>
        <w:gridCol w:w="109"/>
        <w:gridCol w:w="230"/>
        <w:gridCol w:w="512"/>
        <w:gridCol w:w="129"/>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576,971 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2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(528,081)</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47,894 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(5,401)</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(5,401)</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(5,401)</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(533,482)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center"/>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1939"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278"/>
        <w:gridCol w:w="278"/>
        <w:gridCol w:w="171"/>
        <w:gridCol w:w="109"/>
        <w:gridCol w:w="109"/>
        <w:gridCol w:w="109"/>
        <w:gridCol w:w="204"/>
        <w:gridCol w:w="252"/>
        <w:gridCol w:w="115"/>
        <w:gridCol w:w="109"/>
        <w:gridCol w:w="109"/>
        <w:gridCol w:w="109"/>
        <w:gridCol w:w="196"/>
        <w:gridCol w:w="736"/>
        <w:gridCol w:w="109"/>
        <w:gridCol w:w="109"/>
        <w:gridCol w:w="109"/>
        <w:gridCol w:w="109"/>
        <w:gridCol w:w="307"/>
        <w:gridCol w:w="542"/>
        <w:gridCol w:w="172"/>
        <w:gridCol w:w="109"/>
        <w:gridCol w:w="109"/>
        <w:gridCol w:w="109"/>
        <w:gridCol w:w="196"/>
        <w:gridCol w:w="751"/>
        <w:gridCol w:w="109"/>
        <w:gridCol w:w="109"/>
        <w:gridCol w:w="109"/>
        <w:gridCol w:w="109"/>
        <w:gridCol w:w="196"/>
        <w:gridCol w:w="436"/>
        <w:gridCol w:w="109"/>
        <w:gridCol w:w="109"/>
        <w:gridCol w:w="109"/>
        <w:gridCol w:w="109"/>
        <w:gridCol w:w="196"/>
        <w:gridCol w:w="646"/>
        <w:gridCol w:w="109"/>
        <w:gridCol w:w="109"/>
        <w:gridCol w:w="109"/>
        <w:gridCol w:w="109"/>
        <w:gridCol w:w="214"/>
        <w:gridCol w:w="477"/>
        <w:gridCol w:w="120"/>
        <w:gridCol w:w="109"/>
        <w:gridCol w:w="109"/>
        <w:gridCol w:w="109"/>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8,410 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578,418 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17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(548,066)</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29,571 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20"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29,317 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(4,724)</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(4,724)</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(4,724)</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option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(552,790)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bidi w:val="0"/>
        <w:spacing w:lineRule="auto" w:line="288" w:before="0" w:after="0"/>
        <w:jc w:val="left"/>
        <w:rPr>
          <w:color w:val="000000"/>
        </w:rPr>
      </w:pPr>
      <w:r>
        <w:rPr>
          <w:color w:val="000000"/>
        </w:rPr>
        <w:t> </w:t>
      </w:r>
    </w:p>
    <w:tbl>
      <w:tblPr>
        <w:tblW w:w="7839" w:type="dxa"/>
        <w:jc w:val="left"/>
        <w:tblInd w:w="0" w:type="dxa"/>
        <w:tblLayout w:type="fixed"/>
        <w:tblCellMar>
          <w:top w:w="28" w:type="dxa"/>
          <w:left w:w="28" w:type="dxa"/>
          <w:bottom w:w="28" w:type="dxa"/>
          <w:right w:w="28" w:type="dxa"/>
        </w:tblCellMar>
      </w:tblPr>
      <w:tblGrid>
        <w:gridCol w:w="1891"/>
        <w:gridCol w:w="1658"/>
        <w:gridCol w:w="1671"/>
        <w:gridCol w:w="226"/>
        <w:gridCol w:w="745"/>
        <w:gridCol w:w="125"/>
        <w:gridCol w:w="125"/>
        <w:gridCol w:w="125"/>
        <w:gridCol w:w="125"/>
        <w:gridCol w:w="226"/>
        <w:gridCol w:w="745"/>
        <w:gridCol w:w="177"/>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equity method investment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Amortization/accretion on marketable securities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liabilities and other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marketable securities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marketable securities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Impilo Therapeutics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options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on net share settlement equity awards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issuance of common stock</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Effect of exchange rate changes on cash</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 – Description of Business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Lisata Therapeutics, Inc. (together with its subsidiaries, the “Company”) is a clinical-stage pharmaceutical company dedicated to the discovery, development, and commercialization of innovative therapies for the treatment of solid tumors and other major diseases. The Company's investigational product, certepetide (formerly known as LSTA1 or CEND-1),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The Company, its collaborators and other researchers have amassed and continue to amass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The Company is exploring certepetide as a means to enable a variety of therapeutic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leadership team has decades of collective biopharmaceutical and pharmaceutical product development experience across a variety of therapeutic categories and at all stages of development from preclinical through to product registration and launch. The Company's goal is to develop and commercialize products that address important unmet medical needs.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history of net operating losses and negative cash flows from operating activities, and has cash, cash equivalents and marketable securities of approximately $25.8 million as of March 31, 2025. The Company anticipates incurring additional losses until such time, if ever, that it can generate significant revenues from its products currently in development. To manage capital for operating needs in the short-term, initiation of the FORTIFIDE study remains on hold as the Company is investigating a potentially faster and more cost-effective approach to achieving the study objective. The Company has similarly decided to delay commencement of certain phase 3 readiness activities for chemistry, manufacturing and controls (“CMC”). The Company believes that, as a result, it currently has sufficient cash to meet its funding requirements over the next year. To meet our long-term liquidity needs, the Company expects that it will need additional financing, which could result in additional potential issuances of debt or equity securities in public or private financings, partnerships and/or collaborations and/or sale of assets.</w:t>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accounting principles generally accepted in the United States of America (“U.S.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March 31, 2025, and the results of its operations and its cash flows for the periods presented. The unaudited consolidated financial statements herein should be read together with the historical consolidated financial statements of the Company for the years ended December 31, 2024 and 2023 included in our 2024 Form 10-K. Operating results for the three months ended March 31, 2025 are not necessarily indicative of the results that may be expected for the year ending December 31, 2025.</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as one operating segment, the research and development of its investigational drug product. The Company's Chief Operating Decision Maker (“CODM”) is its Chief Executive Officer, who manages the business on a consolidated basis.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Lisata Therapeutics, Inc. and its wholly owned and majority owned subsidiaries and affiliates. All intercompany activities have been eliminated in consolidation.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Foreign Currency Remeasurement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2 – Summary of Significant Accounting Policies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short-term, highly liquid, investments with maturities of ninety days or less when purchased.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Concentration of Risks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credit risk from its portfolio of cash, cash equivalents, accounts receivable and marketable securities. Under its investment policy, the Company limits amounts invested in such securities by credit rating, maturity, industry group, investment type and issuer, except for securities issued by the U.S. government, thereby reducing credit risk exposure. Cash is held at major banks in the United States and may exceed federally insured limits. The Company does not believe that it is subject to unusual credit risk beyond the normal credit risk associated with commercial banking relationships. The goals of the Company's investment policy, in order of priority, are as follows: safety and preservation of principal and diversification of risk, liquidity of investments sufficient to meet cash flow requirements, and a competitive after-tax rate of return. The Company’s accounts receivable balance as of March 31, 2025 and December 31, 2024 is derived from its license agreement dated November 30, 2024, more fully described in Note 17. The Company has no significant off-balance sheet concentrations of credit risk, such as foreign currency exchange contracts, option contracts, or other hedging arrangements.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is stated at historical cost, less allowance for credit losses. The Company records an expense based on a forward-looking current expected credit loss model to maintain its allowance for credit losses, which replaced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When determining its allowance for trade accounts receivable, the Company considers the probability of recoverability of accounts receivable based on experience, taking into account current collection trends and general economic factors, including bankruptcy rates. The Company also considers future economic trends to estimate expected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losses over the lifetime of the asset. Credit risks are assessed based on historical write-offs, net of recoveries, as well as an analysis of the aged accounts receivable balances with allowances generally increasing as the receivable ages. Accounts receivable may be fully reserved for when specific collection issues are known to exist, such as pending bankruptcies. Account balances are written off against the allowance when it is determined that the receivable will not be recovered. As of March 31, 2025 and December 31, 2024, there was no allowance for credit losses.</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the appropriate classification of its marketable securities at the time of purchase and reevaluates such designation at each balance sheet date. All of the Company's marketable securities are considered as available-for-sale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carried at estimated fair values and reported in cash equivalents and marketable securities. Unrealized gains and losses on available-for-sale securities, that are not the result of credit losses,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credit losses recognized through an allowance for credit losses,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tbl>
      <w:tblPr>
        <w:tblW w:w="5024" w:type="dxa"/>
        <w:jc w:val="center"/>
        <w:tblInd w:w="0" w:type="dxa"/>
        <w:tblLayout w:type="fixed"/>
        <w:tblCellMar>
          <w:top w:w="28" w:type="dxa"/>
          <w:left w:w="28" w:type="dxa"/>
          <w:bottom w:w="28" w:type="dxa"/>
          <w:right w:w="28" w:type="dxa"/>
        </w:tblCellMar>
      </w:tblPr>
      <w:tblGrid>
        <w:gridCol w:w="781"/>
        <w:gridCol w:w="687"/>
        <w:gridCol w:w="691"/>
        <w:gridCol w:w="838"/>
        <w:gridCol w:w="838"/>
        <w:gridCol w:w="118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lease term</w:t>
            </w:r>
          </w:p>
        </w:tc>
      </w:tr>
    </w:tbl>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and equipment. The assets are amortized on a straight-line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pStyle w:val="TextBody"/>
        <w:bidi w:val="0"/>
        <w:spacing w:lineRule="auto" w:line="288" w:before="0" w:after="160"/>
        <w:jc w:val="both"/>
        <w:rPr/>
      </w:pPr>
      <w:r>
        <w:rPr>
          <w:rFonts w:ascii="Times New Roman;sans-serif" w:hAnsi="Times New Roman;sans-serif"/>
          <w:b/>
          <w:i/>
          <w:color w:val="000000"/>
          <w:sz w:val="20"/>
        </w:rPr>
        <w:t>Share-Based Compensation</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expenses all share-based payment awards to employees, directors, and consultants, including grants of stock options, warrants, and restricted stock, over the requisite service period based on the grant date fair value of the awards.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Share-based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Loss Per Share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based on the weighted effect of all shares of common stock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shares of common stock used in the basic loss per share calculation plus the number of shares of common stock that would be issued assuming conversion of all potentially dilutive securities outstanding. Diluted loss per share is not presented as such potentially dilutive securities are anti-dilutive to losses incurred in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Treasury stock purchases are accounted for under the cost method whereby the entire cost of the acquired stock is recorded as treasury stock. Gains or losses on the subsequent reissuance of shares are credited or charged to additional paid in capital.</w:t>
      </w:r>
    </w:p>
    <w:p>
      <w:pPr>
        <w:pStyle w:val="TextBody"/>
        <w:bidi w:val="0"/>
        <w:spacing w:lineRule="auto" w:line="288" w:before="0" w:after="160"/>
        <w:jc w:val="both"/>
        <w:rPr/>
      </w:pPr>
      <w:r>
        <w:rPr>
          <w:rFonts w:ascii="Times New Roman;sans-serif" w:hAnsi="Times New Roman;sans-serif"/>
          <w:b/>
          <w:i/>
          <w:color w:val="000000"/>
          <w:sz w:val="20"/>
        </w:rPr>
        <w:t>Research and Development Costs</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drive the Company’s initiatives, the Company will continue targeting key governmental agencies and not-for-profit organizations to contribute funds for the Company’s research and development programs. The Company accounts for such grants as a deduction to the related expense in research and development operating expenses when earned.</w:t>
      </w:r>
    </w:p>
    <w:p>
      <w:pPr>
        <w:pStyle w:val="TextBody"/>
        <w:bidi w:val="0"/>
        <w:spacing w:lineRule="auto" w:line="288" w:before="0" w:after="160"/>
        <w:jc w:val="both"/>
        <w:rPr/>
      </w:pPr>
      <w:r>
        <w:rPr>
          <w:rFonts w:ascii="Times New Roman;sans-serif" w:hAnsi="Times New Roman;sans-serif"/>
          <w:b/>
          <w:i/>
          <w:color w:val="000000"/>
          <w:sz w:val="20"/>
        </w:rPr>
        <w:t>In-process Research and Development Expense</w:t>
      </w:r>
      <w:r>
        <w:rPr>
          <w:color w:val="00000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Intangible Asset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intangible asset consists of a single asset, a license agreement with Qilu Pharmaceutical, Co., Ltd. (“Qilu”) acquired in the Company's acquisition of Cend Therapeutics, Inc (the “Cend Merger”), with a value of $0.4 million. The intangible asset is stated at fair value and is amortized using the straight-line method over its estimated useful life of 5.00 years. Amortization expense was $17 thousand for the three months ended March 31, 2025, and $17 thousand for the three months ended March 31, 2024, respectively. The intangible asset is reviewed for potential impairment when events or circumstances indicate that carrying amounts may not be recoverable. The projected amortization expense is $71 thousand per year for the next 2.50 years.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recognized no revenue for the three months ended March 31, 2025 and 2024.</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Milestones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three months ended March 31, 2025 and March 31, 2024, the Company has not recognized revenue related to milestones.</w:t>
      </w: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Royalties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3 – Available-for-Sale 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available-for-sale securities recorded in cash and cash equivalents or marketable securities in the Company's Consolidated Balance Sheets (in thousands):</w:t>
      </w:r>
    </w:p>
    <w:tbl>
      <w:tblPr>
        <w:tblW w:w="10703" w:type="dxa"/>
        <w:jc w:val="center"/>
        <w:tblInd w:w="0" w:type="dxa"/>
        <w:tblLayout w:type="fixed"/>
        <w:tblCellMar>
          <w:top w:w="28" w:type="dxa"/>
          <w:left w:w="28" w:type="dxa"/>
          <w:bottom w:w="28" w:type="dxa"/>
          <w:right w:w="28" w:type="dxa"/>
        </w:tblCellMar>
      </w:tblPr>
      <w:tblGrid>
        <w:gridCol w:w="314"/>
        <w:gridCol w:w="263"/>
        <w:gridCol w:w="264"/>
        <w:gridCol w:w="196"/>
        <w:gridCol w:w="646"/>
        <w:gridCol w:w="109"/>
        <w:gridCol w:w="109"/>
        <w:gridCol w:w="109"/>
        <w:gridCol w:w="109"/>
        <w:gridCol w:w="256"/>
        <w:gridCol w:w="531"/>
        <w:gridCol w:w="144"/>
        <w:gridCol w:w="109"/>
        <w:gridCol w:w="109"/>
        <w:gridCol w:w="109"/>
        <w:gridCol w:w="325"/>
        <w:gridCol w:w="424"/>
        <w:gridCol w:w="182"/>
        <w:gridCol w:w="109"/>
        <w:gridCol w:w="109"/>
        <w:gridCol w:w="109"/>
        <w:gridCol w:w="196"/>
        <w:gridCol w:w="646"/>
        <w:gridCol w:w="109"/>
        <w:gridCol w:w="109"/>
        <w:gridCol w:w="109"/>
        <w:gridCol w:w="109"/>
        <w:gridCol w:w="196"/>
        <w:gridCol w:w="646"/>
        <w:gridCol w:w="109"/>
        <w:gridCol w:w="109"/>
        <w:gridCol w:w="109"/>
        <w:gridCol w:w="109"/>
        <w:gridCol w:w="256"/>
        <w:gridCol w:w="531"/>
        <w:gridCol w:w="144"/>
        <w:gridCol w:w="109"/>
        <w:gridCol w:w="109"/>
        <w:gridCol w:w="109"/>
        <w:gridCol w:w="325"/>
        <w:gridCol w:w="424"/>
        <w:gridCol w:w="182"/>
        <w:gridCol w:w="109"/>
        <w:gridCol w:w="109"/>
        <w:gridCol w:w="109"/>
        <w:gridCol w:w="196"/>
        <w:gridCol w:w="646"/>
        <w:gridCol w:w="154"/>
      </w:tblGrid>
      <w:tr>
        <w:trPr/>
        <w:tc>
          <w:tcPr>
            <w:tcW w:w="3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bills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debt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fair values of available-for-sale securities are generally based on prices obtained from commercial pricing services. The following table summarizes the classification of the available-for-sale securities in the Company's Consolidated Balance Sheets (in thousands):</w:t>
      </w:r>
    </w:p>
    <w:tbl>
      <w:tblPr>
        <w:tblW w:w="4991" w:type="dxa"/>
        <w:jc w:val="center"/>
        <w:tblInd w:w="0" w:type="dxa"/>
        <w:tblLayout w:type="fixed"/>
        <w:tblCellMar>
          <w:top w:w="28" w:type="dxa"/>
          <w:left w:w="28" w:type="dxa"/>
          <w:bottom w:w="28" w:type="dxa"/>
          <w:right w:w="28" w:type="dxa"/>
        </w:tblCellMar>
      </w:tblPr>
      <w:tblGrid>
        <w:gridCol w:w="673"/>
        <w:gridCol w:w="592"/>
        <w:gridCol w:w="594"/>
        <w:gridCol w:w="255"/>
        <w:gridCol w:w="873"/>
        <w:gridCol w:w="132"/>
        <w:gridCol w:w="109"/>
        <w:gridCol w:w="109"/>
        <w:gridCol w:w="109"/>
        <w:gridCol w:w="300"/>
        <w:gridCol w:w="1026"/>
        <w:gridCol w:w="21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portfolio of available-for-sale securities by contractual maturity (in thousands):</w:t>
      </w:r>
    </w:p>
    <w:tbl>
      <w:tblPr>
        <w:tblW w:w="5110" w:type="dxa"/>
        <w:jc w:val="center"/>
        <w:tblInd w:w="0" w:type="dxa"/>
        <w:tblLayout w:type="fixed"/>
        <w:tblCellMar>
          <w:top w:w="28" w:type="dxa"/>
          <w:left w:w="28" w:type="dxa"/>
          <w:bottom w:w="28" w:type="dxa"/>
          <w:right w:w="28" w:type="dxa"/>
        </w:tblCellMar>
      </w:tblPr>
      <w:tblGrid>
        <w:gridCol w:w="668"/>
        <w:gridCol w:w="587"/>
        <w:gridCol w:w="590"/>
        <w:gridCol w:w="252"/>
        <w:gridCol w:w="862"/>
        <w:gridCol w:w="130"/>
        <w:gridCol w:w="109"/>
        <w:gridCol w:w="109"/>
        <w:gridCol w:w="109"/>
        <w:gridCol w:w="329"/>
        <w:gridCol w:w="1125"/>
        <w:gridCol w:w="24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one year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4 – Property and Equipment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(in thousands):</w:t>
      </w:r>
    </w:p>
    <w:tbl>
      <w:tblPr>
        <w:tblW w:w="5711" w:type="dxa"/>
        <w:jc w:val="center"/>
        <w:tblInd w:w="0" w:type="dxa"/>
        <w:tblLayout w:type="fixed"/>
        <w:tblCellMar>
          <w:top w:w="28" w:type="dxa"/>
          <w:left w:w="28" w:type="dxa"/>
          <w:bottom w:w="28" w:type="dxa"/>
          <w:right w:w="28" w:type="dxa"/>
        </w:tblCellMar>
      </w:tblPr>
      <w:tblGrid>
        <w:gridCol w:w="934"/>
        <w:gridCol w:w="820"/>
        <w:gridCol w:w="826"/>
        <w:gridCol w:w="390"/>
        <w:gridCol w:w="668"/>
        <w:gridCol w:w="201"/>
        <w:gridCol w:w="109"/>
        <w:gridCol w:w="109"/>
        <w:gridCol w:w="109"/>
        <w:gridCol w:w="449"/>
        <w:gridCol w:w="768"/>
        <w:gridCol w:w="328"/>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360"/>
        <w:jc w:val="center"/>
        <w:rPr/>
      </w:pPr>
      <w:r>
        <w:rPr/>
      </w:r>
    </w:p>
    <w:p>
      <w:pPr>
        <w:pStyle w:val="TextBody"/>
        <w:bidi w:val="0"/>
        <w:spacing w:lineRule="auto" w:line="288" w:before="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results included depreciation expense of approximately $26 thousand and $29 thousand for the three months ended March 31, 2025 and 2024, respectively.</w:t>
      </w:r>
    </w:p>
    <w:p>
      <w:pPr>
        <w:pStyle w:val="TextBody"/>
        <w:bidi w:val="0"/>
        <w:spacing w:before="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5 – Income (Loss) Per Share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Company incurred net losses and therefore no common stock equivalents were utilized in the calculation of diluted loss per share as they are anti-dilutive in the periods presented. At March 31, 2025 and 2024, the Company excluded the following potentially dilutive securities (in thousands):</w:t>
      </w:r>
    </w:p>
    <w:tbl>
      <w:tblPr>
        <w:tblW w:w="3803" w:type="dxa"/>
        <w:jc w:val="left"/>
        <w:tblInd w:w="0" w:type="dxa"/>
        <w:tblLayout w:type="fixed"/>
        <w:tblCellMar>
          <w:top w:w="28" w:type="dxa"/>
          <w:left w:w="28" w:type="dxa"/>
          <w:bottom w:w="28" w:type="dxa"/>
          <w:right w:w="28" w:type="dxa"/>
        </w:tblCellMar>
      </w:tblPr>
      <w:tblGrid>
        <w:gridCol w:w="678"/>
        <w:gridCol w:w="596"/>
        <w:gridCol w:w="601"/>
        <w:gridCol w:w="308"/>
        <w:gridCol w:w="308"/>
        <w:gridCol w:w="156"/>
        <w:gridCol w:w="109"/>
        <w:gridCol w:w="109"/>
        <w:gridCol w:w="109"/>
        <w:gridCol w:w="308"/>
        <w:gridCol w:w="308"/>
        <w:gridCol w:w="213"/>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6 – Fair Value Measurements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defined as quoted prices (unadjusted) in active markets for identical assets or liabilities that the reporting entity has the ability to access at the measurement date.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defined as inputs other than quoted prices included within Level 1 that are observable for the assets or liabilities, either directly or indirectly.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inputs are defined as unobservable inputs for the assets or liabilities.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were accounted for at fair value on a recurring basis as of March 31, 2025 and December 31, 2024 were as follows (in thousands):</w:t>
      </w:r>
    </w:p>
    <w:tbl>
      <w:tblPr>
        <w:tblW w:w="11140" w:type="dxa"/>
        <w:jc w:val="center"/>
        <w:tblInd w:w="0" w:type="dxa"/>
        <w:tblLayout w:type="fixed"/>
        <w:tblCellMar>
          <w:top w:w="28" w:type="dxa"/>
          <w:left w:w="28" w:type="dxa"/>
          <w:bottom w:w="28" w:type="dxa"/>
          <w:right w:w="28" w:type="dxa"/>
        </w:tblCellMar>
      </w:tblPr>
      <w:tblGrid>
        <w:gridCol w:w="519"/>
        <w:gridCol w:w="457"/>
        <w:gridCol w:w="465"/>
        <w:gridCol w:w="109"/>
        <w:gridCol w:w="109"/>
        <w:gridCol w:w="109"/>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5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 -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cash equivalents, accounts receivable, accounts payable and accrued expenses approximate fair value as of March 31, 2025 and December 31, 2024, due to the short maturity nature of these items.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7 – Accrued Liabilities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as of March 31, 2025 and December 31, 2024 were as follows (in thousands):</w:t>
      </w:r>
    </w:p>
    <w:tbl>
      <w:tblPr>
        <w:tblW w:w="6864" w:type="dxa"/>
        <w:jc w:val="center"/>
        <w:tblInd w:w="0" w:type="dxa"/>
        <w:tblLayout w:type="fixed"/>
        <w:tblCellMar>
          <w:top w:w="28" w:type="dxa"/>
          <w:left w:w="28" w:type="dxa"/>
          <w:bottom w:w="28" w:type="dxa"/>
          <w:right w:w="28" w:type="dxa"/>
        </w:tblCellMar>
      </w:tblPr>
      <w:tblGrid>
        <w:gridCol w:w="1351"/>
        <w:gridCol w:w="1187"/>
        <w:gridCol w:w="1196"/>
        <w:gridCol w:w="284"/>
        <w:gridCol w:w="829"/>
        <w:gridCol w:w="146"/>
        <w:gridCol w:w="109"/>
        <w:gridCol w:w="109"/>
        <w:gridCol w:w="109"/>
        <w:gridCol w:w="332"/>
        <w:gridCol w:w="970"/>
        <w:gridCol w:w="242"/>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employee benefits and related taxes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and R&amp;D related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&amp; tax consulting liabilities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8 – Operating Leases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operating lease for one office which expires on September 30, 2025. The Company estimates its incremental borrowing rate at lease commencement to determine the present value of lease payments as the Company's lease does not provide an implicit rate of return. The Company recognizes lease expense on a straight-line basis over the lease term. For lease agreements entered into or reassessed after the adoption of ASU No. 2016-02, Leases (Topic 842), the Company elected to account for non-lease components associated with its leases and lease components as a single lease component. The Company's lease includes an option for the Company to extend the lease term and/or sub-lease space in whole or in part.</w:t>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and right-of-use assets were recorded in the following captions of the Company's balance sheet as follows (in thousands):</w:t>
      </w:r>
    </w:p>
    <w:tbl>
      <w:tblPr>
        <w:tblW w:w="5935" w:type="dxa"/>
        <w:jc w:val="center"/>
        <w:tblInd w:w="0" w:type="dxa"/>
        <w:tblLayout w:type="fixed"/>
        <w:tblCellMar>
          <w:top w:w="28" w:type="dxa"/>
          <w:left w:w="28" w:type="dxa"/>
          <w:bottom w:w="28" w:type="dxa"/>
          <w:right w:w="28" w:type="dxa"/>
        </w:tblCellMar>
      </w:tblPr>
      <w:tblGrid>
        <w:gridCol w:w="1016"/>
        <w:gridCol w:w="892"/>
        <w:gridCol w:w="896"/>
        <w:gridCol w:w="390"/>
        <w:gridCol w:w="668"/>
        <w:gridCol w:w="201"/>
        <w:gridCol w:w="109"/>
        <w:gridCol w:w="109"/>
        <w:gridCol w:w="109"/>
        <w:gridCol w:w="392"/>
        <w:gridCol w:w="866"/>
        <w:gridCol w:w="287"/>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259"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w:t>
            </w:r>
          </w:p>
        </w:tc>
        <w:tc>
          <w:tcPr>
            <w:tcW w:w="39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8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90"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0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87"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weighted average remaining lease term for the Company's operating lease was 0.50 years, and the weighted average discount rate for the Company's operating lease was 9.625%. As of December 31, 2024, the weighted average remaining lease term for the Company's operating lease was 0.75 years, and the weighted average discount rate for the Company's operating lease was 9.625%.</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the lease agreement as of March 31, 2025 were as follows (in thousands):</w:t>
      </w:r>
    </w:p>
    <w:tbl>
      <w:tblPr>
        <w:tblW w:w="4499" w:type="dxa"/>
        <w:jc w:val="center"/>
        <w:tblInd w:w="0" w:type="dxa"/>
        <w:tblLayout w:type="fixed"/>
        <w:tblCellMar>
          <w:top w:w="28" w:type="dxa"/>
          <w:left w:w="28" w:type="dxa"/>
          <w:bottom w:w="28" w:type="dxa"/>
          <w:right w:w="28" w:type="dxa"/>
        </w:tblCellMar>
      </w:tblPr>
      <w:tblGrid>
        <w:gridCol w:w="1091"/>
        <w:gridCol w:w="958"/>
        <w:gridCol w:w="966"/>
        <w:gridCol w:w="430"/>
        <w:gridCol w:w="737"/>
        <w:gridCol w:w="317"/>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ended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6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11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9 – Stockholders' Equity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Equity Issuances</w:t>
      </w:r>
    </w:p>
    <w:p>
      <w:pPr>
        <w:pStyle w:val="TextBody"/>
        <w:bidi w:val="0"/>
        <w:spacing w:lineRule="auto" w:line="288" w:before="0" w:after="1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At The Market Offering Agreement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As of the date of this filing and so long as the Company’s public float remains below $75.0 million, the Company is subject to limitations pursuant to General Instruction I.B.6 of Form S-3 (the “Baby Shelf Limitation”), which limits the amount the Company can offer to up to one-third of its public float during any trailing 12-month period. Subsequent to the filing of a prospectus supplement to the Company's Registration Statement on Form S-3 (File No. 333-279034) relating to the at the market offering on August 21, 2024, the aggregate market value of its outstanding common stock held by non-affiliates was approximately $29.6 million. Pursuant to the Baby Shelf Limitation, since the aggregate market value of the Company's outstanding common stock held by non-affiliates was below $75.0 million at the time of such prospectus supplement filing, the aggregate amount of securities that the Company is permitted to offer and sell is now $9,855,890, which is equal to one-third of the aggregate market value of our common stock held by non-affiliates as of August 20, 2024. If the Company’s public float exceeds $75.0 million on a future measurement date, it will no longer be subject to the Baby Shelf Limitation. During the three months ended March 31, 2025, the Company issued 55,578 shares of common stock under the ATM Agreement for net proceeds of $211,369. Since inception, the Company has issued 123,751 shares of common stock under the ATM Agreement for net proceeds of $492,216. </w:t>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Options and Warrants</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stock options and warrants for the three months ended March 31, 2025:</w:t>
      </w:r>
    </w:p>
    <w:tbl>
      <w:tblPr>
        <w:tblW w:w="10477" w:type="dxa"/>
        <w:jc w:val="center"/>
        <w:tblInd w:w="0" w:type="dxa"/>
        <w:tblLayout w:type="fixed"/>
        <w:tblCellMar>
          <w:top w:w="28" w:type="dxa"/>
          <w:left w:w="28" w:type="dxa"/>
          <w:bottom w:w="28" w:type="dxa"/>
          <w:right w:w="28" w:type="dxa"/>
        </w:tblCellMar>
      </w:tblPr>
      <w:tblGrid>
        <w:gridCol w:w="348"/>
        <w:gridCol w:w="306"/>
        <w:gridCol w:w="307"/>
        <w:gridCol w:w="109"/>
        <w:gridCol w:w="109"/>
        <w:gridCol w:w="109"/>
        <w:gridCol w:w="435"/>
        <w:gridCol w:w="436"/>
        <w:gridCol w:w="161"/>
        <w:gridCol w:w="109"/>
        <w:gridCol w:w="109"/>
        <w:gridCol w:w="109"/>
        <w:gridCol w:w="196"/>
        <w:gridCol w:w="466"/>
        <w:gridCol w:w="109"/>
        <w:gridCol w:w="109"/>
        <w:gridCol w:w="109"/>
        <w:gridCol w:w="109"/>
        <w:gridCol w:w="260"/>
        <w:gridCol w:w="260"/>
        <w:gridCol w:w="261"/>
        <w:gridCol w:w="109"/>
        <w:gridCol w:w="109"/>
        <w:gridCol w:w="109"/>
        <w:gridCol w:w="196"/>
        <w:gridCol w:w="556"/>
        <w:gridCol w:w="109"/>
        <w:gridCol w:w="109"/>
        <w:gridCol w:w="109"/>
        <w:gridCol w:w="109"/>
        <w:gridCol w:w="435"/>
        <w:gridCol w:w="436"/>
        <w:gridCol w:w="161"/>
        <w:gridCol w:w="109"/>
        <w:gridCol w:w="109"/>
        <w:gridCol w:w="109"/>
        <w:gridCol w:w="196"/>
        <w:gridCol w:w="556"/>
        <w:gridCol w:w="109"/>
        <w:gridCol w:w="109"/>
        <w:gridCol w:w="109"/>
        <w:gridCol w:w="109"/>
        <w:gridCol w:w="260"/>
        <w:gridCol w:w="260"/>
        <w:gridCol w:w="261"/>
        <w:gridCol w:w="109"/>
        <w:gridCol w:w="109"/>
        <w:gridCol w:w="109"/>
        <w:gridCol w:w="202"/>
        <w:gridCol w:w="419"/>
        <w:gridCol w:w="16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Warrants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Aggregate Intrinsic Value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Aggregate Intrinsic Value (In Thousands)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1,440,535 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1,496,744 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1,529,391 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1,496,744 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March 31, 2025</w:t>
              <w:br/>
              <w:t>or expected to vest in the future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1,517,488 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1,496,744 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1,344,298 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1,496,744 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issued restricted stock for services as follows (in thousands, except share data):</w:t>
      </w:r>
    </w:p>
    <w:tbl>
      <w:tblPr>
        <w:tblW w:w="5453" w:type="dxa"/>
        <w:jc w:val="center"/>
        <w:tblInd w:w="0" w:type="dxa"/>
        <w:tblLayout w:type="fixed"/>
        <w:tblCellMar>
          <w:top w:w="28" w:type="dxa"/>
          <w:left w:w="28" w:type="dxa"/>
          <w:bottom w:w="28" w:type="dxa"/>
          <w:right w:w="28" w:type="dxa"/>
        </w:tblCellMar>
      </w:tblPr>
      <w:tblGrid>
        <w:gridCol w:w="906"/>
        <w:gridCol w:w="798"/>
        <w:gridCol w:w="801"/>
        <w:gridCol w:w="109"/>
        <w:gridCol w:w="109"/>
        <w:gridCol w:w="109"/>
        <w:gridCol w:w="282"/>
        <w:gridCol w:w="606"/>
        <w:gridCol w:w="156"/>
        <w:gridCol w:w="156"/>
        <w:gridCol w:w="156"/>
        <w:gridCol w:w="156"/>
        <w:gridCol w:w="282"/>
        <w:gridCol w:w="606"/>
        <w:gridCol w:w="221"/>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restricted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203,800 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of restricted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estimated fair value of restricted stock issued for services in the three months ended March 31, 2025 and 2024 was $3.80 and $3.08 per share, respectively. The fair value of the restricted stock was determined using the Company’s closing stock price on the date of issuance. The vesting terms of restricted stock issuances are generally between one and four years.</w:t>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changes in non-vested restricted stock for the three months ended March 31, 2025:</w:t>
      </w:r>
    </w:p>
    <w:tbl>
      <w:tblPr>
        <w:tblW w:w="7556" w:type="dxa"/>
        <w:jc w:val="center"/>
        <w:tblInd w:w="0" w:type="dxa"/>
        <w:tblLayout w:type="fixed"/>
        <w:tblCellMar>
          <w:top w:w="28" w:type="dxa"/>
          <w:left w:w="28" w:type="dxa"/>
          <w:bottom w:w="28" w:type="dxa"/>
          <w:right w:w="28" w:type="dxa"/>
        </w:tblCellMar>
      </w:tblPr>
      <w:tblGrid>
        <w:gridCol w:w="908"/>
        <w:gridCol w:w="796"/>
        <w:gridCol w:w="801"/>
        <w:gridCol w:w="569"/>
        <w:gridCol w:w="569"/>
        <w:gridCol w:w="57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Restricted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December 31, 2024</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228,428 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Year:</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215,550 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(149,367)</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March 31, 2025</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294,611 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issued restricted stock units for services as follows (in thousands, except share data):</w:t>
      </w:r>
    </w:p>
    <w:tbl>
      <w:tblPr>
        <w:tblW w:w="5516" w:type="dxa"/>
        <w:jc w:val="center"/>
        <w:tblInd w:w="0" w:type="dxa"/>
        <w:tblLayout w:type="fixed"/>
        <w:tblCellMar>
          <w:top w:w="28" w:type="dxa"/>
          <w:left w:w="28" w:type="dxa"/>
          <w:bottom w:w="28" w:type="dxa"/>
          <w:right w:w="28" w:type="dxa"/>
        </w:tblCellMar>
      </w:tblPr>
      <w:tblGrid>
        <w:gridCol w:w="1047"/>
        <w:gridCol w:w="922"/>
        <w:gridCol w:w="926"/>
        <w:gridCol w:w="282"/>
        <w:gridCol w:w="606"/>
        <w:gridCol w:w="156"/>
        <w:gridCol w:w="156"/>
        <w:gridCol w:w="156"/>
        <w:gridCol w:w="156"/>
        <w:gridCol w:w="282"/>
        <w:gridCol w:w="606"/>
        <w:gridCol w:w="221"/>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restricted stock units issued</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205,300 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Value of restricted stock units issued </w:t>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estimated fair value of restricted stock units issued for services in the three months ended March 31, 2025 and 2024 was $3.80 and $3.08 per share, respectively. The fair value of the restricted stock units was determined using the Company’s closing stock price on the date of issuance. The vesting terms of restricted stock unit issuances are generally one year, or upon the achievement of performance-based milestones.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changes in non-vested restricted stock units for the three months ended March 31, 2025:</w:t>
      </w:r>
    </w:p>
    <w:tbl>
      <w:tblPr>
        <w:tblW w:w="7466" w:type="dxa"/>
        <w:jc w:val="center"/>
        <w:tblInd w:w="0" w:type="dxa"/>
        <w:tblLayout w:type="fixed"/>
        <w:tblCellMar>
          <w:top w:w="28" w:type="dxa"/>
          <w:left w:w="28" w:type="dxa"/>
          <w:bottom w:w="28" w:type="dxa"/>
          <w:right w:w="28" w:type="dxa"/>
        </w:tblCellMar>
      </w:tblPr>
      <w:tblGrid>
        <w:gridCol w:w="908"/>
        <w:gridCol w:w="796"/>
        <w:gridCol w:w="801"/>
        <w:gridCol w:w="539"/>
        <w:gridCol w:w="539"/>
        <w:gridCol w:w="54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December 31, 2024</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103,800 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Year:</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78,945 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(97,400)</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March 31, 2025</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85,345 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10 – Share-Based Compensation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share-based compensation in the form of stock options, restricted stock, restricted stock units and warrants. The following table summarizes the components of share-based compensation expense for the three months ended March 31, 2025 and 2024 (in thousands):</w:t>
      </w:r>
    </w:p>
    <w:tbl>
      <w:tblPr>
        <w:tblW w:w="7534" w:type="dxa"/>
        <w:jc w:val="center"/>
        <w:tblInd w:w="0" w:type="dxa"/>
        <w:tblLayout w:type="fixed"/>
        <w:tblCellMar>
          <w:top w:w="28" w:type="dxa"/>
          <w:left w:w="28" w:type="dxa"/>
          <w:bottom w:w="28" w:type="dxa"/>
          <w:right w:w="28" w:type="dxa"/>
        </w:tblCellMar>
      </w:tblPr>
      <w:tblGrid>
        <w:gridCol w:w="1245"/>
        <w:gridCol w:w="1092"/>
        <w:gridCol w:w="1098"/>
        <w:gridCol w:w="380"/>
        <w:gridCol w:w="840"/>
        <w:gridCol w:w="196"/>
        <w:gridCol w:w="196"/>
        <w:gridCol w:w="196"/>
        <w:gridCol w:w="196"/>
        <w:gridCol w:w="196"/>
        <w:gridCol w:w="196"/>
        <w:gridCol w:w="211"/>
        <w:gridCol w:w="466"/>
        <w:gridCol w:w="109"/>
        <w:gridCol w:w="109"/>
        <w:gridCol w:w="109"/>
        <w:gridCol w:w="109"/>
        <w:gridCol w:w="109"/>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related to unvested awards not yet recognized and the weighted-average periods over which the awards were expected to be recognized at March 31, 2025 were as follows (in thousands):</w:t>
      </w:r>
    </w:p>
    <w:tbl>
      <w:tblPr>
        <w:tblW w:w="10205" w:type="dxa"/>
        <w:jc w:val="center"/>
        <w:tblInd w:w="0" w:type="dxa"/>
        <w:tblLayout w:type="fixed"/>
        <w:tblCellMar>
          <w:top w:w="28" w:type="dxa"/>
          <w:left w:w="28" w:type="dxa"/>
          <w:bottom w:w="28" w:type="dxa"/>
          <w:right w:w="28" w:type="dxa"/>
        </w:tblCellMar>
      </w:tblPr>
      <w:tblGrid>
        <w:gridCol w:w="2057"/>
        <w:gridCol w:w="1743"/>
        <w:gridCol w:w="1751"/>
        <w:gridCol w:w="280"/>
        <w:gridCol w:w="619"/>
        <w:gridCol w:w="144"/>
        <w:gridCol w:w="109"/>
        <w:gridCol w:w="109"/>
        <w:gridCol w:w="109"/>
        <w:gridCol w:w="402"/>
        <w:gridCol w:w="892"/>
        <w:gridCol w:w="211"/>
        <w:gridCol w:w="109"/>
        <w:gridCol w:w="109"/>
        <w:gridCol w:w="109"/>
        <w:gridCol w:w="109"/>
        <w:gridCol w:w="109"/>
        <w:gridCol w:w="310"/>
        <w:gridCol w:w="688"/>
        <w:gridCol w:w="236"/>
      </w:tblGrid>
      <w:tr>
        <w:trPr/>
        <w:tc>
          <w:tcPr>
            <w:tcW w:w="205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weighted-average period in years of compensation cost to be recognized</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 and the weighted average estimated fair values of shares granted for the three months ended March 31, 2025 and 2024 were as follows (in thousands):</w:t>
      </w:r>
    </w:p>
    <w:tbl>
      <w:tblPr>
        <w:tblW w:w="9798" w:type="dxa"/>
        <w:jc w:val="center"/>
        <w:tblInd w:w="0" w:type="dxa"/>
        <w:tblLayout w:type="fixed"/>
        <w:tblCellMar>
          <w:top w:w="28" w:type="dxa"/>
          <w:left w:w="28" w:type="dxa"/>
          <w:bottom w:w="28" w:type="dxa"/>
          <w:right w:w="28" w:type="dxa"/>
        </w:tblCellMar>
      </w:tblPr>
      <w:tblGrid>
        <w:gridCol w:w="1678"/>
        <w:gridCol w:w="1471"/>
        <w:gridCol w:w="1485"/>
        <w:gridCol w:w="254"/>
        <w:gridCol w:w="616"/>
        <w:gridCol w:w="131"/>
        <w:gridCol w:w="131"/>
        <w:gridCol w:w="131"/>
        <w:gridCol w:w="131"/>
        <w:gridCol w:w="254"/>
        <w:gridCol w:w="616"/>
        <w:gridCol w:w="131"/>
        <w:gridCol w:w="109"/>
        <w:gridCol w:w="109"/>
        <w:gridCol w:w="109"/>
        <w:gridCol w:w="267"/>
        <w:gridCol w:w="647"/>
        <w:gridCol w:w="138"/>
        <w:gridCol w:w="138"/>
        <w:gridCol w:w="138"/>
        <w:gridCol w:w="138"/>
        <w:gridCol w:w="267"/>
        <w:gridCol w:w="514"/>
        <w:gridCol w:w="195"/>
      </w:tblGrid>
      <w:tr>
        <w:trPr/>
        <w:tc>
          <w:tcPr>
            <w:tcW w:w="167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estimated fair value of shares granted</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Valuation Assumptions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11 – Income Taxes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Company had approximately $57.9 million and $43.7 million, respectively, of Federal NOLs available to offset future taxable income expiring from 2030 through 2036. The Company performed an analysis and determined that they had an ownership change of greater than 50% on September 15, 2022. As a result of the ownership change, $88.2 million of Federal NOLs will expire unutilized. The Company wrote off that portion of the deferred tax asset and reduced the corresponding valuation allowance resulting in $34.0 million of remaining Federal NOLs as of December 31, 2022. The write-off of the deferred tax asset and the corresponding reduction in valuation allowance has no impact to the consolidated balance sheet or income statement. Losses incurred before the ownership change on September 15, 2022 will be subject to an annual limitation of zero while losses incurred after September 15, 2022 will not be subject to limitations.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Cend Therapeutics, Inc. (“Cend”) had approximately $3.6 million of Federal NOLs available to offset future taxable income. The Company performed an analysis and determined that there was an ownership change of greater than 50% on September 15, 2022. As of September 15, 2022 Cend has approximately $3.1 million of Federal and $4.3 million of state NOLs. The state NOLs will expire from the 2036 through 2042 tax years. Using a fair market value of $36.1 million and applying an applicable federal rate of 2.54% Cend will have an annual limitation of approximately $917 thousand each year. The Federal NOL of $459 thousand incurred in the post-acquisition period September 15, 2022 to December 31, 2022 is not subject to limitation, and does not expire.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Company's wholly owned Australian subsidiary had approximately $2.3 million and $2.4 million, respectively, of NOLs which will be carried forward and do not expire. There is a full valuation allowance against the NOLs.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federal research and development credit carryforwards of $0.5 million expiring from 2027 through 2034 if unutilized, and state research and development credit carryforwards of $0.1 million, which carryforward indefinitely. Utilization of these credits may be subject to an annual limitation based on changes in ownership.</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Company had State NOLs available in New Jersey of $24.6 million and $19.4 million, respectively, California of $9.2 million and $9.2 million, respectively, and New York City of $1.9 million and $1.9 million, respectively, to offset future taxable income expiring from 2032 through 2044. The usage of the Company’s NOLs is limited given the change in ownership.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Financial Accounting Standards Board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taxing authority. The Company recognizes interest and penalties associated with certain tax positions as a component of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Company’s uncertain tax positions were $344 thousand and $344 thousand, respectively. The uncertain tax positions are due to the acquisition of Cend related to Federal and state credits and certain state NOLs. The Company will continue to evaluate its uncertain tax positions in future periods. The Company does not believe there will be any material changes in its unrecognized tax positions over the next year.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years prior to 2021, the federal statute of limitations is closed for assessing tax. The Company’s state tax returns remain open to examination for a period of three to four years from the date of the tax return filing.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2025, the Company sold a portion of their unused New Jersey net operating losses through the State of New Jersey Economic Development Authority's (“NJEDA”) Technology Business Tax Certificate Transfer Program (“Program”). Under the Program, the Company sold $10.7 million of its New Jersey net operating losses (“NJ NOLs”) for net proceeds of $871 thousand. The sale of NJ NOLs resulted in a $962 thousand deferred income tax benefit and a loss on sale of $91 thousand recorded in other income (expense) in the consolidated financial statements.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12 – Segment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as one operating segment, the research and development of its investigational drug product. The Company used the management approach to determine its reportable operating segment. The Company's Chief Operating Decision Maker ("CODM") is its Chief Executive Officer, who reviews financial information presented on a consolidated basis. The Company is a clinical-stage pharmaceutical company and has limited revenue associated with a license and collaboration agreement. The CODM uses net loss as a measure of profit and loss, and assesses Company performance through the achievement of its clinical development goals. The CODM is regularly provided with budgeted and forecasted expense information which is used to determine the Company’s liquidity needs and cash allocation to its development programs. The CODM uses cash and marketable securities as a measure of segment assets in managing the enterprise.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revenue during the three months ended March 31, 2025 and 2024. Depreciation and amortization expense was $43 thousand and $46 thousand for the three months ended March 31, 2025 and 2024, respectively. Equity method investment expense was $0 and $100 thousand for the three months ended March 31, 2025 and 2024, respectively.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our segment information for significant operating expenses and includes a reconciliation to net loss for the three months ended March 31, 2025 and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tbl>
      <w:tblPr>
        <w:tblW w:w="8272" w:type="dxa"/>
        <w:jc w:val="left"/>
        <w:tblInd w:w="0" w:type="dxa"/>
        <w:tblLayout w:type="fixed"/>
        <w:tblCellMar>
          <w:top w:w="28" w:type="dxa"/>
          <w:left w:w="28" w:type="dxa"/>
          <w:bottom w:w="28" w:type="dxa"/>
          <w:right w:w="28" w:type="dxa"/>
        </w:tblCellMar>
      </w:tblPr>
      <w:tblGrid>
        <w:gridCol w:w="1983"/>
        <w:gridCol w:w="1743"/>
        <w:gridCol w:w="1749"/>
        <w:gridCol w:w="220"/>
        <w:gridCol w:w="742"/>
        <w:gridCol w:w="122"/>
        <w:gridCol w:w="122"/>
        <w:gridCol w:w="122"/>
        <w:gridCol w:w="122"/>
        <w:gridCol w:w="220"/>
        <w:gridCol w:w="742"/>
        <w:gridCol w:w="122"/>
        <w:gridCol w:w="109"/>
        <w:gridCol w:w="154"/>
      </w:tblGrid>
      <w:tr>
        <w:trPr/>
        <w:tc>
          <w:tcPr>
            <w:tcW w:w="198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by significant expense:</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BOLSTER trial</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ASCEND trial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Chemistry, manufacturing and controls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Clinical department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by significant expense:</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Corporate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Investor relations/public relations/communications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Finance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Legal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Business development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Share 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(4,724)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(5,401)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marketable securities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25,833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43,349</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Included in Other are the GBM study, FORTIFIDE study and research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oncology expenses</w:t>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Included in Other are facilities expense, human resource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and information technology expenses</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13 – Australia Research and Development Tax Incentive</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Australian subsidiary, which conducts core research and development activities, is eligible to receive a refundable tax incentive between 43.5% to 48.5% (depending upon the income tax rate) for qualified research and development activities. As of March 31, 2025 and December 31, 2024, the Company had $0.6 million and $0.6 million, respectively, recorded as an income tax incentive receivable in prepaid and other current assets in the consolidated balance sheets, as the Company determined that the expenses met the eligibility criteria and the amounts claimed are expected to be received shortly after the related tax returns are filed.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14 – Contingencies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 The Company has elected to recognize expense for legal fees as incurred when the legal services are provided.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and denied all of Lingmed’s material allegations. Lingmed filed an answer to Cend’s response on July 11, 2022, denying all of the Company’s material allegations. On March 25, 2024 the Company entered into a settlement agreement whereby the Company was required to pay Lingmed $0.5 million within 30 days of the effective date and the Company effected payment on April 4, 2024. Lingmed is also entitled to 5.0% of any future milestone payments received by the Company under the license agreement with Qilu in addition to a sum of $250 thousand with respect to the first future milestone received by the Company. On April 9, 2024, pursuant to the parties’ joint request, the Court entered a dismissal with prejudice of the entire action as to all parties and all claims and the matter was settled.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15 – Technology Transfer Agreement</w:t>
      </w:r>
    </w:p>
    <w:p>
      <w:pPr>
        <w:pStyle w:val="TextBody"/>
        <w:bidi w:val="0"/>
        <w:spacing w:lineRule="auto" w:line="276"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Impilo Therapeutics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the Company entered into a technology transfer agreement with Impilo Therapeutics (“Impilo”) under which the Company transferred its rights to its tumor penetrating nanocomplex (TPN) platform to Impilo. As consideration for the technology transfer, Impilo issued a total of 766,000 shares of its pre-seed preferred stock to the Company. On October 3, 2023, in connection with the Sanford Burnham Prebys license agreement (see Note 16 - License Agreements) Impilo cancelled the original stock certificate for 766,000 shares and reissued 574,500 shares of its pre-seed preferred stock to the Company.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2024, the Company purchased a Simple Agreement for Future Equity ("SAFE") from Impilo for $100 thousand. On July 12, 2024, the Company purchased an additional SAFE from Impilo for $30 thousand. As of March 31, 2025 and December 31, 2024, the Company owned 38.6% of Impilo. These investments were expensed under the equity method of accounting in the prior year in other expense, net in the accompanying statement of operations. The SAFE has a valuation cap of $30.0 million and an 80% discount rate.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16 – License Agreements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Sanford Burnham Prebys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2015, Cend entered into a license agreement with Sanford Burnham Prebys (“SBP”) under which Cend was granted an exclusive, worldwide, royalty-bearing license to certain patent rights and know-how controlled by SBP related to the development of certepetide. At the time the license agreement was entered into, Cend’s founding shareholder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 thousand increasing to $20 thousand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 received, which, pursuant to the technology transfer agreement with Impilo, resulted in SBP receiving 191,500 shares of the Company’s pre-seed preferred stock in Impilo on October 3, 2023.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 will expire upon the later of (i) the final abandonment of all pending patent applications within the licensed patents or (ii) the expiration of the last to expire patent within the licensed patents. The agreement may be terminated in its entirety by the Company at any time by giving SBP sixty days’ prior written notice. The agreement may be terminated in its entirety by SBP if the Company, at any time, defaults in the payment of any sum when due and fails to make such payment within thirty days after receipt of written notice. The agreement may be terminated in its entirety by either SBP or the Company (i) in the event of an uncured material breach by the other party, or (ii) in the event the other party (a) files for, or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 for any reason, all rights and obligations of the Company with respect to the patents and patent applications shall terminate and revert to SBP.</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SBP did not own shares of the Company’s common stock as of March 31, 2025. </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17 – Research Collaboration and License Agreements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Exclusive License and Collaboration Agreement - Qilu Pharmaceuticals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Cend entered into an Exclusive License and Collaboration Agreement (the “Qilu Agreement”) in which Cend granted an exclusive license to Qilu for the development and commercialization of certepetide in the Territory (defined as the Greater Area of China including China, Macau, Hong Kong, and Taiwan). Under the terms of the agreement, Qilu is solely responsible for the development of certepetide in its Territory. In consideration for the license, Qilu made an upfront payment of $10.0 million to Cend, which was recognized as revenue by Cend prior to the Company's acquisition of Cend on September 15, 2022 (the “Cend Merger”). In addition, Cend received and recognized as revenue a $5.0 million development milestone prior to the Cend Merger. The Company is eligible to receive additional development and commercial milestone payments up to $96.0 million and $125.0 million, respectively, tiered royalties on net sales ranging from 10% to 15%, and tiered sublicensing revenues ranging from 12% to 35%.</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2024, the Company entered into a settlement agreement with Lingmed whereby Lingmed is entitled to 5.0% of any future milestone payments received by the Company under the Qilu Agreement, in addition, Lingmed is also entitled to a sum of $250 thousand with respect to the first future milestone received by the Company.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terminated early, the Qilu Agreement will continue in effect until the expiration of all Qilu payment obligations. Either party may terminate the Qilu Agreement if an undisputed material breach by the other party is not cured within a defined period of time, or upon notice for insolvency-related events of the other party that are not discharged within a defined time period. Qilu may terminate the Qilu Agreement in its entirety, at any time with at least sixty days written notice. All rights and obligations of Qilu with respect to such licensed patents and patent applications would terminate simultaneously.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Exclusive License and Collaboration Agreement - Kuva Labs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 entered into an Exclusive License and Collaboration Agreement in which the Company granted an exclusive license to Kuva Labs, Inc. (Kuva) to explore the synergistic potential of the Company's certepetide as a targeting and delivery agent for Kuva’s NanoMark™ imaging technology in solid tumors. Under the Agreement, Kuva will assume full responsibility for research, development, and commercialization costs, while the Company will be responsible for supplying certepetide for additional consideration pursuant to a Clinical Supply Agreement. In consideration for the license, the Company recognized $1.0 million as revenue upon delivery of the license in November 2024. The Company is eligible to receive additional development and commercial milestone payments up to $1.5 million and $17.5 million, respectively, a 5.0% percent royalty on net sales, and sublicensing revenues of 50%.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contains forward-looking statements that are subject to significant risks and uncertainties. There is no guarantee that our clinical development programs will be successful or result in the necessary regulatory approvals. Our actual results could differ materially from those anticipated in these forward-looking statements as a result of various factors, including those set forth under “Cautionary Note Regarding Forward-Looking Statements” herein and under “Risk Factors” in our 2024 Form 10-K. The following discussion should be read in conjunction with our consolidated financial statements and related notes thereto included elsewhere in this Quarterly Report and in our 2024 Form 10-K.</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clinical-stage pharmaceutical company dedicated to the discovery, development, and commercialization of innovative therapies for the treatment of solid tumors and other major diseases. Our investigational product, certepetide (formerly known as LSTA1 or CEND-1),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We, our collaborators and other researchers have amassed and continue to amass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We are exploring certepetide as a means to enable a variety of therapeutic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Targeted Solid Tumor Penetration via CendR Active Transport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solid tumor cancers, including, for example, pancreatic ductal adenocarcinoma (“PDAC”) and cholangiocarcinoma, are surrounded by dense fibrotic tissue, known as the tumor stroma. This stroma often limits the penetration of anti-cancer therapies including chemotherapy into the tumor and thus limits their efficacy. Emerging immunotherapies, including but not limited to checkpoint inhibitors and adoptive cell therapies (e.g., chimeric antigen receptor T cells (CAR-Ts)), also face challenges in effectively treating solid tumors. Many tumors exhibit an immunosuppressive TME, which suppresses a patient's immune system and can thus limit the effectiveness of immunotherapies and/or contribute to metastases. These factors, i.e., the combination of a dense stroma and an immunosuppressive TME, negatively impact the ability of many therapeutic agents to optimally treat these cancers.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 xml:space="preserve">To address the tumor stroma’s role as a key impediment to effective treatment, our approach is to activate the C-end rule (“CendR”), or CendR active transport mechanism, a naturally occurring transport system. Our investigational drug, certepetide (a specific, proprietary </w:t>
      </w:r>
      <w:r>
        <w:rPr>
          <w:rFonts w:ascii="Times New Roman;sans-serif" w:hAnsi="Times New Roman;sans-serif"/>
          <w:b w:val="false"/>
          <w:i/>
          <w:color w:val="000000"/>
          <w:sz w:val="20"/>
        </w:rPr>
        <w:t>internalizing</w:t>
      </w:r>
      <w:r>
        <w:rPr>
          <w:color w:val="000000"/>
        </w:rPr>
        <w:t xml:space="preserve"> </w:t>
      </w:r>
      <w:r>
        <w:rPr>
          <w:rFonts w:ascii="Times New Roman;sans-serif" w:hAnsi="Times New Roman;sans-serif"/>
          <w:b w:val="false"/>
          <w:color w:val="000000"/>
          <w:sz w:val="20"/>
        </w:rPr>
        <w:t>R-G-D or iRGD peptide), activates this transport system in a tumor-specific manner (Sugahara, Science, 2010). Certepetide enables more selective and efficient uptake of systemically administered anti-cancer drugs resulting in more intratumoral drug accumulation. The overall expected result is enhanced anticancer activity without an increase in systemic adverse side effects. While it is possible to couple/tether or conjugate some anticancer drugs to certepetide, we believe that our initial approach of co-administration of certepetide with anti-cancer therapies is advantageous. Co-administration does not create a new chemical entity (“NCE”) with its attendant development and regulatory hurdles, thereby providing an anticipated faster-to-clinic and faster-to-market product opportunity for a range of combination therapies. That said, an attractive life-cycle management strategy for certepetide would be to molecularly bind it to a variety of anti-cancer agents (as an alternative to co-administration), thereby creating new NCEs with the potential for distinct patent protection, compositionally or otherwise.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Certepetide has demonstrated favorable safety, tolerability, and activity to date in clinical trials enhancing the selective delivery of standard-of-care chemotherapies for mPDAC. Certepetide’s cancer targeting characteristics may also enable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solid tumor treatment modalities to prove more effective. For example, preliminary results of certepetide in combination with both immunotherapy and chemotherapy are promising.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Certepetide as a treatment for solid tumor cancers in combination with other anti-cancer agents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Certepetide is an investigational drug that actuates the CendR active transport mechanism. Certepetide has been shown to modify the TME, making it less immunosuppressive and thereby making the tumor more susceptible to attack by the immune system while also inhibiting the metastatic cascade. It targets tumor vasculature, endothelial cells, tumor cells and some intratumoral immunosuppressive cells by its selective affinity for alpha-v beta-3 and alpha-v beta-5 integrins that are upregulated on these cells. Certepetide is a nine amino acid cyclic proprietary internalizing RGD (“iRGD”) peptide that, once bound to these integrins, undergoes proteolytic cleavage to release a linear peptide fragment, called a CendR peptide fragment. After dissociation from the integrin receptor, the CendR peptide fragment then binds with high selectivity and affinity to an adjacent receptor, called neuropilin-1, also upregulated in solid tumors, to activate the novel uptake pathway that allows circulating anticancer drugs to more selectively and effectively penetrate solid tumors. The ability of certepetide and iRGD peptides to modify the TME to enhance delivery and efficacy of co-administered drugs has been demonstrated in many preclinical models in a range of solid tumors. Lisata, its collaborators, and research groups around the world have published more than 370 scientific papers related to the benefits of internalizing RGD peptides and the CendR pathway.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Clinically, certepetide was the subject of a completed Phase 1b/2a trial inclusive of 31 first-line mPDAC patients, of which 29 were evaluable. Results from the trial showed that the safety profile of the certepetide combination regimen was similar to standard of care (“SoC”) chemotherapy alone, with certepetide being well-tolerated with no dose limiting toxicities. An Objective Response Rate (“ORR”) of 59% was observed, compared to the 23% ORR observed in the “MPACT” clinical trial that served as the basis for approval of the chemotherapy combination nab-paclitaxel and gemcitabine for the treatment of first line mPDAC (Von Hoff, et al. 2013). A Disease Control Rate (“DCR”) (partial and complete responses plus stable disease) of over 79% was also observed in comparison to a DCR of 48% observed in the MPACT trial. Reduction in the level of circulating tumor biomarker CA19-9 was observed in 96% of patients versus 61% in the MPACT trial. Importantly, median progression-free survival and median overall survival of nearly ten months and over thirteen months were observed versus less than six months and less than nine months, respectively, in the MPACT trial. These results have been published in The Lancet Gastroenterology and Hepatology (Dean, et al. 2022).</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Certepetide was also examined in another Phase 1b/2a study in first line mPDAC patients. Study CEND1-201 was conducted in China by our development partner, Qilu Pharmaceutical. Two dose levels of certepetide (1.6 and 3.2 mg/kg) were combined with SoC chemotherapy (gemcitabine and nab-paclitaxel). There were 55 patients in the study, 53 of whom were evaluable for efficacy. Twenty-five (25) patients were treated with 1.6 mg/kg certepetide, and 28 patients with 3.2 mg/kg certepetide. In the 1.6 mg/kg certepetide group, partial response occurred in 11/25 (44.0%) patients, and stable disease occurred in 12/25 (48%) patients. In the 3.2 mg/kg certepetide group, partial response occurred in 11/28 (39.3%) patients, and stable disease occurred in 12/28 (42.9%) patients. The ORR was 41.5% for all doses. The ORR was 44.0% and 39.3% in 1.6 mg/kg group and in 3.2 mg/kg group, respectively. The DCR was 86.8% for all doses. The DCR in 1.6 and 3.2 mg/kg groups was 92.0% and 82.1%, respectively. The median PFS was 5.82 months for all doses combined. The median PFS was 7.36 months and 5.75 months in 1.6 mg/kg group and in 3.2 mg/kg group, respectively. The median OS was 11.10 months for all doses combined. The median OS was 10.35 months and 11.10 months in 1.6 mg/kg group and in 3.2 mg/kg group, respectively. The adverse event profile at both dose levels was similar to that for SoC alone. Qilu has completed Phase 2 enrollment (n=96) in first line mPDAC in combination with SoC gemcitabine and nab-paclitaxel.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certepetide is also the subject of a Phase 2 trial in first-line mPDAC patients, the ASCEND trial. ASCEND is being conducted in collaboration with the Australasian Gastrointestinal Clinical Trials Group (AGITG) and the University of Sydney at 25 sites in Australia and New Zealand. The Phase 2 double-blind, randomized (2:1), placebo-controlled, multi-center ASCEND trial is evaluating certepetide in combination with SoC chemotherapy (gemcitabine and nab-paclitaxel) for the treatment of mPDAC. The original ASCEND protocol included one dosing scheme for certepetide. Following the acquisition of Cend Therapeutics and, by extension, certepetide in September 2022, Lisata collaborated with AGITG to amend the protocol to ensure it respected international regulatory standards. Thus, endpoints typically recognized by regulators as primary in registration studies and more effective in guiding next stages of clinical development (e.g., overall survival), were added. The amended protocol was designed to assess the efficacy of two different dosing regimens of certepetide in two separate cohorts: Cohort A, with 95 patients receiving a single intravenous (IV) dose of certepetide 3.2 mg/kg or placebo in combination with SoC, and Cohort B, with 63 patients receiving two IV doses of certepetide 3.2 mg/kg or placebo administered 4 hours apart in combination with SoC. The preliminary data from Cohort A were reported at the ASCO GI meeting on January 24, 2025, demonstrating a median overall survival (mOS) of 12.68 months for the certepetide treated group, compared to 9.72 months for the placebo treated group. Despite a numerical trend in 6-month PFS favoring the certepetide treatment group, no significant improvement in median PFS was observed (mPFS of 5.5 months in both groups). However, the objective response rate (ORR) benefit are positive with 4/65 (6.2%) complete responses in the certepetide treated group, compared to 0/28 (0%) the placebo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treated group. The adverse event profile of Cohort A was similar in subjects treated with certepetide and placebo confirming previous observations of certepetide’s benign safety profile. Preliminary data from Cohort B will be presented at the ESMO-GI meeting in July 2025 with a final analysis of both cohorts available thereafter.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certepetide is currently the subject of multiple ongoing and planned clinical trials being conducted globally in a variety of solid tumor types and in combination with several chemotherapy and immunotherapy anti-cancer regimens. The following diagram summarizes these studies.</w:t>
      </w:r>
    </w:p>
    <w:p>
      <w:pPr>
        <w:pStyle w:val="TextBody"/>
        <w:bidi w:val="0"/>
        <w:spacing w:before="0" w:after="160"/>
        <w:ind w:left="0" w:right="0" w:firstLine="360"/>
        <w:jc w:val="both"/>
        <w:rPr/>
      </w:pPr>
      <w:r>
        <w:rPr/>
        <w:drawing>
          <wp:inline distT="0" distB="0" distL="0" distR="0">
            <wp:extent cx="6286500" cy="3533775"/>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286500" cy="3533775"/>
                    </a:xfrm>
                    <a:prstGeom prst="rect">
                      <a:avLst/>
                    </a:prstGeom>
                  </pic:spPr>
                </pic:pic>
              </a:graphicData>
            </a:graphic>
          </wp:inline>
        </w:drawing>
      </w:r>
      <w:bookmarkStart w:id="0" w:name="i-1"/>
      <w:bookmarkEnd w:id="0"/>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Additional Out-licensing Opportunities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portfolio comprises notable programs available for out-licensing and/or partnering in order to augment or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before="240" w:after="160"/>
        <w:jc w:val="both"/>
        <w:rPr/>
      </w:pPr>
      <w:r>
        <w:rPr/>
      </w:r>
    </w:p>
    <w:p>
      <w:pPr>
        <w:pStyle w:val="TextBody"/>
        <w:bidi w:val="0"/>
        <w:spacing w:before="240" w:after="160"/>
        <w:jc w:val="both"/>
        <w:rPr/>
      </w:pPr>
      <w:r>
        <w:rPr/>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2025 Compared to Three Months Ended March 31, 2024 </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three months ended March 31, 2025 and March 31, 2024 (in thousands):</w:t>
      </w:r>
    </w:p>
    <w:tbl>
      <w:tblPr>
        <w:tblW w:w="5922" w:type="dxa"/>
        <w:jc w:val="left"/>
        <w:tblInd w:w="0" w:type="dxa"/>
        <w:tblLayout w:type="fixed"/>
        <w:tblCellMar>
          <w:top w:w="28" w:type="dxa"/>
          <w:left w:w="28" w:type="dxa"/>
          <w:bottom w:w="28" w:type="dxa"/>
          <w:right w:w="28" w:type="dxa"/>
        </w:tblCellMar>
      </w:tblPr>
      <w:tblGrid>
        <w:gridCol w:w="787"/>
        <w:gridCol w:w="692"/>
        <w:gridCol w:w="695"/>
        <w:gridCol w:w="230"/>
        <w:gridCol w:w="740"/>
        <w:gridCol w:w="127"/>
        <w:gridCol w:w="127"/>
        <w:gridCol w:w="127"/>
        <w:gridCol w:w="127"/>
        <w:gridCol w:w="230"/>
        <w:gridCol w:w="740"/>
        <w:gridCol w:w="127"/>
        <w:gridCol w:w="109"/>
        <w:gridCol w:w="109"/>
        <w:gridCol w:w="109"/>
        <w:gridCol w:w="196"/>
        <w:gridCol w:w="49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Research and development</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Loss from operations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color w:val="000000"/>
        </w:rPr>
        <w:t> </w:t>
      </w:r>
      <w:r>
        <w:rPr>
          <w:rFonts w:ascii="Times New Roman;sans-serif" w:hAnsi="Times New Roman;sans-serif"/>
          <w:b w:val="false"/>
          <w:color w:val="000000"/>
          <w:sz w:val="20"/>
        </w:rPr>
        <w:t>Overall, net losses were $4.7 million for the three months ended March 31, 2025, compared to $5.4 million for the three months ended March 31, 2024.</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operating expenses totaled $5.8 million, compared to $6.6 million for the three months ended March 31, 2024, representing a decrease of $0.8 million or 11.4%. Operating expenses are comprised of the following: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Research and development expenses were approximately $2.6 million for the three months ended March 31, 2025, compared to $3.2 million for the three months ended March 31, 2024, representing a decrease of $0.6 million or 19.7%. This was primarily due to a reduction in clinical research organization (“CRO”) expenses and site expenses associated with our Phase 2a proof-of-concept Bolster trial and lower spend on chemistry, manufacturing and controls (“CMC”).</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General and administrative expenses were approximately $3.2 million for the three months ended March 31, 2025, compared to $3.4 million for the three months ended March 31, 2024, representing a decrease of $0.1 million or 3.4%. This was primarily due to one off settlement costs in the prior year partially offset by an increase in consulting expenses and severance costs in the current year.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(expense) is comprised primarily of investment income from cash, cash equivalents and marketable securities and losses on sales of our New Jersey net operating losses for the three months ended March 31, 2025 and 2024. </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Income Tax Benefit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2025, we received final approval from the New Jersey Economic Development Authority (“NJEDA”) under the Technology Business Tax Certificate Transfer Program (the “Program”) to sell a percentage of our NJ NOLs, which were subsequently sold to a qualifying and approved buyer pursuant to the Program for net proceeds of $0.9 million. The $1.0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million of our NJ NOL tax benefits have been recorded as a benefit from income taxes and the loss on sale of $0.1 million recorded in 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received final approval from the NJEDA under the Program to sell a percentage of our NJ NOLs, which were subsequently sold to a qualifying and approved buyer pursuant to the Program for net proceeds of $0.7 million. The $0.8 million of NJ NOLs related tax benefits have been recorded as a benefit from income taxes and the loss on sale of $0.1 million recorded in other income (expense).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Analysis of Liquidity and Capital Resources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As of</w:t>
      </w:r>
      <w:r>
        <w:rPr>
          <w:color w:val="000000"/>
        </w:rPr>
        <w:t> </w:t>
      </w:r>
      <w:r>
        <w:rPr>
          <w:rFonts w:ascii="Times New Roman;sans-serif" w:hAnsi="Times New Roman;sans-serif"/>
          <w:b w:val="false"/>
          <w:color w:val="000000"/>
          <w:sz w:val="20"/>
        </w:rPr>
        <w:t>March 31, 2025, we had cash, cash equivalents and marketable securities of approximately $25.8 million, working capital of approximately $24.8 million, and stockholders’ equity of approximately $25.4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we met our immediate cash requirements through existing cash balances. Additionally, we used equity and equity-linked instruments to pay for services and compensation.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or provided by, operating, investing and financing activities were as follows (in thousands): </w:t>
      </w:r>
    </w:p>
    <w:tbl>
      <w:tblPr>
        <w:tblW w:w="5892" w:type="dxa"/>
        <w:jc w:val="left"/>
        <w:tblInd w:w="0" w:type="dxa"/>
        <w:tblLayout w:type="fixed"/>
        <w:tblCellMar>
          <w:top w:w="28" w:type="dxa"/>
          <w:left w:w="28" w:type="dxa"/>
          <w:bottom w:w="28" w:type="dxa"/>
          <w:right w:w="28" w:type="dxa"/>
        </w:tblCellMar>
      </w:tblPr>
      <w:tblGrid>
        <w:gridCol w:w="1248"/>
        <w:gridCol w:w="1099"/>
        <w:gridCol w:w="1102"/>
        <w:gridCol w:w="215"/>
        <w:gridCol w:w="706"/>
        <w:gridCol w:w="111"/>
        <w:gridCol w:w="111"/>
        <w:gridCol w:w="111"/>
        <w:gridCol w:w="111"/>
        <w:gridCol w:w="215"/>
        <w:gridCol w:w="706"/>
        <w:gridCol w:w="157"/>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three months ended March 31, 2025 was $5.4 million, which is comprised of (i) our net loss of $4.7 million, adjusted for non-cash expenses totaling $0.5 million (which includes adjustments for equity-based compensation, depreciation and amortization, and amortization/accretion of marketable securities), and (ii) changes in operating assets and liabilities using approximately $1.2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three months ended March 31, 2024 was $7.0 million, which is comprised of (i) our net loss of $5.4 million, adjusted for non-cash expenses totaling $0.4 million (which includes adjustments for equity-based compensation, depreciation and amortization, loss from equity method investment, and amortization/accretion of marketable securities) and (ii) changes in operating assets and liabilities using approximately $2.1 million.</w:t>
      </w:r>
    </w:p>
    <w:p>
      <w:pPr>
        <w:pStyle w:val="TextBody"/>
        <w:bidi w:val="0"/>
        <w:spacing w:lineRule="auto" w:line="288" w:before="0" w:after="1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provided by investing activities during the three months ended March 31, 2025 totaled $9.4 million and was primarily due to net sales of marketable securities (net of purchases of marketable securities).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provided by investing activities during the three months ended March 31, 2024 totaled $6.4 million and was primarily due to net sales of marketable securities (net of purchases of marketable securities) partially offset by an investment of $0.1 million in Impilo Therapeutics.</w:t>
      </w:r>
    </w:p>
    <w:p>
      <w:pPr>
        <w:pStyle w:val="TextBody"/>
        <w:bidi w:val="0"/>
        <w:spacing w:lineRule="auto" w:line="288" w:before="0" w:after="1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financing activities during the three months ended March 31, 2025 totaled $23.0 thousand and consisted primarily of tax withholding-related payments on net share settlement equity awards to employees of $0.2 million partially offset by $0.2 million in proceeds from the issuance of shares through our ATM Agreement (as defined below).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financing activities during the three months ended March 31, 2024 totaled $0.1 million and consisted of tax withholding-related payments on net share settlement equity awards to employees.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Liquidity and Capital Requirements Outlook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meet our short and long-term liquidity needs, we expect to use existing cash balances, marketable securities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and marketable securities will enable us to fund current operating expenses for at least the next 12 months following the issuance of our financial statements. Our future capital requirements are difficult to forecast and will depend on many factors including the timing and nature of any other strategic transactions that we undertake; and our ability to establish and maintain collaboration partnerships, in-license/out-license or other similar arrangements and the financial terms of such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we entered into the ATM Agreement with H.C. Wainwright &amp; Co., LLC as sales agent, in connection with an “at the market offering” under which we from time to time may offer and sell shares of our common stock having an aggregate offering price of up to $50.0 million. As of the date of this filing and so long as our public float remains below $75.0 million, we are subject to limitations pursuant to General Instruction I.B.6 of Form S-3 (the “Baby Shelf Limitation”), which limits the amount we can offer to up to one-third of our public float during any trailing 12-month period. Subsequent to the filing of a prospectus supplement to our Registration Statement on Form S-3 (File No. 333-279034) relating to the at the market offering on August 21, 2024, the aggregate market value of our outstanding common stock held by non-affiliates was approximately $29.6 million. Pursuant to the Baby Shelf Limitation, since the aggregate market value of our outstanding common stock held by non-affiliates was below $75.0 million at the time of such prospectus supplement filing, the aggregate amount of securities that we are permitted to offer and sell is now $9,855,890, which was equal to one-third of the aggregate market value of our common stock held by non-affiliates as of August 20, 2024. If our public float exceeds $75.0 million on a future measurement date, the Company will no longer be subject to the Baby Shelf Limitation. During the three months ended March 31, 2025, we issued 55,578 shares of common stock under the ATM Agreement for net proceeds of $211,369. Since inception, we have issued 123,751 shares of common stock under the ATM Agreement for net proceeds of $492,216.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estimates during the three months ended March 31, 2025, compared to those reported in our 2024 Form 10-K.</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(a)  Disclosure Controls and Procedures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who serves as our principal executive officer, and our Senior Vice President, Finance and Treasury and Chief Accounting Officer, who serves as our principal financial officer (together, the “Evaluating Officers”),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evaluated, with the participation of our management, including our Evaluating Officers, the effectiveness of our disclosure controls and procedures as defined in Rules 13a-15(e) and 15d-15(e) under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our Evaluating Officers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Evaluating Officers, as appropriate to allow timely decisions regarding required disclosure.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  Changes in Internal Control over Financial Reporting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reported in our 2024 Form 10-K. See the risk factors set forth in our 2024 Annual Report on Form 10-K under the caption “Item 1A - Risk Factors.”</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no director or officer of the Company adopted, modified or terminated a “Rule 10b5-1 trading arrangement” or “non-Rule 10b5-1 trading arrangement,” as each term is defined in Item 408(a) of Regulation S-K.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 Index appearing immediately after the signature page to this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center"/>
        <w:tblInd w:w="0" w:type="dxa"/>
        <w:tblLayout w:type="fixed"/>
        <w:tblCellMar>
          <w:top w:w="28" w:type="dxa"/>
          <w:left w:w="28" w:type="dxa"/>
          <w:bottom w:w="28" w:type="dxa"/>
          <w:right w:w="28" w:type="dxa"/>
        </w:tblCellMar>
      </w:tblPr>
      <w:tblGrid>
        <w:gridCol w:w="376"/>
        <w:gridCol w:w="332"/>
        <w:gridCol w:w="333"/>
        <w:gridCol w:w="109"/>
        <w:gridCol w:w="109"/>
        <w:gridCol w:w="109"/>
        <w:gridCol w:w="2585"/>
        <w:gridCol w:w="2585"/>
        <w:gridCol w:w="3667"/>
      </w:tblGrid>
      <w:tr>
        <w:trPr/>
        <w:tc>
          <w:tcPr>
            <w:tcW w:w="3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LISATA THERAPEUTICS, INC.</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David J. Mazzo, PhD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David J. Mazzo, PhD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James Nisco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James Nisco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SVP, Finance and Treasury and Chief Accounting Officer (Principal Financial Officer and Principal Accounting Officer)</w:t>
            </w:r>
          </w:p>
        </w:tc>
      </w:tr>
    </w:tbl>
    <w:p>
      <w:pPr>
        <w:pStyle w:val="TextBody"/>
        <w:bidi w:val="0"/>
        <w:spacing w:before="0" w:after="66"/>
        <w:ind w:left="0" w:right="0" w:firstLine="315"/>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w10:wrap type="none"/>
              </v:rect>
            </w:pict>
          </mc:Fallback>
        </mc:AlternateContent>
      </w:r>
    </w:p>
    <w:p>
      <w:pPr>
        <w:pStyle w:val="TextBody"/>
        <w:bidi w:val="0"/>
        <w:spacing w:lineRule="auto" w:line="288" w:before="0" w:after="0"/>
        <w:jc w:val="left"/>
        <w:rPr/>
      </w:pPr>
      <w:hyperlink w:anchor="i65296f168ea449b99126b2b55f877ea4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LISATA THERAPEUTICS,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63"/>
        <w:gridCol w:w="218"/>
        <w:gridCol w:w="221"/>
        <w:gridCol w:w="109"/>
        <w:gridCol w:w="109"/>
        <w:gridCol w:w="109"/>
        <w:gridCol w:w="2685"/>
        <w:gridCol w:w="2685"/>
        <w:gridCol w:w="3806"/>
      </w:tblGrid>
      <w:tr>
        <w:trPr/>
        <w:tc>
          <w:tcPr>
            <w:tcW w:w="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sta-ex311_20250331.htm">
              <w:r>
                <w:rPr>
                  <w:rStyle w:val="InternetLink"/>
                  <w:rFonts w:ascii="Times New Roman;sans-serif" w:hAnsi="Times New Roman;sans-serif"/>
                  <w:b w:val="false"/>
                  <w:color w:val="0000FF"/>
                  <w:sz w:val="18"/>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pursuant to Section 302 of the Sarbanes-Oxley Act of 2002</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sta-ex312_20250331.htm">
              <w:r>
                <w:rPr>
                  <w:rStyle w:val="InternetLink"/>
                  <w:rFonts w:ascii="Times New Roman;sans-serif" w:hAnsi="Times New Roman;sans-serif"/>
                  <w:b w:val="false"/>
                  <w:color w:val="0000FF"/>
                  <w:sz w:val="18"/>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Financial Officer pursuant to Section 302 of the Sarbanes-Oxley Act of 2002</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sta-ex321_20250331.htm">
              <w:r>
                <w:rPr>
                  <w:rStyle w:val="InternetLink"/>
                  <w:rFonts w:ascii="Times New Roman;sans-serif" w:hAnsi="Times New Roman;sans-serif"/>
                  <w:b w:val="false"/>
                  <w:color w:val="0000FF"/>
                  <w:sz w:val="18"/>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pursuant to 18 U.S.C. Section 1350, as adopted pursuant to Section 906 of the Sarbanes-Oxley Act of 2002</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sta-ex322_20250331.htm">
              <w:r>
                <w:rPr>
                  <w:rStyle w:val="InternetLink"/>
                  <w:rFonts w:ascii="Times New Roman;sans-serif" w:hAnsi="Times New Roman;sans-serif"/>
                  <w:b w:val="false"/>
                  <w:color w:val="0000FF"/>
                  <w:sz w:val="18"/>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Financial Officer pursuant to 18 U.S.C. Section 1350, as adopted pursuant to Section 906 of the Sarbanes-Oxley Act of 2002</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2096" w:type="dxa"/>
        <w:jc w:val="center"/>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David J. Mazzo, PhD,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8,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David J. Mazzo, PhD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David J. Mazzo, PhD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James Nisco,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8,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James Nisco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James Nisco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Finance and Treasury and Chief Accounting Officer</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Lisata Therapeutics, Inc. (the “Company”) for the quarter ended March 31, 2025 filed with the Securities and Exchange Commission on the date hereof (the “Report”), I, David J. Mazzo, PhD, President and Chief Executive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8, 2025 </w:t>
      </w:r>
    </w:p>
    <w:p>
      <w:pPr>
        <w:pStyle w:val="TextBody"/>
        <w:bidi w:val="0"/>
        <w:spacing w:lineRule="auto" w:line="288" w:before="0" w:after="0"/>
        <w:jc w:val="left"/>
        <w:rPr>
          <w:color w:val="000000"/>
        </w:rPr>
      </w:pPr>
      <w:r>
        <w:rPr>
          <w:color w:val="000000"/>
        </w:rPr>
        <w:t> </w:t>
      </w:r>
    </w:p>
    <w:tbl>
      <w:tblPr>
        <w:tblW w:w="5772" w:type="dxa"/>
        <w:jc w:val="center"/>
        <w:tblInd w:w="0" w:type="dxa"/>
        <w:tblLayout w:type="fixed"/>
        <w:tblCellMar>
          <w:top w:w="28" w:type="dxa"/>
          <w:left w:w="28" w:type="dxa"/>
          <w:bottom w:w="28" w:type="dxa"/>
          <w:right w:w="28" w:type="dxa"/>
        </w:tblCellMar>
      </w:tblPr>
      <w:tblGrid>
        <w:gridCol w:w="124"/>
        <w:gridCol w:w="109"/>
        <w:gridCol w:w="109"/>
        <w:gridCol w:w="1591"/>
        <w:gridCol w:w="1591"/>
        <w:gridCol w:w="22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David J. Mazzo, PhD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J. Mazzo, PhD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 (Principal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Lisata Therapeutics, Inc. (the “Company”) for the quarter ended March 31, 2025 filed with the Securities and Exchange Commission on the date hereof (the “Report”), I, James Nisco, Senior Vice President, Finance and Treasury and Chief Accounting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8, 2025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93"/>
        <w:gridCol w:w="2893"/>
        <w:gridCol w:w="4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James Nisco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Nisco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Treasury and Chief Accounting Officer (Principal Financial Officer and 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16309</Words>
  <Characters>91404</Characters>
  <CharactersWithSpaces>107018</CharactersWithSpaces>
  <Paragraphs>1683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