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bidi w:val="0"/>
        <w:spacing w:lineRule="auto" w:line="288"/>
        <w:jc w:val="center"/>
        <w:rPr>
          <w:rFonts w:ascii="Times New Roman;sans-serif" w:hAnsi="Times New Roman;sans-serif"/>
          <w:b w:val="false"/>
          <w:color w:val="000000"/>
          <w:sz w:val="20"/>
          <w:u w:val="single"/>
          <w:shd w:fill="FFFF00" w:val="clear"/>
        </w:rPr>
      </w:pPr>
      <w:r>
        <w:rPr>
          <w:rFonts w:ascii="Times New Roman;sans-serif" w:hAnsi="Times New Roman;sans-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622"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67"/>
        <w:gridCol w:w="467"/>
        <w:gridCol w:w="467"/>
        <w:gridCol w:w="676"/>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3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August 14, 2023</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8,142,357 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long-term success of our recently completed merger with Cend Therapeutics, Inc. (“Cend”), including the ongoing integration of Cend’s operations and the advancement of their development programs;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such as the COVID-19 pandemic and the need of patients to meet the inclusion criteria of the trial or otherwise;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to which the COVID-19 pandemic and any future pandemic and/or their long-term effects may impact, directly or indirectly, our business, including our clinical trials and financial condition;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discussed in “Risk Factors” in our Annual Report on Form 10-K filed with the Securities and Exchange Commission (the “SEC”) on March 30, 2023 (our “2022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pPr>
      <w:r>
        <w:rPr>
          <w:rFonts w:ascii="Times New Roman;sans-serif" w:hAnsi="Times New Roman;sans-serif"/>
          <w:b w:val="false"/>
          <w:color w:val="000000"/>
          <w:sz w:val="20"/>
        </w:rPr>
        <w:t xml:space="preserve">The factors discussed herein, including those risks described in “Item 1A. Risk Factors” and elsewhere in our 2022 Form 10-K and in our other periodic filings with the SEC, which are available for review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7"/>
        <w:gridCol w:w="243"/>
        <w:gridCol w:w="244"/>
        <w:gridCol w:w="2880"/>
        <w:gridCol w:w="2880"/>
        <w:gridCol w:w="2885"/>
        <w:gridCol w:w="231"/>
        <w:gridCol w:w="231"/>
        <w:gridCol w:w="33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 FINANCIAL INFORMATION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cf8a0af2f47148dc98c9ade30e1c2f8f_10">
              <w:r>
                <w:rPr>
                  <w:rStyle w:val="InternetLink"/>
                  <w:rFonts w:ascii="Times New Roman;sans-serif" w:hAnsi="Times New Roman;sans-serif"/>
                  <w:b/>
                  <w:color w:val="0000FF"/>
                  <w:sz w:val="18"/>
                  <w:u w:val="single"/>
                </w:rPr>
                <w:t>Financial Statements: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3">
              <w:r>
                <w:rPr>
                  <w:rStyle w:val="InternetLink"/>
                  <w:rFonts w:ascii="Times New Roman;sans-serif" w:hAnsi="Times New Roman;sans-serif"/>
                  <w:b w:val="false"/>
                  <w:strike w:val="false"/>
                  <w:dstrike w:val="false"/>
                  <w:color w:val="0000FF"/>
                  <w:sz w:val="18"/>
                  <w:u w:val="none"/>
                  <w:effect w:val="non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cf8a0af2f47148dc98c9ade30e1c2f8f_16">
              <w:r>
                <w:rPr>
                  <w:rStyle w:val="InternetLink"/>
                  <w:rFonts w:ascii="Times New Roman;sans-serif" w:hAnsi="Times New Roman;sans-serif"/>
                  <w:b/>
                  <w:strike w:val="false"/>
                  <w:dstrike w:val="false"/>
                  <w:color w:val="000080"/>
                  <w:sz w:val="18"/>
                  <w:u w:val="single"/>
                  <w:effect w:val="none"/>
                </w:rPr>
                <w:t xml:space="preserve">Consolidated Balance Sheets at </w:t>
              </w:r>
            </w:hyperlink>
            <w:hyperlink w:anchor="icf8a0af2f47148dc98c9ade30e1c2f8f_16">
              <w:r>
                <w:rPr>
                  <w:rStyle w:val="InternetLink"/>
                  <w:rFonts w:ascii="Times New Roman;sans-serif" w:hAnsi="Times New Roman;sans-serif"/>
                  <w:b/>
                  <w:strike w:val="false"/>
                  <w:dstrike w:val="false"/>
                  <w:color w:val="000080"/>
                  <w:sz w:val="18"/>
                  <w:u w:val="single"/>
                  <w:effect w:val="none"/>
                </w:rPr>
                <w:t>June</w:t>
              </w:r>
            </w:hyperlink>
            <w:hyperlink w:anchor="icf8a0af2f47148dc98c9ade30e1c2f8f_16">
              <w:r>
                <w:rPr>
                  <w:rStyle w:val="InternetLink"/>
                  <w:rFonts w:ascii="Times New Roman;sans-serif" w:hAnsi="Times New Roman;sans-serif"/>
                  <w:b/>
                  <w:strike w:val="false"/>
                  <w:dstrike w:val="false"/>
                  <w:color w:val="000080"/>
                  <w:sz w:val="18"/>
                  <w:u w:val="single"/>
                  <w:effect w:val="none"/>
                </w:rPr>
                <w:t xml:space="preserve"> 3</w:t>
              </w:r>
            </w:hyperlink>
            <w:hyperlink w:anchor="icf8a0af2f47148dc98c9ade30e1c2f8f_16">
              <w:r>
                <w:rPr>
                  <w:rStyle w:val="InternetLink"/>
                  <w:rFonts w:ascii="Times New Roman;sans-serif" w:hAnsi="Times New Roman;sans-serif"/>
                  <w:b/>
                  <w:strike w:val="false"/>
                  <w:dstrike w:val="false"/>
                  <w:color w:val="000080"/>
                  <w:sz w:val="18"/>
                  <w:u w:val="single"/>
                  <w:effect w:val="none"/>
                </w:rPr>
                <w:t>0</w:t>
              </w:r>
            </w:hyperlink>
            <w:hyperlink w:anchor="icf8a0af2f47148dc98c9ade30e1c2f8f_16">
              <w:r>
                <w:rPr>
                  <w:rStyle w:val="InternetLink"/>
                  <w:rFonts w:ascii="Times New Roman;sans-serif" w:hAnsi="Times New Roman;sans-serif"/>
                  <w:b/>
                  <w:strike w:val="false"/>
                  <w:dstrike w:val="false"/>
                  <w:color w:val="000080"/>
                  <w:sz w:val="18"/>
                  <w:u w:val="single"/>
                  <w:effect w:val="none"/>
                </w:rPr>
                <w:t>, 2023 (unaudited) and December 31, 2022</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6">
              <w:r>
                <w:rPr>
                  <w:rStyle w:val="InternetLink"/>
                  <w:rFonts w:ascii="Times New Roman;sans-serif" w:hAnsi="Times New Roman;sans-serif"/>
                  <w:b w:val="false"/>
                  <w:strike w:val="false"/>
                  <w:dstrike w:val="false"/>
                  <w:color w:val="0000FF"/>
                  <w:sz w:val="18"/>
                  <w:u w:val="none"/>
                  <w:effect w:val="none"/>
                </w:rPr>
                <w:t>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cf8a0af2f47148dc98c9ade30e1c2f8f_19">
              <w:r>
                <w:rPr>
                  <w:rStyle w:val="InternetLink"/>
                  <w:rFonts w:ascii="Times New Roman;sans-serif" w:hAnsi="Times New Roman;sans-serif"/>
                  <w:b/>
                  <w:strike w:val="false"/>
                  <w:dstrike w:val="false"/>
                  <w:color w:val="000080"/>
                  <w:sz w:val="18"/>
                  <w:u w:val="single"/>
                  <w:effect w:val="none"/>
                </w:rPr>
                <w:t>Consolidated Statements of Operations for the three an</w:t>
              </w:r>
            </w:hyperlink>
            <w:hyperlink w:anchor="icf8a0af2f47148dc98c9ade30e1c2f8f_19">
              <w:r>
                <w:rPr>
                  <w:rStyle w:val="InternetLink"/>
                  <w:rFonts w:ascii="Times New Roman;sans-serif" w:hAnsi="Times New Roman;sans-serif"/>
                  <w:b/>
                  <w:strike w:val="false"/>
                  <w:dstrike w:val="false"/>
                  <w:color w:val="000080"/>
                  <w:sz w:val="18"/>
                  <w:u w:val="single"/>
                  <w:effect w:val="none"/>
                </w:rPr>
                <w:t>d</w:t>
              </w:r>
            </w:hyperlink>
            <w:hyperlink w:anchor="icf8a0af2f47148dc98c9ade30e1c2f8f_19">
              <w:r>
                <w:rPr>
                  <w:rStyle w:val="InternetLink"/>
                  <w:rFonts w:ascii="Times New Roman;sans-serif" w:hAnsi="Times New Roman;sans-serif"/>
                  <w:b/>
                  <w:strike w:val="false"/>
                  <w:dstrike w:val="false"/>
                  <w:color w:val="000080"/>
                  <w:sz w:val="18"/>
                  <w:u w:val="single"/>
                  <w:effect w:val="none"/>
                </w:rPr>
                <w:t xml:space="preserve"> six months ended </w:t>
              </w:r>
            </w:hyperlink>
            <w:hyperlink w:anchor="icf8a0af2f47148dc98c9ade30e1c2f8f_19">
              <w:r>
                <w:rPr>
                  <w:rStyle w:val="InternetLink"/>
                  <w:rFonts w:ascii="Times New Roman;sans-serif" w:hAnsi="Times New Roman;sans-serif"/>
                  <w:b/>
                  <w:strike w:val="false"/>
                  <w:dstrike w:val="false"/>
                  <w:color w:val="000080"/>
                  <w:sz w:val="18"/>
                  <w:u w:val="single"/>
                  <w:effect w:val="none"/>
                </w:rPr>
                <w:t>June 30</w:t>
              </w:r>
            </w:hyperlink>
            <w:hyperlink w:anchor="icf8a0af2f47148dc98c9ade30e1c2f8f_19">
              <w:r>
                <w:rPr>
                  <w:rStyle w:val="InternetLink"/>
                  <w:rFonts w:ascii="Times New Roman;sans-serif" w:hAnsi="Times New Roman;sans-serif"/>
                  <w:b/>
                  <w:strike w:val="false"/>
                  <w:dstrike w:val="false"/>
                  <w:color w:val="000080"/>
                  <w:sz w:val="18"/>
                  <w:u w:val="single"/>
                  <w:effect w:val="none"/>
                </w:rPr>
                <w:t>, 2023 and 2022 (unaudited)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9">
              <w:r>
                <w:rPr>
                  <w:rStyle w:val="InternetLink"/>
                  <w:rFonts w:ascii="Times New Roman;sans-serif" w:hAnsi="Times New Roman;sans-serif"/>
                  <w:b w:val="false"/>
                  <w:strike w:val="false"/>
                  <w:dstrike w:val="false"/>
                  <w:color w:val="0000FF"/>
                  <w:sz w:val="18"/>
                  <w:u w:val="none"/>
                  <w:effect w:val="none"/>
                </w:rPr>
                <w:t>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8a0af2f47148dc98c9ade30e1c2f8f_22">
              <w:r>
                <w:rPr>
                  <w:rStyle w:val="InternetLink"/>
                  <w:rFonts w:ascii="Times New Roman;sans-serif" w:hAnsi="Times New Roman;sans-serif"/>
                  <w:b/>
                  <w:strike w:val="false"/>
                  <w:dstrike w:val="false"/>
                  <w:color w:val="000080"/>
                  <w:sz w:val="18"/>
                  <w:u w:val="single"/>
                  <w:effect w:val="none"/>
                </w:rPr>
                <w:t xml:space="preserve">Consolidated Statements of Comprehensive Loss for the three </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 xml:space="preserve">and six </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 xml:space="preserve">months ended </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 xml:space="preserve">June </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3</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0</w:t>
              </w:r>
            </w:hyperlink>
            <w:hyperlink w:anchor="icf8a0af2f47148dc98c9ade30e1c2f8f_22">
              <w:r>
                <w:rPr>
                  <w:rStyle w:val="InternetLink"/>
                  <w:rFonts w:ascii="Times New Roman;sans-serif" w:hAnsi="Times New Roman;sans-serif"/>
                  <w:b/>
                  <w:strike w:val="false"/>
                  <w:dstrike w:val="false"/>
                  <w:color w:val="000080"/>
                  <w:sz w:val="18"/>
                  <w:u w:val="single"/>
                  <w:effect w:val="none"/>
                </w:rPr>
                <w:t>, 2023 and 2022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22">
              <w:r>
                <w:rPr>
                  <w:rStyle w:val="InternetLink"/>
                  <w:rFonts w:ascii="Times New Roman;sans-serif" w:hAnsi="Times New Roman;sans-serif"/>
                  <w:b w:val="false"/>
                  <w:strike w:val="false"/>
                  <w:dstrike w:val="false"/>
                  <w:color w:val="0000FF"/>
                  <w:sz w:val="18"/>
                  <w:u w:val="none"/>
                  <w:effect w:val="none"/>
                </w:rPr>
                <w:t>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8a0af2f47148dc98c9ade30e1c2f8f_25">
              <w:r>
                <w:rPr>
                  <w:rStyle w:val="InternetLink"/>
                  <w:rFonts w:ascii="Times New Roman;sans-serif" w:hAnsi="Times New Roman;sans-serif"/>
                  <w:b/>
                  <w:strike w:val="false"/>
                  <w:dstrike w:val="false"/>
                  <w:color w:val="000080"/>
                  <w:sz w:val="18"/>
                  <w:u w:val="single"/>
                  <w:effect w:val="none"/>
                </w:rPr>
                <w:t xml:space="preserve">Consolidated Statements of Equity for the </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 xml:space="preserve">three and </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 xml:space="preserve">six months ended </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 xml:space="preserve">June </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3</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0</w:t>
              </w:r>
            </w:hyperlink>
            <w:hyperlink w:anchor="icf8a0af2f47148dc98c9ade30e1c2f8f_25">
              <w:r>
                <w:rPr>
                  <w:rStyle w:val="InternetLink"/>
                  <w:rFonts w:ascii="Times New Roman;sans-serif" w:hAnsi="Times New Roman;sans-serif"/>
                  <w:b/>
                  <w:strike w:val="false"/>
                  <w:dstrike w:val="false"/>
                  <w:color w:val="000080"/>
                  <w:sz w:val="18"/>
                  <w:u w:val="single"/>
                  <w:effect w:val="none"/>
                </w:rPr>
                <w:t xml:space="preserve">, 2023 and 2022 (unaudited) </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25">
              <w:r>
                <w:rPr>
                  <w:rStyle w:val="InternetLink"/>
                  <w:rFonts w:ascii="Times New Roman;sans-serif" w:hAnsi="Times New Roman;sans-serif"/>
                  <w:b w:val="false"/>
                  <w:strike w:val="false"/>
                  <w:dstrike w:val="false"/>
                  <w:color w:val="0000FF"/>
                  <w:sz w:val="18"/>
                  <w:u w:val="none"/>
                  <w:effect w:val="non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cf8a0af2f47148dc98c9ade30e1c2f8f_28">
              <w:r>
                <w:rPr>
                  <w:rStyle w:val="InternetLink"/>
                  <w:rFonts w:ascii="Times New Roman;sans-serif" w:hAnsi="Times New Roman;sans-serif"/>
                  <w:b/>
                  <w:strike w:val="false"/>
                  <w:dstrike w:val="false"/>
                  <w:color w:val="000080"/>
                  <w:sz w:val="18"/>
                  <w:u w:val="single"/>
                  <w:effect w:val="none"/>
                </w:rPr>
                <w:t xml:space="preserve">Consolidated Statements of Cash Flows for the </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six</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 xml:space="preserve"> months ended </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 xml:space="preserve">June </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3</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0</w:t>
              </w:r>
            </w:hyperlink>
            <w:hyperlink w:anchor="icf8a0af2f47148dc98c9ade30e1c2f8f_28">
              <w:r>
                <w:rPr>
                  <w:rStyle w:val="InternetLink"/>
                  <w:rFonts w:ascii="Times New Roman;sans-serif" w:hAnsi="Times New Roman;sans-serif"/>
                  <w:b/>
                  <w:strike w:val="false"/>
                  <w:dstrike w:val="false"/>
                  <w:color w:val="000080"/>
                  <w:sz w:val="18"/>
                  <w:u w:val="single"/>
                  <w:effect w:val="none"/>
                </w:rPr>
                <w:t>, 2023 and 2022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28">
              <w:r>
                <w:rPr>
                  <w:rStyle w:val="InternetLink"/>
                  <w:rFonts w:ascii="Times New Roman;sans-serif" w:hAnsi="Times New Roman;sans-serif"/>
                  <w:b w:val="false"/>
                  <w:strike w:val="false"/>
                  <w:dstrike w:val="false"/>
                  <w:color w:val="0000FF"/>
                  <w:sz w:val="18"/>
                  <w:u w:val="none"/>
                  <w:effect w:val="none"/>
                </w:rPr>
                <w:t>10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Notes to Unaudited Consolidated Financial Statements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31">
              <w:r>
                <w:rPr>
                  <w:rStyle w:val="InternetLink"/>
                  <w:rFonts w:ascii="Times New Roman;sans-serif" w:hAnsi="Times New Roman;sans-serif"/>
                  <w:b w:val="false"/>
                  <w:strike w:val="false"/>
                  <w:dstrike w:val="false"/>
                  <w:color w:val="0000FF"/>
                  <w:sz w:val="18"/>
                  <w:u w:val="none"/>
                  <w:effect w:val="none"/>
                </w:rPr>
                <w:t>11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Management’s Discussion and Analysis of Financial Condition and Results of Operations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88">
              <w:r>
                <w:rPr>
                  <w:rStyle w:val="InternetLink"/>
                  <w:rFonts w:ascii="Times New Roman;sans-serif" w:hAnsi="Times New Roman;sans-serif"/>
                  <w:b w:val="false"/>
                  <w:strike w:val="false"/>
                  <w:dstrike w:val="false"/>
                  <w:color w:val="0000FF"/>
                  <w:sz w:val="18"/>
                  <w:u w:val="none"/>
                  <w:effect w:val="none"/>
                </w:rPr>
                <w:t>26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Quantitative and Qualitative Disclosures About Market Risk</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00">
              <w:r>
                <w:rPr>
                  <w:rStyle w:val="InternetLink"/>
                  <w:rFonts w:ascii="Times New Roman;sans-serif" w:hAnsi="Times New Roman;sans-serif"/>
                  <w:b w:val="false"/>
                  <w:strike w:val="false"/>
                  <w:dstrike w:val="false"/>
                  <w:color w:val="0000FF"/>
                  <w:sz w:val="18"/>
                  <w:u w:val="none"/>
                  <w:effect w:val="none"/>
                </w:rPr>
                <w:t>34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Controls and Procedures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03">
              <w:r>
                <w:rPr>
                  <w:rStyle w:val="InternetLink"/>
                  <w:rFonts w:ascii="Times New Roman;sans-serif" w:hAnsi="Times New Roman;sans-serif"/>
                  <w:b w:val="false"/>
                  <w:strike w:val="false"/>
                  <w:dstrike w:val="false"/>
                  <w:color w:val="0000FF"/>
                  <w:sz w:val="18"/>
                  <w:u w:val="none"/>
                  <w:effect w:val="none"/>
                </w:rPr>
                <w:t>34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II- 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Legal Proceedings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09">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1A.</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Risk Factors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12">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Unregistered Sales of Equity Securities and Use of Proceeds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15">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Defaults Upon Senior Securities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18">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Mine Safety Disclosures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21">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5.</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24">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6.</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Exhibits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27">
              <w:r>
                <w:rPr>
                  <w:rStyle w:val="InternetLink"/>
                  <w:rFonts w:ascii="Times New Roman;sans-serif" w:hAnsi="Times New Roman;sans-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Signatures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f8a0af2f47148dc98c9ade30e1c2f8f_130">
              <w:r>
                <w:rPr>
                  <w:rStyle w:val="InternetLink"/>
                  <w:rFonts w:ascii="Times New Roman;sans-serif" w:hAnsi="Times New Roman;sans-serif"/>
                  <w:b w:val="false"/>
                  <w:strike w:val="false"/>
                  <w:dstrike w:val="false"/>
                  <w:color w:val="0000FF"/>
                  <w:sz w:val="18"/>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8920" w:type="dxa"/>
        <w:jc w:val="left"/>
        <w:tblInd w:w="0" w:type="dxa"/>
        <w:tblLayout w:type="fixed"/>
        <w:tblCellMar>
          <w:top w:w="28" w:type="dxa"/>
          <w:left w:w="28" w:type="dxa"/>
          <w:bottom w:w="28" w:type="dxa"/>
          <w:right w:w="28" w:type="dxa"/>
        </w:tblCellMar>
      </w:tblPr>
      <w:tblGrid>
        <w:gridCol w:w="2305"/>
        <w:gridCol w:w="2020"/>
        <w:gridCol w:w="2034"/>
        <w:gridCol w:w="216"/>
        <w:gridCol w:w="713"/>
        <w:gridCol w:w="120"/>
        <w:gridCol w:w="109"/>
        <w:gridCol w:w="109"/>
        <w:gridCol w:w="109"/>
        <w:gridCol w:w="233"/>
        <w:gridCol w:w="769"/>
        <w:gridCol w:w="183"/>
      </w:tblGrid>
      <w:tr>
        <w:trPr/>
        <w:tc>
          <w:tcPr>
            <w:tcW w:w="230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 - intangible</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33,333,333 shares; issued 8,133,095</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and 7,866,799 shares at June 30, 2023 and December 31, 2022, respectively; and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outstanding, 8,132,357 and 7,866,061 shares at June 30, 2023 and December 31, 2022,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respectively</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June 30, 2023 and December 31, 2022</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(507,241)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62,365 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bl>
      <w:tblPr>
        <w:tblW w:w="10205" w:type="dxa"/>
        <w:jc w:val="center"/>
        <w:tblInd w:w="0" w:type="dxa"/>
        <w:tblLayout w:type="fixed"/>
        <w:tblCellMar>
          <w:top w:w="28" w:type="dxa"/>
          <w:left w:w="28" w:type="dxa"/>
          <w:bottom w:w="28" w:type="dxa"/>
          <w:right w:w="28" w:type="dxa"/>
        </w:tblCellMar>
      </w:tblPr>
      <w:tblGrid>
        <w:gridCol w:w="1843"/>
        <w:gridCol w:w="1600"/>
        <w:gridCol w:w="1605"/>
        <w:gridCol w:w="216"/>
        <w:gridCol w:w="690"/>
        <w:gridCol w:w="120"/>
        <w:gridCol w:w="120"/>
        <w:gridCol w:w="120"/>
        <w:gridCol w:w="120"/>
        <w:gridCol w:w="216"/>
        <w:gridCol w:w="690"/>
        <w:gridCol w:w="120"/>
        <w:gridCol w:w="109"/>
        <w:gridCol w:w="109"/>
        <w:gridCol w:w="109"/>
        <w:gridCol w:w="196"/>
        <w:gridCol w:w="716"/>
        <w:gridCol w:w="109"/>
        <w:gridCol w:w="109"/>
        <w:gridCol w:w="109"/>
        <w:gridCol w:w="109"/>
        <w:gridCol w:w="196"/>
        <w:gridCol w:w="716"/>
        <w:gridCol w:w="158"/>
      </w:tblGrid>
      <w:tr>
        <w:trPr/>
        <w:tc>
          <w:tcPr>
            <w:tcW w:w="184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0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before benefit from income taxes and noncontrolling interests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attributable to noncontrolling interests</w:t>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0189" w:type="dxa"/>
        <w:jc w:val="center"/>
        <w:tblInd w:w="0" w:type="dxa"/>
        <w:tblLayout w:type="fixed"/>
        <w:tblCellMar>
          <w:top w:w="28" w:type="dxa"/>
          <w:left w:w="28" w:type="dxa"/>
          <w:bottom w:w="28" w:type="dxa"/>
          <w:right w:w="28" w:type="dxa"/>
        </w:tblCellMar>
      </w:tblPr>
      <w:tblGrid>
        <w:gridCol w:w="1806"/>
        <w:gridCol w:w="1583"/>
        <w:gridCol w:w="1606"/>
        <w:gridCol w:w="218"/>
        <w:gridCol w:w="701"/>
        <w:gridCol w:w="121"/>
        <w:gridCol w:w="121"/>
        <w:gridCol w:w="121"/>
        <w:gridCol w:w="121"/>
        <w:gridCol w:w="218"/>
        <w:gridCol w:w="701"/>
        <w:gridCol w:w="121"/>
        <w:gridCol w:w="109"/>
        <w:gridCol w:w="109"/>
        <w:gridCol w:w="109"/>
        <w:gridCol w:w="196"/>
        <w:gridCol w:w="721"/>
        <w:gridCol w:w="109"/>
        <w:gridCol w:w="109"/>
        <w:gridCol w:w="109"/>
        <w:gridCol w:w="109"/>
        <w:gridCol w:w="196"/>
        <w:gridCol w:w="721"/>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gain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2660"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30"/>
        <w:gridCol w:w="512"/>
        <w:gridCol w:w="129"/>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546,637 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(457,242)</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88,495 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88,241 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546,044 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(453,016)</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92,254 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92,000 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(10,852)</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(10,852)</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(10,852)</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tbl>
      <w:tblPr>
        <w:tblW w:w="12660"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left"/>
        <w:rPr>
          <w:color w:val="000000"/>
        </w:rPr>
      </w:pPr>
      <w:r>
        <w:rPr>
          <w:color w:val="000000"/>
        </w:rPr>
        <w:t> </w:t>
      </w:r>
    </w:p>
    <w:tbl>
      <w:tblPr>
        <w:tblW w:w="7644" w:type="dxa"/>
        <w:jc w:val="left"/>
        <w:tblInd w:w="0" w:type="dxa"/>
        <w:tblLayout w:type="fixed"/>
        <w:tblCellMar>
          <w:top w:w="28" w:type="dxa"/>
          <w:left w:w="28" w:type="dxa"/>
          <w:bottom w:w="28" w:type="dxa"/>
          <w:right w:w="28" w:type="dxa"/>
        </w:tblCellMar>
      </w:tblPr>
      <w:tblGrid>
        <w:gridCol w:w="1891"/>
        <w:gridCol w:w="1658"/>
        <w:gridCol w:w="1671"/>
        <w:gridCol w:w="196"/>
        <w:gridCol w:w="721"/>
        <w:gridCol w:w="109"/>
        <w:gridCol w:w="109"/>
        <w:gridCol w:w="109"/>
        <w:gridCol w:w="109"/>
        <w:gridCol w:w="196"/>
        <w:gridCol w:w="72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on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Cend Therapeutics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net share settlement equity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issuance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Effect of exchange rate changes on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 – The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Lisata Therapeutics, Inc. (together with its subsidiaries, the “Company”) is a clinical-stage pharmaceutical company dedicated to the discovery, development, and commercialization of innovative therapies for the treatment of solid tumors and other major diseases. The Company's lead investigational product candidate, LSTA1,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expected to be affected. LSTA1 also has the potential to modify the tumor microenvironment (“TME”), thereby making tumors more susceptible to immunotherapies. The Company and its collaborators have amassed significant non-clinical data demonstrating enhanced delivery of a range of existing and emerging anti-cancer therapies, including chemotherapeutics, immunotherapies and RNA-based therapeutics. To date, LSTA1 has also demonstrated favorable safety, tolerability and activity in completed and ongoing clinical trials designed to enhance delivery of standard-of-care chemotherapy for pancreatic cancer. The Company is exploring the potential of LSTA1 to enable a variety of treatment modalities to treat a range of solid tumors more effectively. In addition, the Company has development programs based on its autologous CD34+ cell therapy technology platform that it is seeking to partner while incurring no additional capital outlay.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Its goal is to develop and commercialize products that address important unmet medical needs. The Company’s current development pipeline includes: </w:t>
      </w:r>
    </w:p>
    <w:p>
      <w:pPr>
        <w:pStyle w:val="TextBody"/>
        <w:bidi w:val="0"/>
        <w:spacing w:lineRule="auto" w:line="288" w:before="0" w:after="160"/>
        <w:ind w:left="0" w:right="0" w:firstLine="360"/>
        <w:jc w:val="both"/>
        <w:rPr/>
      </w:pPr>
      <w:r>
        <w:rPr>
          <w:color w:val="000000"/>
        </w:rPr>
        <w:t>•</w:t>
      </w:r>
      <w:r>
        <w:rPr>
          <w:rFonts w:ascii="Times New Roman;sans-serif" w:hAnsi="Times New Roman;sans-serif"/>
          <w:b w:val="false"/>
          <w:color w:val="000000"/>
          <w:sz w:val="20"/>
        </w:rPr>
        <w:t>LSTA1, the subject of Phase 1b/2a and 2b clinical studies being conducted globally in a variety of solid tumor types, including metastatic pancreatic ductal adenocarcinoma (mPDAC), in combination with a variety of anti-cancer regimens.</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Merger with Cend Therapeutics, Inc. and Name Change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set forth in the Merger Agreement and effective September 15, 2022 (the “Effective Time”): (i) Merger Sub merged with and into Cend, with Cend surviving as a wholly owned subsidiary of Caladrius, (ii) Caladrius changed its name to Lisata Therapeutics, Inc.,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after taking into account the Reverse Stock Split (the “Exchange Ratio”). In connection with the Merger close, the Company issued an aggregate of 3,772,768 shares of common stock, based on the Exchange Ratio, to holders of Cend, in exchange for all of the Cend capital stock outstanding immediately prior to the closing of the Merger.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Merger Agreement, Lisata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the Company assumed Cend's stock options to purchase an aggregate of 1,227,776 shares of the Company's common stock.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provided a vast majority of the individuals on the management team and holds the chief executive officer (“CEO”), chief medical officer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 future use being expensed as reported in the consolidated statement of operations. Operating results presented in the consolidated statements of operations and comprehensive loss prior to the Merger are solely related to Caladrius Biosciences, Inc. and subsidiaries.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Coronavirus Considerations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Lisata's Phase 2b FREEDOM Trial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U.S. experienced delays in enrolling patients as a result of COVID-19. While early enrollment proceeded to plan with the first patient treated in January 2021, the impact of the COVID-19 pandemic contributed to a general slowing of enrollment, supply chain disruptions affecting the availability of qualified catheters used in the diagnosis of CMD and/or administration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as well as with a contrast agent typically used in many catheter laboratories. In May 2022, the Company announced that enrollment in the FREEDOM Trial was suspended and that it intended to conduct an interim analysis of the data from not less than the first 20 patients enrolled using the 6-month follow-up data to evaluate the efficacy and safety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subjects with CMD. Following this analysis along with Key Opinion Leaders’ input, the Company determined that execution of a redesigned FREEDOM-like trial would be the appropriate next step, but the cost of such a trial would be prohibitively expensive to undergo without a strategic partner. Accordingly, the Company’s board of directors concluded that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2022, in connection with the Merger, the Company implemented the Reverse Stock Split, as authorized at the annual meeting of stockholders on September 13, 2022. The Reverse Stock Split became effective on September 14, 2022 at 5:00 pm and the Company's common stock began trading on The Nasdaq Capital Market on a post-split basis at the open of business on September 15, 2022. As of September 14, 2022, every fifteen shares of the Company’s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Company’s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 increase the per share trading price of our common stock to satisfy the $1.00 minimum bid price requirement for continued listing on The Nasdaq Capital Market.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2023, and the results of its operations and its cash flows for the periods presented. The unaudited consolidated financial statements herein should be read together with the historical consolidated financial statements of the Company for the years ended December 31, 2022 and 2021 included in our 2022 Form 10-K. Operating results for the three and six months ended June 30, 2023 are not necessarily indicative of the results that may be expected for the year ending December 31,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are not readily apparent from other sources. The Company makes critical estimates and assumptions in determining stock-based awards values and the valuation of the Merger which was accounted for as an asset acquisition as substantially all of the fair value is concentrated in in-process research and development (“IPR&amp;D”). Accordingly, actual results could differ from those estimates and assumptions.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3298" w:type="dxa"/>
        <w:jc w:val="center"/>
        <w:tblInd w:w="0" w:type="dxa"/>
        <w:tblLayout w:type="fixed"/>
        <w:tblCellMar>
          <w:top w:w="28" w:type="dxa"/>
          <w:left w:w="28" w:type="dxa"/>
          <w:bottom w:w="28" w:type="dxa"/>
          <w:right w:w="28" w:type="dxa"/>
        </w:tblCellMar>
      </w:tblPr>
      <w:tblGrid>
        <w:gridCol w:w="781"/>
        <w:gridCol w:w="687"/>
        <w:gridCol w:w="691"/>
        <w:gridCol w:w="333"/>
        <w:gridCol w:w="333"/>
        <w:gridCol w:w="47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 of lease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Cend’s license agreement with Qilu Pharmaceutical, Co., Ltd. (“Qilu”) acquired in the Merger, with a value of $0.4 million. The intangible asset is stated at fair value and is amortized using the straight-line method over its estimated useful life of 5 years. Amortization expense was $18 thousand for the three months ended June 30, 2023 and $35 thousand for the six months ended June 30, 2023. The intangible asset is reviewed for potential impairment when events or circumstances indicate that carrying amounts may not be recoverable. The projected amortization expense is $71 thousand per year for the next five years.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and six months ended June 30, 2023 and 2022.</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six months ended June 30, 2023 and June 30, 2022, the Company has not recognized revenue related to milestones.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Merger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an asset acquisition as substantially all of the fair value was concentrated in IPR&amp;D. Cend’s assets (except for cash and working capital) were measured and recognized as an allocation of the transaction price based on their relative fair values as of the transaction date with any value associated with IPR&amp;D being expensed. The fair value of total consideration was $36.1 million. The following table is a summary of the purchase price calculation (in thousands except per share data).</w:t>
      </w:r>
    </w:p>
    <w:tbl>
      <w:tblPr>
        <w:tblW w:w="8164" w:type="dxa"/>
        <w:jc w:val="center"/>
        <w:tblInd w:w="0" w:type="dxa"/>
        <w:tblLayout w:type="fixed"/>
        <w:tblCellMar>
          <w:top w:w="28" w:type="dxa"/>
          <w:left w:w="28" w:type="dxa"/>
          <w:bottom w:w="28" w:type="dxa"/>
          <w:right w:w="28" w:type="dxa"/>
        </w:tblCellMar>
      </w:tblPr>
      <w:tblGrid>
        <w:gridCol w:w="2550"/>
        <w:gridCol w:w="2239"/>
        <w:gridCol w:w="2245"/>
        <w:gridCol w:w="488"/>
        <w:gridCol w:w="488"/>
        <w:gridCol w:w="154"/>
      </w:tblGrid>
      <w:tr>
        <w:trPr/>
        <w:tc>
          <w:tcPr>
            <w:tcW w:w="255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common shares of the combined company owned by Cend stockholders</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3,772,768 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Multiplied by the fair value per share of Lisata common stock on September 15, 2022</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7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3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$23,580</w:t>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Lisata's cost method investment in Cend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fair value of Cend's fully vested stock options</w:t>
            </w:r>
          </w:p>
        </w:tc>
        <w:tc>
          <w:tcPr>
            <w:tcW w:w="9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transaction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1130" w:type="dxa"/>
            <w:gridSpan w:val="3"/>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$36,098</w:t>
            </w:r>
          </w:p>
        </w:tc>
      </w:tr>
    </w:tbl>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was as follows (amounts in thousands):</w:t>
      </w:r>
    </w:p>
    <w:p>
      <w:pPr>
        <w:pStyle w:val="TextBody"/>
        <w:bidi w:val="0"/>
        <w:spacing w:before="0" w:after="0"/>
        <w:jc w:val="both"/>
        <w:rPr/>
      </w:pPr>
      <w:r>
        <w:rPr/>
      </w:r>
    </w:p>
    <w:tbl>
      <w:tblPr>
        <w:tblW w:w="4965" w:type="dxa"/>
        <w:jc w:val="center"/>
        <w:tblInd w:w="0" w:type="dxa"/>
        <w:tblLayout w:type="fixed"/>
        <w:tblCellMar>
          <w:top w:w="28" w:type="dxa"/>
          <w:left w:w="28" w:type="dxa"/>
          <w:bottom w:w="28" w:type="dxa"/>
          <w:right w:w="28" w:type="dxa"/>
        </w:tblCellMar>
      </w:tblPr>
      <w:tblGrid>
        <w:gridCol w:w="1429"/>
        <w:gridCol w:w="1254"/>
        <w:gridCol w:w="1262"/>
        <w:gridCol w:w="359"/>
        <w:gridCol w:w="362"/>
        <w:gridCol w:w="29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working capital (excluding cash)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72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in-process research and development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72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9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0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$36,098</w:t>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Available-for-Sale-Securities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our Consolidated Balance Sheets (in thousands):</w:t>
      </w:r>
    </w:p>
    <w:tbl>
      <w:tblPr>
        <w:tblW w:w="10838" w:type="dxa"/>
        <w:jc w:val="center"/>
        <w:tblInd w:w="0" w:type="dxa"/>
        <w:tblLayout w:type="fixed"/>
        <w:tblCellMar>
          <w:top w:w="28" w:type="dxa"/>
          <w:left w:w="28" w:type="dxa"/>
          <w:bottom w:w="28" w:type="dxa"/>
          <w:right w:w="28" w:type="dxa"/>
        </w:tblCellMar>
      </w:tblPr>
      <w:tblGrid>
        <w:gridCol w:w="449"/>
        <w:gridCol w:w="263"/>
        <w:gridCol w:w="264"/>
        <w:gridCol w:w="196"/>
        <w:gridCol w:w="646"/>
        <w:gridCol w:w="109"/>
        <w:gridCol w:w="109"/>
        <w:gridCol w:w="109"/>
        <w:gridCol w:w="109"/>
        <w:gridCol w:w="334"/>
        <w:gridCol w:w="410"/>
        <w:gridCol w:w="187"/>
        <w:gridCol w:w="109"/>
        <w:gridCol w:w="109"/>
        <w:gridCol w:w="109"/>
        <w:gridCol w:w="280"/>
        <w:gridCol w:w="494"/>
        <w:gridCol w:w="157"/>
        <w:gridCol w:w="109"/>
        <w:gridCol w:w="109"/>
        <w:gridCol w:w="109"/>
        <w:gridCol w:w="196"/>
        <w:gridCol w:w="646"/>
        <w:gridCol w:w="109"/>
        <w:gridCol w:w="109"/>
        <w:gridCol w:w="109"/>
        <w:gridCol w:w="109"/>
        <w:gridCol w:w="196"/>
        <w:gridCol w:w="646"/>
        <w:gridCol w:w="109"/>
        <w:gridCol w:w="109"/>
        <w:gridCol w:w="109"/>
        <w:gridCol w:w="109"/>
        <w:gridCol w:w="256"/>
        <w:gridCol w:w="531"/>
        <w:gridCol w:w="144"/>
        <w:gridCol w:w="109"/>
        <w:gridCol w:w="109"/>
        <w:gridCol w:w="109"/>
        <w:gridCol w:w="280"/>
        <w:gridCol w:w="494"/>
        <w:gridCol w:w="157"/>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bills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our Consolidated Balance Sheets (in thousands):</w:t>
      </w:r>
    </w:p>
    <w:tbl>
      <w:tblPr>
        <w:tblW w:w="4855" w:type="dxa"/>
        <w:jc w:val="center"/>
        <w:tblInd w:w="0" w:type="dxa"/>
        <w:tblLayout w:type="fixed"/>
        <w:tblCellMar>
          <w:top w:w="28" w:type="dxa"/>
          <w:left w:w="28" w:type="dxa"/>
          <w:bottom w:w="28" w:type="dxa"/>
          <w:right w:w="28" w:type="dxa"/>
        </w:tblCellMar>
      </w:tblPr>
      <w:tblGrid>
        <w:gridCol w:w="673"/>
        <w:gridCol w:w="592"/>
        <w:gridCol w:w="594"/>
        <w:gridCol w:w="228"/>
        <w:gridCol w:w="779"/>
        <w:gridCol w:w="117"/>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portfolio of available-for-sale securities by contractual maturity (in thousands):</w:t>
      </w:r>
    </w:p>
    <w:tbl>
      <w:tblPr>
        <w:tblW w:w="5110"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Property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577" w:type="dxa"/>
        <w:jc w:val="center"/>
        <w:tblInd w:w="0" w:type="dxa"/>
        <w:tblLayout w:type="fixed"/>
        <w:tblCellMar>
          <w:top w:w="28" w:type="dxa"/>
          <w:left w:w="28" w:type="dxa"/>
          <w:bottom w:w="28" w:type="dxa"/>
          <w:right w:w="28" w:type="dxa"/>
        </w:tblCellMar>
      </w:tblPr>
      <w:tblGrid>
        <w:gridCol w:w="933"/>
        <w:gridCol w:w="821"/>
        <w:gridCol w:w="826"/>
        <w:gridCol w:w="302"/>
        <w:gridCol w:w="667"/>
        <w:gridCol w:w="156"/>
        <w:gridCol w:w="109"/>
        <w:gridCol w:w="109"/>
        <w:gridCol w:w="109"/>
        <w:gridCol w:w="392"/>
        <w:gridCol w:w="866"/>
        <w:gridCol w:w="2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$60 thousand and $13 thousand for the six months ended June 30, 2023 and 2022,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Income (Loss)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the Company incurred net losses and therefore no common stock equivalents were utilized in the calculation of diluted loss per share as they are anti-dilutive. At June 30, 2023 and 2022, the Company excluded the following potentially dilutive securities (in thousands):</w:t>
      </w:r>
    </w:p>
    <w:tbl>
      <w:tblPr>
        <w:tblW w:w="3862" w:type="dxa"/>
        <w:jc w:val="left"/>
        <w:tblInd w:w="0" w:type="dxa"/>
        <w:tblLayout w:type="fixed"/>
        <w:tblCellMar>
          <w:top w:w="28" w:type="dxa"/>
          <w:left w:w="28" w:type="dxa"/>
          <w:bottom w:w="28" w:type="dxa"/>
          <w:right w:w="28" w:type="dxa"/>
        </w:tblCellMar>
      </w:tblPr>
      <w:tblGrid>
        <w:gridCol w:w="699"/>
        <w:gridCol w:w="616"/>
        <w:gridCol w:w="619"/>
        <w:gridCol w:w="308"/>
        <w:gridCol w:w="308"/>
        <w:gridCol w:w="156"/>
        <w:gridCol w:w="109"/>
        <w:gridCol w:w="109"/>
        <w:gridCol w:w="109"/>
        <w:gridCol w:w="308"/>
        <w:gridCol w:w="308"/>
        <w:gridCol w:w="213"/>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7 – Fair Value Measurements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based on the lowest level of input that is significant to the fair value measurement. The Company’s assessment of the significance of a particular input to the fair value measurement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judgment and may affect the valuation of the fair value of assets and liabilities and their placement within the fair value hierarchy levels.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June 30, 2023 and December 31, 2022 (in thousands):</w:t>
      </w:r>
    </w:p>
    <w:tbl>
      <w:tblPr>
        <w:tblW w:w="10705" w:type="dxa"/>
        <w:jc w:val="center"/>
        <w:tblInd w:w="0" w:type="dxa"/>
        <w:tblLayout w:type="fixed"/>
        <w:tblCellMar>
          <w:top w:w="28" w:type="dxa"/>
          <w:left w:w="28" w:type="dxa"/>
          <w:bottom w:w="28" w:type="dxa"/>
          <w:right w:w="28" w:type="dxa"/>
        </w:tblCellMar>
      </w:tblPr>
      <w:tblGrid>
        <w:gridCol w:w="330"/>
        <w:gridCol w:w="291"/>
        <w:gridCol w:w="295"/>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accounts payable and accrued expenses approximate fair value as of June 30, 2023 and December 31, 2022, due to the short maturity nature of these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Accrued Liabilities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June 30, 2023 and December 31, 2022 were as follows (in thousands):</w:t>
      </w:r>
    </w:p>
    <w:tbl>
      <w:tblPr>
        <w:tblW w:w="6730" w:type="dxa"/>
        <w:jc w:val="center"/>
        <w:tblInd w:w="0" w:type="dxa"/>
        <w:tblLayout w:type="fixed"/>
        <w:tblCellMar>
          <w:top w:w="28" w:type="dxa"/>
          <w:left w:w="28" w:type="dxa"/>
          <w:bottom w:w="28" w:type="dxa"/>
          <w:right w:w="28" w:type="dxa"/>
        </w:tblCellMar>
      </w:tblPr>
      <w:tblGrid>
        <w:gridCol w:w="1351"/>
        <w:gridCol w:w="1187"/>
        <w:gridCol w:w="1196"/>
        <w:gridCol w:w="253"/>
        <w:gridCol w:w="741"/>
        <w:gridCol w:w="131"/>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&amp; tax consulting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Operating Leases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No. 2016-02, Leases (Topic 842) on January 1, 2019 and recognized leases with duration greater than 12 months on the balance sheet using the modified retrospective approach. The Company has an operating lease for one office which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our balance sheet as follows (in thousands):</w:t>
      </w:r>
    </w:p>
    <w:tbl>
      <w:tblPr>
        <w:tblW w:w="5801" w:type="dxa"/>
        <w:jc w:val="center"/>
        <w:tblInd w:w="0" w:type="dxa"/>
        <w:tblLayout w:type="fixed"/>
        <w:tblCellMar>
          <w:top w:w="28" w:type="dxa"/>
          <w:left w:w="28" w:type="dxa"/>
          <w:bottom w:w="28" w:type="dxa"/>
          <w:right w:w="28" w:type="dxa"/>
        </w:tblCellMar>
      </w:tblPr>
      <w:tblGrid>
        <w:gridCol w:w="1016"/>
        <w:gridCol w:w="892"/>
        <w:gridCol w:w="896"/>
        <w:gridCol w:w="302"/>
        <w:gridCol w:w="667"/>
        <w:gridCol w:w="156"/>
        <w:gridCol w:w="109"/>
        <w:gridCol w:w="109"/>
        <w:gridCol w:w="109"/>
        <w:gridCol w:w="392"/>
        <w:gridCol w:w="866"/>
        <w:gridCol w:w="287"/>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2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30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6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weighted average remaining lease term for our operating lease was 2.3 years, and the weighted average discount rate for our operating lease was 9.625%. As of December 31, 2022, the weighted average remaining lease term for our operating leases was 1.5 years, and the weighted average discount rate for our operating leases was 9.625%.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June 30, 2023 were as follows (in thousands):</w:t>
      </w:r>
    </w:p>
    <w:tbl>
      <w:tblPr>
        <w:tblW w:w="4500" w:type="dxa"/>
        <w:jc w:val="center"/>
        <w:tblInd w:w="0" w:type="dxa"/>
        <w:tblLayout w:type="fixed"/>
        <w:tblCellMar>
          <w:top w:w="28" w:type="dxa"/>
          <w:left w:w="28" w:type="dxa"/>
          <w:bottom w:w="28" w:type="dxa"/>
          <w:right w:w="28" w:type="dxa"/>
        </w:tblCellMar>
      </w:tblPr>
      <w:tblGrid>
        <w:gridCol w:w="1091"/>
        <w:gridCol w:w="958"/>
        <w:gridCol w:w="966"/>
        <w:gridCol w:w="376"/>
        <w:gridCol w:w="833"/>
        <w:gridCol w:w="276"/>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2022, in connection with the Merger, we implemented the Reverse Stock Split, as described in Note 1. 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During the six months ended June 30, 2023, the Company issued 64,394 shares of common stock under the ATM Agreement for net proceeds of $270,774. Since inception, the Company has issued 64,394 shares of common stock under the ATM Agreement for net proceeds of $270,774. </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Common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closing on September 15, 2022, the Company issued an aggregate of 3,772,768 shares of common stock, based on the Exchange Ratio, to holders of Cend, in exchange for all of the Cend capital stock outstanding immediately prior to the closing of the Merger.</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and after giving effect to the Reverse Stock Split, the Company assumed 1,227,776 options outstanding of Cend. The options granted under the Cend Plan are exercisable at various dates as determined upon grant and will expire no more than ten years from their original date of grant. The Cend Plan stock options generally vest over a four-year term. The following table summarizes the activity for stock options and warrants for the six months ended June 30, 2023:</w:t>
      </w:r>
    </w:p>
    <w:tbl>
      <w:tblPr>
        <w:tblW w:w="10567"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1,391,352 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1,423,774 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1,338,734 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2023</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1,333,367 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1,222,064 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the Company issued restricted stock for services as follows (in thousands, except share data):</w:t>
      </w:r>
    </w:p>
    <w:tbl>
      <w:tblPr>
        <w:tblW w:w="5110" w:type="dxa"/>
        <w:jc w:val="center"/>
        <w:tblInd w:w="0" w:type="dxa"/>
        <w:tblLayout w:type="fixed"/>
        <w:tblCellMar>
          <w:top w:w="28" w:type="dxa"/>
          <w:left w:w="28" w:type="dxa"/>
          <w:bottom w:w="28" w:type="dxa"/>
          <w:right w:w="28" w:type="dxa"/>
        </w:tblCellMar>
      </w:tblPr>
      <w:tblGrid>
        <w:gridCol w:w="906"/>
        <w:gridCol w:w="798"/>
        <w:gridCol w:w="801"/>
        <w:gridCol w:w="109"/>
        <w:gridCol w:w="109"/>
        <w:gridCol w:w="109"/>
        <w:gridCol w:w="245"/>
        <w:gridCol w:w="526"/>
        <w:gridCol w:w="136"/>
        <w:gridCol w:w="136"/>
        <w:gridCol w:w="136"/>
        <w:gridCol w:w="136"/>
        <w:gridCol w:w="245"/>
        <w:gridCol w:w="526"/>
        <w:gridCol w:w="192"/>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terms of restricted stock issuances are generally between one and four years.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the Company issued restricted stock units for services as follows (in thousands, except share data):</w:t>
      </w:r>
    </w:p>
    <w:tbl>
      <w:tblPr>
        <w:tblW w:w="5189" w:type="dxa"/>
        <w:jc w:val="center"/>
        <w:tblInd w:w="0" w:type="dxa"/>
        <w:tblLayout w:type="fixed"/>
        <w:tblCellMar>
          <w:top w:w="28" w:type="dxa"/>
          <w:left w:w="28" w:type="dxa"/>
          <w:bottom w:w="28" w:type="dxa"/>
          <w:right w:w="28" w:type="dxa"/>
        </w:tblCellMar>
      </w:tblPr>
      <w:tblGrid>
        <w:gridCol w:w="1047"/>
        <w:gridCol w:w="922"/>
        <w:gridCol w:w="926"/>
        <w:gridCol w:w="233"/>
        <w:gridCol w:w="503"/>
        <w:gridCol w:w="126"/>
        <w:gridCol w:w="126"/>
        <w:gridCol w:w="126"/>
        <w:gridCol w:w="126"/>
        <w:gridCol w:w="228"/>
        <w:gridCol w:w="647"/>
        <w:gridCol w:w="179"/>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units issued</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Value of restricted stock units issued </w:t>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issued for services in the six months ended June 30, 2023 and 2022 was $3.00 and $13.76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Share-Based Compensation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share-based compensation in the form of stock options, restricted stock, and restricted stock units. The following table summarizes the components of share-based compensation expense for the three and six months ended June 30, 2023 and 2022 (in thousands):</w:t>
      </w:r>
    </w:p>
    <w:tbl>
      <w:tblPr>
        <w:tblW w:w="8270" w:type="dxa"/>
        <w:jc w:val="center"/>
        <w:tblInd w:w="0" w:type="dxa"/>
        <w:tblLayout w:type="fixed"/>
        <w:tblCellMar>
          <w:top w:w="28" w:type="dxa"/>
          <w:left w:w="28" w:type="dxa"/>
          <w:bottom w:w="28" w:type="dxa"/>
          <w:right w:w="28" w:type="dxa"/>
        </w:tblCellMar>
      </w:tblPr>
      <w:tblGrid>
        <w:gridCol w:w="1245"/>
        <w:gridCol w:w="1092"/>
        <w:gridCol w:w="1098"/>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were expected to be recognized at June 30, 2023 were as follows (in thousands):</w:t>
      </w:r>
    </w:p>
    <w:tbl>
      <w:tblPr>
        <w:tblW w:w="10205" w:type="dxa"/>
        <w:jc w:val="center"/>
        <w:tblInd w:w="0" w:type="dxa"/>
        <w:tblLayout w:type="fixed"/>
        <w:tblCellMar>
          <w:top w:w="28" w:type="dxa"/>
          <w:left w:w="28" w:type="dxa"/>
          <w:bottom w:w="28" w:type="dxa"/>
          <w:right w:w="28" w:type="dxa"/>
        </w:tblCellMar>
      </w:tblPr>
      <w:tblGrid>
        <w:gridCol w:w="2111"/>
        <w:gridCol w:w="1799"/>
        <w:gridCol w:w="1807"/>
        <w:gridCol w:w="283"/>
        <w:gridCol w:w="626"/>
        <w:gridCol w:w="146"/>
        <w:gridCol w:w="109"/>
        <w:gridCol w:w="109"/>
        <w:gridCol w:w="109"/>
        <w:gridCol w:w="409"/>
        <w:gridCol w:w="908"/>
        <w:gridCol w:w="215"/>
        <w:gridCol w:w="109"/>
        <w:gridCol w:w="109"/>
        <w:gridCol w:w="109"/>
        <w:gridCol w:w="314"/>
        <w:gridCol w:w="695"/>
        <w:gridCol w:w="238"/>
      </w:tblGrid>
      <w:tr>
        <w:trPr/>
        <w:tc>
          <w:tcPr>
            <w:tcW w:w="211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bl>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six months ended June 30, 2023 and 2022 were as follows (in thousands):</w:t>
      </w:r>
    </w:p>
    <w:tbl>
      <w:tblPr>
        <w:tblW w:w="7182" w:type="dxa"/>
        <w:jc w:val="center"/>
        <w:tblInd w:w="0" w:type="dxa"/>
        <w:tblLayout w:type="fixed"/>
        <w:tblCellMar>
          <w:top w:w="28" w:type="dxa"/>
          <w:left w:w="28" w:type="dxa"/>
          <w:bottom w:w="28" w:type="dxa"/>
          <w:right w:w="28" w:type="dxa"/>
        </w:tblCellMar>
      </w:tblPr>
      <w:tblGrid>
        <w:gridCol w:w="1678"/>
        <w:gridCol w:w="1471"/>
        <w:gridCol w:w="1485"/>
        <w:gridCol w:w="219"/>
        <w:gridCol w:w="532"/>
        <w:gridCol w:w="113"/>
        <w:gridCol w:w="113"/>
        <w:gridCol w:w="113"/>
        <w:gridCol w:w="113"/>
        <w:gridCol w:w="219"/>
        <w:gridCol w:w="532"/>
        <w:gridCol w:w="113"/>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12 – Income Taxes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approximately $281.0 million of Federal NOLs available to offset future taxable income expiring from 2030 through 2036. The Company performed an analysis and determined that they had an ownership change of greater than 50% over a 3-year testing period on January 25, 2021. As a result, $168.8 million of the $281.0 million of Federal NOLs will expire unutilized. The Company wrote off that portion of the deferred tax asset and reduced the corresponding valuation allowance resulting in $112.3 million of remaining Federal NOLs. The write off of the deferred tax asset and the corresponding reduction in valuation allowance has no impact to the balance sheet or income statement. Losses incurred before the ownership change on January 25, 2021 will be subject to an annual limitation of $173 thousand under Internal Revenue Code Section 382.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approximately $34.0 million of Federal NOLs available to offset future taxable income expiring from 2030 through 2036. The Company performed an analysis and determined that they had an ownership change of greater than 50% on September 15, 2022. As a result of the ownership change, $88.2 million of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NOLs will expire unutilized. The Company wrote off that portion of the deferred tax asset and reduced the corresponding valuation allowance resulting in $34.0 million of remaining Federal NOLs.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Cend Therapeutics had approximately $10.9 million of Federal NOLs available to offset future taxable income. The Company performed an analysis and determined that there was an ownership change of greater than 50% on September 15, 2022. As of September 15, 2022 Cend has approximately $10.7 million of Federal and $15.0 million of state NOLs. The state NOLs will expire from the 2036 through 2042 tax years. Using a fair market value of $36.1 million and applying an applicable federal rate of 2.54% Cend will have an annual limitation of approximately $917 thousand each year. The Federal NOL of $106 thousand incurred in the post-acquisition period September 15, 2022 to December 31, 2022 is not subject to limitation, and does not expire. Cend’s wholly owned Australian subsidiary has $1.8 million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the Company had State NOLs available in New Jersey of $35.5 million and $97.0 million, respectively, California of $10.0 million and $69.5 million, respectively, and New York City of $1.9 million and $13.0 million, respectively, to offset future taxable income expiring from 2032 through 2042. In accordance with Section 382 of the Internal Revenue code, the usage of the Company’s NOLs is limited given the change in ownership. The ultimate realization of deferred tax assets is dependent upon the generation of future taxable income during the period when those temporary differences become deductible.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Company’s uncertain tax positions were $344 thousand and $0, respectively. Due to the acquisition of Cend, the Company’s uncertain tax positions increased by $344 thousand related to Federal and state credits and certain state NOLs. The Company will continue to evaluate its uncertain tax positions in future periods. As of June 30, 2023,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2019, the federal statute of limitations is closed for assessing tax. The Company’s state tax returns remain open to examination for a period of three to four years from the date of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2023, the Company received final approval from the New Jersey Economic Development Authority (“NJEDA”) under the Technology Business Tax Certificate Transfer Program (“Program”) to sell a percentage of its New Jersey net operating losses (“NJ NOLs”), which were subsequently sold to a qualifying and approved buyer pursuant to the Program for net proceeds of $2.2 million. The $2.3 million of NJ NOLs related tax benefits has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2022. The Company will continue to monitor future impact of changes in tax legislation.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13 – Australia Research and Development Tax Incentive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Australian subsidiary, which conducts core research and development activities, is eligible to receive a refundable tax incentive between 43.5% to 48.5% (depending upon the income tax rate) for qualified research and development activities. As of the six months ended June 30, 2023, $1.1 million was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14 – Contingencies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 answer to Cend’s response on July 11, 2022. At a Case Management Conference held on August 4, 2023, the Court set a trial date in the matter for August 2, 2024. The Company denies these allegations made by Lingmed and intends to vigorously defend itself.</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15 –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LSTA1.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Cend entered into a license agreement with SBP under which Cend was granted an exclusive, royalty-bearing license to certain patent rights and know-how controlled by SBP. The agreement provides Cend with the rights to grant and authorize sublicenses to use, sell, and otherwise exploit the patent rights. The Company is required to pay an annual license maintenance fee of $20,000, increasing to $30,000 on year four of the agreement. Further, the Company could be required to make milestone payments to SBP upon completion of certain regulatory and commercial milestones. The aggregate potential milestone payments are approximately $23.2 million. The Company is obligated to pay SBP royalties of 4% of net sales of products sold by the Company or through a sublicense, subject to certain reductions. Additionally, the Company is obligated to pay SBP varying sublicense fees, ranging from 10% to 25%, dependent on when the related milestones are reached.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will expire upon the later of (i) the final abandonment of all pending patent applications within the licensed patents or (ii) the expiration of the last to expire patent within the licensed patents. The agreements may be terminated in their entirety by the Company at any time by giving SBP sixty days’ prior written notice. The agreements may be terminated in their entirety by SBP if the Company, at any time, defaults in the payment of any sum when due and fails to make such payment within thirty days after receipt of written notice. The agreements may be terminated in their entirety by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agreements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owned 382,030 shares of the Company’s common stock as of June 30, 2023 and is a related party. </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University of California at San Diego</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Cend entered into a license agreement with the University of California at San Diego (“UCSD”) under which Cend was granted an exclusive, royalty-bearing license to certain patent rights related to the development of nano-particles to modulate immune response. The agreement provides the Company with the rights to grant and authorize sublicenses to use, sell and otherwise exploit the patent rights. The Company could be required to make milestone payments to UCSD upon completion of certain regulatory and commercial milestones. The aggregate potential milestone payments are approximately $1.2 million. The Company has also agreed to pay UCSD royalties of 1.5% of net sales of products sold by the Company or through a sublicense, subject to certain reductions. Additionally, the Company agreed to pay UCSD varying sublicense fees, ranging from 10% to 20%, dependent on when the related milestones are reached.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expiration of the longest-lived patent rights. The agreement may be terminated in its entirety by the Company at any time by giving UCSD ninety days’ prior written notice. The agreement may be terminated in its entirety by UCSD if the Company, at any time, (i) fails to perform or violates any term of the agreement and fails to cure the default within sixty days. Upon termination of the agreement for any reason, UCSD may terminate a sublicensee but will allow the Company to assign any sublicenses to UCSD provided a) that the sublicensee is in good standing upon termination of the agreement with the Company; and b) the sublicensee is not currently involved in litigation as an adverse party to UCSD.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Massachusetts Institute of Technology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Cend entered into a license agreement with the Massachusetts Institute of Technology ("MIT") under which Cend was granted an exclusive, royalty-bearing license to certain patent rights related to the development of tissue specific delivery of interfering RNA. The agreement provides the Company with the rights to grant and authorize sublicenses to use, sell, and otherwise exploit the patent rights. As consideration for the license, Cend issued a total of 43,236 shares of common stock, as adjusted for the Reverse Stock Split and Exchange Ratio. The Company is required to pay an annual license maintenance fee of $20,000, increasing to $25,000 for year two and three of the agreement, increasing to $50,000 on year four of the agreement and thereafter until the first commercial sale, and increasing to $150,000 each year of the agreement after the first sale. Further, the Company could be required to make milestone payments to MIT upon completion of certain regulatory and commercial milestones. The aggregate potential milestone payments are approximately $5.0 million. The Company has also agreed to pay MIT royalties of 2% of net sales of products sold by the Company or through a sublicense, subject to certain reductions. Additionally, the Company is obligated to pay MIT varying sublicense fees, ranging from 3% to 20%, depending on when the related milestones are reached. In connection with the close of the Merger, the Company was required to pay MIT a change of control fee of $0.3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expires upon the expiration or abandonment of all valid claims. The agreement may be earlier terminated in its entirety by the Company at any time by giving MIT six months prior written notice. The agreement may also be terminated in its entirety by MIT if the Company, at any time, (i) defaults in the payment of any sum when due and fails to make such payment within thirty days after receipt of written notice, or (ii) commits a material breach of its obligations under the agreement (aside from item (i)) and fails to cure that breach within sixty days after receipt of written notice. Upon termination of the agreement for any reason, the rights and licenses granted to the Company shall terminate and revert to MIT. Upon termination of the agreement for any reason, MIT may terminate a sublicensee but will allow the Company to assign any sublicenses to MIT provided that the sublicensee is in good standing upon termination of the agreement with the Company.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in accordance with the provisions of the license agreement, the Company provided notice to MIT that the license agreement would terminate effective December 30, 2023. Until such date, the license remains in full force and effect.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MIT owned 43,236 shares of the Company’s common stock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16 – Research Collaboration and License Agreement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LSTA1 in the Territory (defined as the Greater Area of China including China, Macau, Hong Kong, and Taiwan). Under the terms of the agreement, Qilu is solely responsible for the development of LSTA1 in its Territory. In consideration for the license, Qilu made an upfront payment of $10 million to Cend, which was recognized as revenue by Cend prior to the Merger. In addition, Cend received and recognized as revenue a $5 million development milestone prior to the Merger. The Company is eligible to receive additional developmental and commercial milestone payments up to $95 million and $125 million, respectively, tiered royalties on net sales ranging from 10% to 15%, and tiered sublicensing revenues ranging from 12% to 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17 – Subsequent Events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Departure of Director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11, 2023, the Company announced that Erkki Ruoslahti, M.D., Ph.D., had decided to retire from its Board of Directors.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Assignment of Tumor Penetrating Nanocomplex (TPN) platform</w:t>
      </w:r>
    </w:p>
    <w:p>
      <w:pPr>
        <w:pStyle w:val="TextBody"/>
        <w:bidi w:val="0"/>
        <w:spacing w:lineRule="auto" w:line="276"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the Company entered into a Technology Transfer Agreement with Impilo Therapeutics, Inc. (“Impilo”), pursuant to which the Company will, subject to the satisfaction of customary closing conditions, transfer the rights to the Tumor Penetrating Nanocomplex (TPN) platform to Impilo (the “Transfer”). In exchange, on the closing date of the Transfer (the “Closing Date”) and pursuant to an Equity Purchase Agreement, by and between the Company and Impilo, to become effective on the Closing Date, Impilo will issue to the Company 768,500 shares of its pre-seed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2022 Form 10-K. The following discussion should be read in conjunction with our consolidated financial statements and related notes thereto included elsewhere in this Quarterly Report and in our 2022 Form 10-K.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pharmaceutical company dedicated to the discovery, development, and commercialization of innovative therapies for the treatment of solid tumors and other major diseases. Our lead investigational product candidate, LSTA1,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expected to be affected. LSTA1 also has the potential to modify the tumor microenvironment (“TME”), thereby making tumors more susceptible to immunotherapies. We and our collaborators have amassed significant non-clinical data demonstrating enhanced delivery of a range of existing and emerging anti-cancer therapies, including chemotherapeutics, immunotherapies and RNA-based therapeutics. To date, LSTA1 has also demonstrated favorable safety, tolerability, and activity in completed and ongoing clinical trials designed to enhance delivery of standard-of-care chemotherapy for pancreatic cancer. We are exploring the potential of LSTA1 to enable a variety of treatment modalities to treat a range of solid tumors more effectively. In addition, we have development programs based on our autologous CD34+ cell therapy technology platform that we are seeking to partner while incurring no additional capital outlay.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Our current development pipeline includes: </w:t>
      </w:r>
    </w:p>
    <w:p>
      <w:pPr>
        <w:pStyle w:val="TextBody"/>
        <w:bidi w:val="0"/>
        <w:spacing w:lineRule="auto" w:line="288" w:before="0" w:after="160"/>
        <w:ind w:left="0" w:right="0" w:firstLine="360"/>
        <w:jc w:val="both"/>
        <w:rPr/>
      </w:pPr>
      <w:r>
        <w:rPr>
          <w:color w:val="000000"/>
        </w:rPr>
        <w:t>•</w:t>
      </w:r>
      <w:r>
        <w:rPr>
          <w:rFonts w:ascii="Times New Roman;sans-serif" w:hAnsi="Times New Roman;sans-serif"/>
          <w:b w:val="false"/>
          <w:color w:val="000000"/>
          <w:sz w:val="20"/>
        </w:rPr>
        <w:t>LSTA1, the subject of our Phase 1b/2a and 2b clinical studies being conducted globally in a variety of solid tumor types, including metastatic pancreatic ductal adenocarcinoma (mPDAC), in combination with a variety of anti-cancer regimens.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pancreatic ductal adenocarcinoma (“PDAC”), are surrounded by dense fibrotic tissue, or stroma. This limits the efficacy of current chemotherapies for these cancers. Emerging immunotherapy treatments, including checkpoint inhibitors, adoptive cell therapies such as chimeric antigen receptor T (“CAR-T”) cells, as well as nucleic acid-based therapies, such as short interfering RNA (“siRNA”), antisense oligonucleotides (“ASO”), and messenger RNAs (“mRNAs”) also face challenges in penetrating solid tumors. Many tumors also exhibit an immunosuppressive tumor microenvironment (“TME”), which suppresses patients’ immune systems’ ability to fight their cancer and can limit effectiveness of immunotherapies and/or contribute to metastases. These factors negatively impact the ability of many therapeutic agents to effectively treat these cancers.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the tumor stroma’s role as a primary impediment to effective treatment, our approach is to activate the C-end rule (“CendR”), or CendR system, a naturally occurring active transport system. Our lead investigational drug, LSTA1 (a specific internalizing R-G-D or iRGD peptide), activates this transport system in a tumor-specific manner (Sugahara, Science, 2010). LSTA1 enables more selective and efficient uptake of systemically administered anti-cancer drugs resulting in more intratumoral drug accumulation. The overall result is enhanced anticancer activity without an increase in side effects. While it is possible to couple/tether or conjugate some anticancer drugs to LSTA1, we believe that the co-administration approach is an advantage because it does not create a new chemical entity with its attendant development and regulatory hurdles, thereby providing an anticipated faster-to-clinic and faster-to-market product opportunity for a range of co-administration therapies.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progress with other approaches to address delivery to highly fibrotic tumors, such as PEGylated hyaluronidase and hedgehog inhibitors, has been limited by toxicity and side effects. LSTA1 has demonstrated favorable safety/tolerability and activity in clinical trials to enhance delivery of standard-of-care chemotherapy for mPDAC. LSTA1’s cancer-targeted delivery may enable such emerging treatment modalities to treat a range of solid tumors potentially more effectively.</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LSTA1 as a treatment for solid tumor cancers in combination with other anti-cancer agents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LSTA1 is an investigational drug that actuates the CendR active transport mechanism while also having the potential to modify the TME and make it less immunosuppressive, thereby making the tumor more susceptible to attack by the immune system. It is targeted to tumor vasculature, endothelial cells, tumor cells and some intratumoral immunosuppressive cells by its affinity for alpha-v, beta-3 and beta-5 integrins that are upregulated on these cells. LSTA1 is a nine amino acid cyclic internalizing RGD (“iRGD”) peptide that, once bound to these integrins, is cleaved by proteases expressed in tumors to release a peptide fragment, called a CendR fragment. The CendR fragment then binds to an adjacent receptor, called neuropilin-1 receptor, to activate a novel uptake pathway that allows circulating moieties such as anticancer drugs to more selectively and effectively penetrate solid tumors. The ability of LSTA1 to modify the TME to enhance delivery and efficacy of co-administered drugs has been demonstrated in many preclinical models in a range of solid tumors with the results from Lisata, collaborators and research groups around the world having been the subject of over 300 scientific publications.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clinical development, LSTA1 is the subject of a completed Phase 1b clinical trial of 31 first-line metastatic pancreatic ductal adenocarcinoma patients, of which 29 were evaluable. Results from the trial showed that the safety profile of the LSTA1 combination regimen was similar to standard of care (“SoC”) alone with LSTA1 being well-tolerated with no-dose limiting toxicities. An Objective Response Rate (“ORR”) of fifty nine percent was observed, including a rare complete response, which compares favorably to the twenty three percent ORR observed in the “MPACT” clinical trial that served as the basis for approval of nab-paclitaxel for use in combination with gemcitabine for the treatment of first line, metastatic pancreatic ductal adenocarcinoma. A Disease Control Rate (“DCR”); (partial and complete responses plus stable disease) of over seventy nine percent was observed in comparison to a DCR of forty eight percent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respectively, vs. less than six months and less than nine months, respectively, in the MPACT trial. These results have been published in The Lancet Gastroenterology and Hepatology (Dean, et al.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LSTA1 is the subject of multiple ongoing and planned clinical trials being conducted globally in a variety of solid tumor types and in combination with several chemotherapy and immunotherapy anti-cancer regimens. The following diagram summarizes these studies.</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drawing>
          <wp:inline distT="0" distB="0" distL="0" distR="0">
            <wp:extent cx="6286500" cy="3533775"/>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drawing>
          <wp:inline distT="0" distB="0" distL="0" distR="0">
            <wp:extent cx="6286500" cy="353377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Ischemic Repair (CD34+ Cell Technology)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critical limb ischemia (“CLI”), coronary microvascular dysfunction (“CMD”), refractory angina, and diabetic kidney disease (“DKD”).</w:t>
      </w:r>
    </w:p>
    <w:p>
      <w:pPr>
        <w:pStyle w:val="TextBody"/>
        <w:bidi w:val="0"/>
        <w:spacing w:lineRule="auto" w:line="288" w:before="0" w:after="160"/>
        <w:jc w:val="left"/>
        <w:rPr/>
      </w:pPr>
      <w:r>
        <w:rPr>
          <w:rFonts w:ascii="Times New Roman;sans-serif" w:hAnsi="Times New Roman;sans-serif"/>
          <w:b/>
          <w:i/>
          <w:color w:val="000000"/>
          <w:sz w:val="20"/>
        </w:rPr>
        <w:t>HONEDRA</w:t>
      </w:r>
      <w:r>
        <w:rPr>
          <w:rFonts w:ascii="Times New Roman;sans-serif" w:hAnsi="Times New Roman;sans-serif"/>
          <w:b/>
          <w:i/>
          <w:color w:val="000000"/>
          <w:sz w:val="13"/>
        </w:rPr>
        <w:t>®</w:t>
      </w:r>
      <w:r>
        <w:rPr>
          <w:color w:val="000000"/>
        </w:rPr>
        <w:t xml:space="preserve"> </w:t>
      </w:r>
      <w:r>
        <w:rPr>
          <w:rFonts w:ascii="Times New Roman;sans-serif" w:hAnsi="Times New Roman;sans-serif"/>
          <w:b/>
          <w:i/>
          <w:color w:val="000000"/>
          <w:sz w:val="20"/>
        </w:rPr>
        <w:t>for Treatment of Critical Limb Ischemia</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Our randomized, open-label, registration-eligible study of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Japan for the treatment of CLI and Buerger's disease has, to date, demonstrated positive trends in both safety and efficacy. The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 re-initiation, we suspended further enrollment in the fourth quarter of 2021. Following study suspension, we completed all protocol-defined patient observations and completed the clinical study report. Data from the follow-up of all patients completed in the registration-eligible clinical trial in Japan have been compiled and are the subject of discussions with the Pharmaceuticals and Medical Devices Agency (“PMDA”) in Japan as part of the Japanese regulatory pre-consultation process and in preparation for the formal clinical consultation meetings which precede a Japanese new drug application (“JNDA”). To date, the PMDA has provided advice on how to prepare for the formal consultation meeting and has indicated their preference for additional clinical information to accompany the filing of a JNDA. Concomitantly, the Company has reinforced its efforts to secure a Japanese partner to complete the remaining steps of development/registration as well as eventual commercialization in Japan.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Merger with Cend Therapeutics, Inc. and Name Change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set forth in the Merger Agreement and effective September 15, 2022 (the “Effective Time”): (i) Merger Sub merged with and into Cend, with Cend surviving as a wholly owned subsidiary of Caladrius, (ii) Caladrius changed its name to Lisata Therapeutics, Inc. in connection with and immediately following to the Effective Time,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(the “Exchange Ratio”), after taking into account the Reverse Stock Split. In connection with the Merger close, the Company issued an aggregate of 3,772,768 shares of common stock, based on the Exchange Ratio, to holders of Cend, in exchange for all of the Cend capital stock outstanding immediately prior to the closing of the Merger.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we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we assumed Cend's stock options to purchase an aggregate of 1,227,776 shares of the Company's common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has more individuals on the management team and will hold the CEO,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The prior reported operating results prior to the Merger close are those of Caladrius.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Additional Out-licensing Opportunities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broad intellectual property portfolio of assets includes notable programs available for out-licensing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Our phase 2b trial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United States experienced delays in enrolling patients as a result of COVID-19. In May 2022, we announced that enrollment in the FREEDOM Trial was suspended and that we intended to conduct an interim analysis of the data from not less than the first 20 patients enrolled using the 6-month follow-up data to evaluate the efficacy and safety of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subjects with CMD. Following this analysis along with Key Opinion Leaders’ input, we determined that execution of a redesigned FREEDOM-like trial would be the appropriate next step, but the cost of such a trial would be prohibitively expensive to undergo without a strategic partner. Accordingly, our board of directors concluded that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Beyond its impact on our development pipeline described above, the extent to which COVID-19 ultimately impacts our business, results of operations and financial condition will depend on future developments, which remain highly uncertain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 continue to be negatively affected by COVID-19, which could materially and adversely affect our business, financial condition and results of operations. See “Risk Factors” for additional discussion of the potential adverse impact of the COVID-19 pandemic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2023 Compared to Three Months Ended June 30, 2022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June 30, 2023 and June 30, 2022:</w:t>
      </w:r>
    </w:p>
    <w:tbl>
      <w:tblPr>
        <w:tblW w:w="5850" w:type="dxa"/>
        <w:jc w:val="left"/>
        <w:tblInd w:w="0" w:type="dxa"/>
        <w:tblLayout w:type="fixed"/>
        <w:tblCellMar>
          <w:top w:w="28" w:type="dxa"/>
          <w:left w:w="28" w:type="dxa"/>
          <w:bottom w:w="28" w:type="dxa"/>
          <w:right w:w="28" w:type="dxa"/>
        </w:tblCellMar>
      </w:tblPr>
      <w:tblGrid>
        <w:gridCol w:w="787"/>
        <w:gridCol w:w="692"/>
        <w:gridCol w:w="695"/>
        <w:gridCol w:w="218"/>
        <w:gridCol w:w="701"/>
        <w:gridCol w:w="121"/>
        <w:gridCol w:w="121"/>
        <w:gridCol w:w="121"/>
        <w:gridCol w:w="121"/>
        <w:gridCol w:w="218"/>
        <w:gridCol w:w="701"/>
        <w:gridCol w:w="121"/>
        <w:gridCol w:w="109"/>
        <w:gridCol w:w="109"/>
        <w:gridCol w:w="109"/>
        <w:gridCol w:w="196"/>
        <w:gridCol w:w="55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$4.0 million for the three months ended June 30, 2023, compared to $6.6 million for the three months ended June 30,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operating expenses totaled $6.9 million compared to $6.7 million for the three months ended June 30, 2022, representing an increase of 2.3%. Operating expenses comprised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$3.2 million for the three months ended June 30, 2023, compared to $3.2 million for the three months ended June 30, 2022, representing a decrease of $0.1 million or 2.2%. This was primarily due to expenses associated with our study start up activities in the current year associated with the LSTA1 Phase 2 proof-of-concept basket trial in various solid tumors in combination with the corresponding standards of care, enrollment activities for the LSTA1 Phase 2b ASCEND study and chemistry, manufacturing and control (CMC) activities for LSTA1 being offset by expenses associated with our Ischemic Repair programs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Phase 2b study,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diabetic kidney disease) in the prior year.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$3.7 million for the three months ended June 30, 2023, compared to $3.5 million for the three months ended June 30, 2022, representing an increase of $0.2 million or 6.5%. This was primarily due to severance costs associated with the elimination of the Chief Business Officer position on May 1, 2023, partially offset by non-recurring merger related costs in the prior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is comprised of investment income from cash, cash equivalents and marketable securities for both three months ended June 30, 2023 and 2022 and a loss on sale related to the sale of our New Jersey net operating losses (“NJ NOLs”) in the three months ended June 30, 2023.</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$2.2 million. The $2.3 million of NJ NOLs related tax benefits (“NJ NOL Tax Benefits”) have been recorded as a benefit from income taxes and the loss on sale of $0.1 million recorded in other income (expense).</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Six Months Ended June 30, 2023 Compared to Six Months Ended June 30, 2022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six months ended June 30, 2023 and June 30, 2022:</w:t>
      </w:r>
    </w:p>
    <w:tbl>
      <w:tblPr>
        <w:tblW w:w="5726" w:type="dxa"/>
        <w:jc w:val="left"/>
        <w:tblInd w:w="0" w:type="dxa"/>
        <w:tblLayout w:type="fixed"/>
        <w:tblCellMar>
          <w:top w:w="28" w:type="dxa"/>
          <w:left w:w="28" w:type="dxa"/>
          <w:bottom w:w="28" w:type="dxa"/>
          <w:right w:w="28" w:type="dxa"/>
        </w:tblCellMar>
      </w:tblPr>
      <w:tblGrid>
        <w:gridCol w:w="787"/>
        <w:gridCol w:w="692"/>
        <w:gridCol w:w="695"/>
        <w:gridCol w:w="196"/>
        <w:gridCol w:w="721"/>
        <w:gridCol w:w="109"/>
        <w:gridCol w:w="109"/>
        <w:gridCol w:w="109"/>
        <w:gridCol w:w="109"/>
        <w:gridCol w:w="196"/>
        <w:gridCol w:w="721"/>
        <w:gridCol w:w="109"/>
        <w:gridCol w:w="109"/>
        <w:gridCol w:w="109"/>
        <w:gridCol w:w="109"/>
        <w:gridCol w:w="196"/>
        <w:gridCol w:w="49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$10.2 million for the six months ended June 30, 2023, compared to $10.9 million for the six months ended June 30,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operating expenses totaled $13.7 million compared to $13.3 million for the six months ended June 30, 2023, representing an increase of 2.8%. Operating expenses comprised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$6.3 million for the six months ended June 30, 2023, compared to $6.5 million for the six months ended June 30, 2022, representing a decrease of $0.2 million or 2.7%. This was primarily due to expenses associated with our study start up activities in the current year associated with the LSTA1 Phase 2 proof-of-concept basket trial in various solid tumors in combination with the corresponding standards of care, enrollment activities for the LSTA1 Phase 2b ASCEND study and chemistry, manufacturing and control (CMC) activities for LSTA1 being offset by expenses associated with our Ischemic Repair programs (XOWNA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Phase 2b study, HONEDRA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diabetic kidney disease) in the prior year.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$7.4 million for the six months ended June 30, 2023, compared to $6.8 million for the six months ended June 30, 2022, representing an increase of $0.6 million or 8.1%. This was primarily due to severance costs associated with the elimination of the Chief Business Officer position on May 1, 2023, partially offset by non-recurring merger related costs in the prior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is comprised of investment income from cash, cash equivalents and marketable securities for both six months ended June 30, 2023 and 2022 and a loss on sale related to the sale of our NJ NOLs in the six months ended June 30, 2023 and 2022.</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final approval from the NJEDA under the Program to sell a percentage of our NJ NOLs, which were subsequently sold to a qualifying and approved buyer pursuant to the Program for net proceeds of $2.2 million. The $2.3 million of our NJ NOL Tax Benefits have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received final approval from the NJEDA under the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As of</w:t>
      </w:r>
      <w:r>
        <w:rPr>
          <w:color w:val="000000"/>
        </w:rPr>
        <w:t> </w:t>
      </w:r>
      <w:r>
        <w:rPr>
          <w:rFonts w:ascii="Times New Roman;sans-serif" w:hAnsi="Times New Roman;sans-serif"/>
          <w:b w:val="false"/>
          <w:color w:val="000000"/>
          <w:sz w:val="20"/>
        </w:rPr>
        <w:t>June 30, 2023, we had cash, cash equivalents and marketable securities of approximately $57.6 million, working capital of approximately $57.1 million, and stockholders’ equity of approximately $58.0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or provided by, operating, investing and financing activities were as follows (in thousands): </w:t>
      </w:r>
    </w:p>
    <w:tbl>
      <w:tblPr>
        <w:tblW w:w="6819" w:type="dxa"/>
        <w:jc w:val="left"/>
        <w:tblInd w:w="0" w:type="dxa"/>
        <w:tblLayout w:type="fixed"/>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six months ended June 30, 2023 was $12.4 million, which is comprised of (i) our net loss of $10.2 million, adjusted for non-cash expenses totaling $0.9 million (which includes adjustments for equity-based compensation, depreciation and amortization, a loss on disposal of fixed assets, and amortization/accretion of marketable securities), and (ii) changes in operating assets and liabilities using approximately $3.1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six months ended June 30, 2022 was $10.7 million, which is comprised of (i) our net loss of $10.9 million, adjusted for non-cash expenses totaling $2.0 million (which includes adjustments for equity-based compensation, depreciation and amortization, and amortization/accretion of marketable securities) and (ii) changes in operating assets and liabilities using approximately $1.9 million.</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six months ended June 30, 2023 totaled $3.6 million and was primarily due to net sales of marketable securities (net of purchases of 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investing activities during the six months ended June 30, 2022 totaled $19.5 million and was primarily due to net sales of marketable securities (net of purchases of marketable securities) partially offset by our investment in Cend.</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financing activities during the six months ended June 30, 2023 totaled $0.4 million and consisted of proceeds from the issuance of shares through our ATM Agreement of $0.3 million, option exercise proceeds of $0.2 million partially offset by tax withholding-related payments of $0.1 million on net share settlement equity awards to employees.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six months ended June 30, 2022 totaled $0.1 million and consisted primarily of tax withholding-related payments on net share settlement equity awards to employees.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Requirements Outlook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an At The Market Offering Agreement (the “ATM Agreement”) with H.C. Wainwright &amp; Co., LLC as sales agent, in connection with an “at the market offering” under which we from time to time may offer and sell shares of our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Since inception we have issued 64,394 shares of common stock under the ATM Agreement for net proceeds of $270,774.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estimates during the three and six months ended June 30, 2023, compared to those reported in our 2022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  Disclosure Controls and Procedures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evaluated, with the participation of our management, including our Chief Executive Officer, the effectiveness of our disclosure controls and procedures as defined in Rules 13a-15(e) and 15d-15(e) under the Exchange Act. Based on that evaluation, our Chief Executive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14 – Contingencies” set forth in the Notes to Unaudited Consolidated Financial Statements, which are included herein, there are no material changes to the disclosures previously reported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reported in our 2022 Form 10-K. See the risk factors set forth in our 2022 Annual Report on Form 10-K under the caption “Item 1A - Risk Factors.”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491"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374"/>
        <w:gridCol w:w="1374"/>
        <w:gridCol w:w="1947"/>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Executive Officer, Principal Financial Officer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cf8a0af2f47148dc98c9ade30e1c2f8f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LISATA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1"/>
        <w:gridCol w:w="202"/>
        <w:gridCol w:w="205"/>
        <w:gridCol w:w="109"/>
        <w:gridCol w:w="109"/>
        <w:gridCol w:w="109"/>
        <w:gridCol w:w="2787"/>
        <w:gridCol w:w="2652"/>
        <w:gridCol w:w="3781"/>
      </w:tblGrid>
      <w:tr>
        <w:trPr/>
        <w:tc>
          <w:tcPr>
            <w:tcW w:w="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1slackseveranceagm05.htm">
              <w:r>
                <w:rPr>
                  <w:rStyle w:val="InternetLink"/>
                  <w:rFonts w:ascii="Times New Roman;sans-serif" w:hAnsi="Times New Roman;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Agreement, dated May 1, 2023, by and between the Company and David Slack.</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lbs-ex311_20230630xq2.htm">
              <w:r>
                <w:rPr>
                  <w:rStyle w:val="InternetLink"/>
                  <w:rFonts w:ascii="Times New Roman;sans-serif" w:hAnsi="Times New Roman;sans-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Principal Financial Officer and Principal Accounting Officer pursuant to Section 302 of the Sarbanes-Oxley Act of 2002</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lbs-ex32_20230630q2.htm">
              <w:r>
                <w:rPr>
                  <w:rStyle w:val="InternetLink"/>
                  <w:rFonts w:ascii="Times New Roman;sans-serif" w:hAnsi="Times New Roman;sans-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Principal Financial Officer and Principal Accounting Officer pursuant to 18 U.S.C. Section 1350, as adopted pursuant to Section 906 of the Sarbanes-Oxley Act of 2002</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6117" w:type="dxa"/>
        <w:jc w:val="center"/>
        <w:tblInd w:w="0" w:type="dxa"/>
        <w:tblLayout w:type="fixed"/>
        <w:tblCellMar>
          <w:top w:w="28" w:type="dxa"/>
          <w:left w:w="28" w:type="dxa"/>
          <w:bottom w:w="28" w:type="dxa"/>
          <w:right w:w="28" w:type="dxa"/>
        </w:tblCellMar>
      </w:tblPr>
      <w:tblGrid>
        <w:gridCol w:w="124"/>
        <w:gridCol w:w="109"/>
        <w:gridCol w:w="109"/>
        <w:gridCol w:w="1691"/>
        <w:gridCol w:w="1691"/>
        <w:gridCol w:w="2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contract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center"/>
        <w:rPr/>
      </w:pPr>
      <w:bookmarkStart w:id="0" w:name="ex101slackseveranceagm05.htm"/>
      <w:bookmarkStart w:id="1" w:name="ksex101slackseveranceagm05"/>
      <w:bookmarkEnd w:id="0"/>
      <w:bookmarkEnd w:id="1"/>
      <w:r>
        <w:rPr/>
        <w:drawing>
          <wp:inline distT="0" distB="0" distL="0" distR="0">
            <wp:extent cx="10048875" cy="1300162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w10:wrap type="none"/>
              </v:rect>
            </w:pict>
          </mc:Fallback>
        </mc:AlternateContent>
      </w:r>
    </w:p>
    <w:p>
      <w:pPr>
        <w:pStyle w:val="TextBody"/>
        <w:bidi w:val="0"/>
        <w:jc w:val="center"/>
        <w:rPr>
          <w:color w:val="FFFFFF"/>
          <w:sz w:val="2"/>
        </w:rPr>
      </w:pPr>
      <w:r>
        <w:rPr>
          <w:color w:val="FFFFFF"/>
          <w:sz w:val="2"/>
        </w:rPr>
        <w:t xml:space="preserve">1 SEVERANCE AGREEMENT May 1, 2023 PERSONAL AND CONFIDENTIAL BY EMAIL David Slack Dear David: The purpose of this Severance Agreement (the “Agreement”) is to set forth the terms of your separation from Lisata Therapeutics Inc. (the “Company”). Payment of the Separation Pay and receipt of the Separation Benefits described below is contingent on your agreement to and compliance with the terms of this Agreement. Neither this offer to you nor the Company’s entering into this Agreement shall constitute an admission by the Company. 1. Termination of Employment. (a) Your employment with the Company will end on May 1, 2023 (the “Termination Date”). The Company will pay you for your accrued wages through the Termination Date of $24,133.62 on the Termination Date, which shall include payment for any accrued but untaken paid time off which equals $22,321.50. You will receive no other payments from the Company other than as set forth in this Agreement. In addition, you may elect to continue your health insurance pursuant to the provisions of the Consolidated Omnibus Budget Reconciliation Act of 1985 (COBRA), which notice shall be delivered under separate cover. (b) The Company will not contest any application you may make for unemployment benefits after the Termination Date and you may apply for unemployment benefits directly from the State of California by accessing this website: https://edd.ca.gov/Unemployment/Filing_a_Claim.htm. 2. Severance Benefits. If you sign and do not revoke this Agreement, as you are entitled to do, in exchange for the mutual promises set forth in this Agreement, you will receive the following separation benefits (the “Separation Benefits”): (a) the Company will pay you $717,600.00 subject to all usual payroll deductions (the “Separation Pay”), which amount consists of: (i) 12 months of separation pay totaling $478,400.00, consistent with Section 8(a)(ii) of the Employment Agreement between you and Company dated as of September 15, 2022 (the “Employment Agreement”) and (ii) the pro-rata bonus payment totaling $239,200.00 consistent with Section 8(a)(iv) of the Employment Agreement. The Company will pay the Separation Pay in equal monthly installments over a period of 12 months following termination starting in the first payroll period after the Effective Date of this Agreement (as that term is defined below and assuming you do not revoke your signature on this Agreement as you are entitled to do).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The Company will reimburse you for 12 months of the Company-portion of COBRA consistent with section 8(a)(iii) of the Employment Agreement (assuming you do not revoke your signature on this Agreement as you are entitled to do). (c) You acknowledge that the table below sets forth a complete and accurate list of your options, RSAs and PSUs and their vesting as of the Termination Date pursuant to this Agreement, and that all remaining unvested options, RSAs and PSUs are forfeited as of the Effective Date, and that you have no further rights to any equity in the Company or any affiliates. You and the Company acknowledge and agree that your vested options will remain outstanding following the Termination Date as provided below (assuming you do not revoke your signature on this Agreement as you are entitled to do). Grant Date Equity Award Number of Shares Granted Shares Vested at Separation Date Time Period to Exercise Vested Options After Termination Date 1/9/2023 Options- NQSO 12,000 3,000 3 years 9/15/2022 Options- NQSO 137,358 137,358 3 years 9/15/2022 Options- NQSO 106,855 35,609 3 years 9/15/2022 Options - NQSO 10,676 10,676 3 years 1/9/2023 RSA 24,000 6,000* NA 1/9/2023 PSU 12,000 0 NA *Vested shares less net settlement which were previously sent to brokerage account. (d) You acknowledge and agree that the Separation Benefits referred to in this Agreement are not otherwise due and owing to you under any Company employment agreement (oral or written) or Company policy or practice absent your execution of this Agreement. You agree that the Separation Benefits to be provided to you are not intended to and does not constitute a severance plan and does not confer a benefit on anyone other than you. You further acknowledge that except for the specific financial consideration set forth in this Agreement, you are not now and shall not in the future be entitled to any other compensation from the Company including, without limitation, other wages, commissions, bonuses, vacation pay, holiday pay, paid time off or any other form of compensation or benefit. (e) The Separation Benefits shall be reduced by all applicable federal, state, local and other deductions, taxes, and withholdings. The Company does not guarantee the tax treatment or consequences associated with any payment or benefit under this Agreement, including under Section 409A of the Internal Revenue Code of 1986. You acknowledge and agree that you are solely responsible for the tax designations of any consideration provided to you pursuant to this Agreement. You and the Company further agree that any and all tax liabilities that may arise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out of payment of any consideration provided to you pursuant to this Agreement will be borne exclusively and solely by you. 3. Employee Covenants. (a) You acknowledge that as of the date you execute this Agreement (the “Execution Date”), you have not filed any complaints, claims, charges, actions, grievances or arbitrations against the Company1 or otherwise contacted any U.S. federal, state or local governmental agency or commission that has applicable jurisdiction to regulate the Company (each a “Government Agency”) regarding the Company. (b) You agree that you have returned to the Company all Company documents (whether in hard copy or electronic form and any copies thereof) and property (including, without limitation, all cell phones, laptops and other company equipment), and that you shall abide by the provisions of the Employee Confidentiality and Inventions Assignment Agreement you executed on, September 6, 2022 the terms of which shall survive the signing of this Agreement. Further, you agree that you will abide by any and all common law and/or statutory obligations relating to protection and non-disclosure of the Company’s trade secrets and/or confidential and proprietary documents and information. You shall not be deemed to be in breach of this confidentiality provision (i) in the event such information is already in the public domain, (ii) in the event that you are required to disclose confidential information in connection with a judicial or special proceeding or pursuant to court order, (iii) if you share this information with any Government Agency or participate in a government investigation, or (iv) if you obtain the Company’s prior written permission to disclose such information. Also, notwithstanding any provision of this Agreement prohibiting the disclosure of trade secrets or other confidential information, you may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 In addition, if you file a lawsuit or other court proceeding against the Company for retaliating against you for reporting a suspected violation of law, you may disclose the trade secret to the attorney representing you and use the trade secret in the court proceeding, if you file any document containing the trade secret under seal and do not disclose the trade secret, except pursuant to court order. (c) You agree that all information relating in any way to this Agreement, including the terms and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you from participating in an investigation with a state or federal agency if requested by the agency to do so. In addition, pursuant to S.B. 331, nothing in this Agreement prevents you from discussing or disclosing information about unlawful acts in the workplace, such 1 For purposes of Sections 3 and 4, the term “Company” includes Lisata Therapeutics Inc. and any of its parents, subsidiaries, divisions, affiliates (which means all persons and entities directly or indirectly controlling, controlled by or under common control with the Company), and all other related entities and the former and current directors, officers, employees, agents, successors and assigns of each applicable 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as harassment or discrimination or any other conduct that you have reason to believe is unlawful, or from engaging in conduct or disclosure as specified in section 3(e) below. (d) You agree that you shall not make any statements that are professionally or personally disparaging about, or adverse to, the interests of the Company and all other related entities and subsidiaries and their former or current officers, directors, employees and consultants including, but not limited to, any statements that disparage any person, product, service, finances, financial condition, capability or any other aspect of the business of the Company, and that you will not engage in any conduct which could reasonably be expected to harm professionally or personally the business or reputation of the Company and all other related entities and subsidiaries and their former or current officers, directors, employees and consultants. (e) You agree that nothing in this Agreement prevents you from: (i) discussing or disclosing information about unlawful acts in the workplace, such as harassment or discrimination or any other conduct that you have reason to believe is unlawful; (ii) engaging in protected activities under Section 7 of the National Labor Relations Act ("NLRA"), including filing unfair labor practice charges, assisting Company employees in filing unfair labor practice charges, discussing the improvement of terms and conditions of employment (including regarding the terms of this Agreement) with former and current Company employees or union representatives or other third parties for the purpose of engaging in concerted activity under Section 7 of the NLRA; or (iii) making any necessary disclosures as otherwise required by law. (f) You agree that by entering into this Agreement, the Company is not admitting to and specifically denies any wrongdoing or violation of any law, and further, the Company by agreeing to provide you the Separation Benefits is not admitting any liability and specifically denies any liability or that you suffered any damages. (g) You acknowledge that as of the Execution Date you have received all leave to which you are entitled under any applicable Federal or state law, and you have been paid in full for all wages and compensation and you are not aware of any injuries that would qualify as workplace injuries for purposes of workers compensation. 4. Your Release of Claims. (a) You hereby agree and acknowledge that by signing this Agreement and accepting the Separation Benefits, and for other good and valuable consideration, you are waiving your right to assert any and all forms of legal claims against the Company of any kind whatsoever, whether known or unknown, arising from the beginning of time through the Execution Date. Except as set forth below, your waiver and release herein is intended to bar any form of legal claim, complaint or any other form of action by you, including but not limited to a class or collective action, whether you seek to participate as a party plaintiff or as a class member (each a “Claim” and jointly referred to as “Claims”) against the Company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attorneys’ fees and any other costs) against the Company, for any alleged action, inaction or circumstance existing or arising through the Execution Date. (b) Without limiting the foregoing general waiver and release, you specifically waive and release the Company from any Claim arising from or related to your prior employment relationship with the Company or the termination thereof, including, without limitation: ** Claims under any local, state or federal discrimination, fair employment practices or other employment-related statute, regulation or executive order (as they may have been amended through the Execution Date) prohibiting discrimination or harassment based upon any protected status including, without limitation, race, national origin, age, gender, marital status, disability, veteran status or sexual orientation. Without limitation, specifically included in this paragraph are any Claims arising under the Federal Age Discrimination in Employment Act, the Civil Rights Acts of 1866 and 1871, Title VII of the Civil Rights Act of 1964, the Civil Rights Act of 1991, the Americans With Disabilities Act, the Genetic Information Nondiscrimination Act of 2008, the Employee Retirement Income Security Act of 1974, COBRA, and any similar Federal, state, or local statute. ** Claims under any other local, state or federal employment related statute, regulation or executive order (as they may have been amended through the Execution Date) relating to any other terms and conditions of employment. ** Claims under any state or federal common law theory including, without limitation, wrongful discharge, breach of express or implied contract, promissory estoppel, unjust enrichment, breach of a covenant of good faith and fair dealing, violation of public policy, defamation, interference with contractual relations, intentional or negligent infliction of emotional distress, invasion of privacy, misrepresentation, deceit, fraud or negligence. ** Any other Claim arising under local, state or federal law. ** Claims under any Company employment, compensation, bonus, benefit, stock option, incentive compensation, restricted stock unit, and/or equity plan, program, policy, practice, or agreement, including, without limitation, any equity award or plan, or employment agreement, including the Employment Agreement; (c) Section 1542 of the Civil Code of the State of California (“Section 1542”) provides, generally, that a release does not extend to unknown claims. Specifically, Section 1542 of the Civil Code of the State of California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 Notwithstanding the provisions of Section 1542 and for the purpose of implementing a full and complete release, you expressly acknowledge and agree that this Agreement releases all claims existing or arising prior to your execution of this Agreement which you have or may have against the Company, whether the claims are known or unknown and suspected or unsuspected by you and you forever waive all inquiries and investigations into any and all of these claims. (e) Notwithstanding the foregoing, this paragraph does not release the Company from any obligation expressly set forth in this Agreement. Further, your waivers and releases in this Agreement do not apply to any claims that cannot be waived or released as a matter of law under applicable, federal, state, or local laws, including without limitation unemployment and workers’ compensation claims or entitlement to indemnity or claims to receive any governmental bounties. However, you acknowledge and agree that you do not have any work- related injuries or occupational diseases. You acknowledge and agree that, but for providing this waiver and release, you would not be receiving the economic benefits being provided to you under the terms of this Agreement. (f) It is the Company’s desire and intent to make certain that you fully understand the provisions and effects of this Agreement. To that end, you have been encouraged and given the opportunity to consult with legal counsel for the purpose of reviewing the terms of this Agreement. Also, because you are over the age of 40, and consistent with the provisions of the Age Discrimination in Employment Act, which prohibits discrimination on the basis of age, the Company is providing you with twenty-one (21) days in which to consider and accept the terms of this Agreement by signing below and returning it to the undersigned. In addition, you may rescind your assent to this Agreement if, within seven (7) days after you sign this Agreement, you deliver by hand or send by email (with a confirmation from the recipient of receipt) a notice of rescission to the undersigned. The eighth day following your signing of this Agreement without rescission is the “Effective Date” of this Agreement. (g) Notwithstanding the foregoing, nothing in this Agreement, including the release contained in this Agreement shall: (i) prohibit or restrict you from filing or limit your ability to file a charge or complaint with the Equal Employment Opportunity Commission or a state or local equivalent, or any other Government Agency, (ii) prohibit or restrict you from communicating with, providing documents or other relevant information to or otherwise cooperating with, or limit your ability to communicate with, provide documents or other relevant information to or otherwise to cooperate with, any Government Agency, including, but not limited to, responding to any inquiry from such authority, including an inquiry about the existence of this Agreement, its release or its underlying facts, (iii) limit your right to receive an award for information provided to any Government Agency, or (iv) require you to notify the Company of your communications with or inquiries from any Government Agency. To the maximum extent permitted by law, however, nothing in this release or this Agreement shall be deemed to limit the Company’s right to seek immediate dismissal of a charge or complaint on the basis that your signing of this Agreement constitutes a full release of any Claims, including Claims of discrimination, or to seek restitution to the extent permitted by law of the economic benefits provided to you under this Agreement in the event that you successfully challenge the validity of this release, provided, however, that you retain the right to receive, and the Company shall not seek restitution of, an award for information lawfully provided to a Governmental Agency.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505018474v.2 5. Entire Agreement/Modification/Waiver/Choice of Law/ Venue/Enforceability / Signatures. (a) You acknowledge and agree that except for the Employee Confidentiality and Inventions Assignment Agreement, this Agreement supersedes any and all prior or contemporaneous oral and/or written agreements between you and the Company, including the Employment Agreement, and sets forth the entire agreement between you and the Company. No variations or modifications hereof shall be deemed valid unless reduced to writing and signed by the parties hereto. The failure of either Party to seek enforcement of any provision of this Agreement in any instance or for any period of time shall not be construed as a waiver of such provision or of either Party’s right to seek enforcement of such provision in the future. This Agreement shall be deemed to have been made in the State of California and shall be construed in accordance with the laws of that state without giving effect to conflict of law principles. The provisions of this Agreement are severable, and if for any reason any part shall be found to be unenforceable, the remaining provisions shall be enforced in full, provided, however, that if any or all of the release in Section 4 is held unenforceable, this Agreement shall be deemed null and void. This Agreement may be signed in counterparts, both of which shall be deemed an original, but both of which, taken together, shall constitute the same instrument. An electronic signature shall have the same effect as an original signature. (b) By executing this Agreement, you are acknowledging that: (1) you have carefully read and understand this Agreement, including Section 4 entitled Your Release of Claims; (2) you understand that Your Release of Claims in Section 4 is binding and by signing this Agreement, you give up certain rights; (3) you have been afforded sufficient time to understand the terms of this Agreement; (4) your agreements are made voluntarily and knowingly; and (5) neither the Company nor its agents have made any representations inconsistent with this Agreement. The offers in this Agreement will expire on May 22, 2023. The date you sign and return this Agreement to the Company is the “Execution Date.” Once you return the Agreement, the Company will countersign it and return it to you. COMPANY By: Its: Vice President, Human Resources Confirmed, Agreed and Acknowledged: NAME Dated: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14,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June 30, 2023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14, 2023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3"/>
        <w:gridCol w:w="288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 (Principal Executive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21600</Words>
  <Characters>118527</Characters>
  <CharactersWithSpaces>139330</CharactersWithSpaces>
  <Paragraphs>1893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ex101slackseveranceagm05</dc:title>
</cp:coreProperties>
</file>