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 10-Q</w:t>
      </w:r>
    </w:p>
    <w:p>
      <w:pPr>
        <w:spacing w:after="0" w:line="14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3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September 30, 2020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ectPr>
          <w:pgSz w:w="11900" w:h="16838" w:orient="portrait"/>
          <w:cols w:equalWidth="0" w:num="1">
            <w:col w:w="11200"/>
          </w:cols>
          <w:pgMar w:left="320" w:top="1003" w:right="379" w:bottom="1440" w:gutter="0" w:footer="0" w:header="0"/>
        </w:sectPr>
      </w:pPr>
    </w:p>
    <w:p>
      <w:pPr>
        <w:spacing w:after="0" w:line="331" w:lineRule="exact"/>
        <w:rPr>
          <w:sz w:val="24"/>
          <w:szCs w:val="24"/>
          <w:color w:val="auto"/>
        </w:rPr>
      </w:pPr>
    </w:p>
    <w:p>
      <w:pPr>
        <w:ind w:left="2400"/>
        <w:spacing w:after="0"/>
        <w:rPr>
          <w:sz w:val="20"/>
          <w:szCs w:val="20"/>
          <w:color w:val="auto"/>
        </w:rPr>
      </w:pPr>
      <w:r>
        <w:rPr>
          <w:rFonts w:ascii="Arial" w:cs="Arial" w:eastAsia="Arial" w:hAnsi="Arial"/>
          <w:sz w:val="16"/>
          <w:szCs w:val="16"/>
          <w:color w:val="auto"/>
        </w:rPr>
        <w:t>For the Transition Period from __________________</w:t>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rPr>
          <w:sz w:val="20"/>
          <w:szCs w:val="20"/>
          <w:color w:val="auto"/>
        </w:rPr>
      </w:pPr>
      <w:r>
        <w:rPr>
          <w:rFonts w:ascii="Arial" w:cs="Arial" w:eastAsia="Arial" w:hAnsi="Arial"/>
          <w:sz w:val="16"/>
          <w:szCs w:val="16"/>
          <w:color w:val="auto"/>
        </w:rPr>
        <w:t>to _________________________</w:t>
      </w:r>
    </w:p>
    <w:p>
      <w:pPr>
        <w:spacing w:after="0" w:line="200" w:lineRule="exact"/>
        <w:rPr>
          <w:sz w:val="24"/>
          <w:szCs w:val="24"/>
          <w:color w:val="auto"/>
        </w:rPr>
      </w:pPr>
    </w:p>
    <w:p>
      <w:pPr>
        <w:sectPr>
          <w:pgSz w:w="11900" w:h="16838" w:orient="portrait"/>
          <w:cols w:equalWidth="0" w:num="2">
            <w:col w:w="6280" w:space="120"/>
            <w:col w:w="4800"/>
          </w:cols>
          <w:pgMar w:left="320" w:top="1003" w:right="379" w:bottom="1440"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001-33650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CALADRIUS BIOSCIENCES, INC.</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00"/>
          </w:cols>
          <w:pgMar w:left="320" w:top="1003" w:right="379" w:bottom="1440" w:gutter="0" w:footer="0" w:header="0"/>
          <w:type w:val="continuous"/>
        </w:sectPr>
      </w:pPr>
    </w:p>
    <w:p>
      <w:pPr>
        <w:spacing w:after="0" w:line="13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22-2343568</w:t>
      </w:r>
    </w:p>
    <w:p>
      <w:pPr>
        <w:spacing w:after="0" w:line="23" w:lineRule="exact"/>
        <w:rPr>
          <w:sz w:val="24"/>
          <w:szCs w:val="24"/>
          <w:color w:val="auto"/>
        </w:rPr>
      </w:pPr>
    </w:p>
    <w:p>
      <w:pPr>
        <w:jc w:val="center"/>
        <w:ind w:right="12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3880"/>
          </w:cols>
          <w:pgMar w:left="320" w:top="1003" w:right="379" w:bottom="1440" w:gutter="0" w:footer="0" w:header="0"/>
          <w:type w:val="continuous"/>
        </w:sectPr>
      </w:pPr>
    </w:p>
    <w:p>
      <w:pPr>
        <w:spacing w:after="0" w:line="63" w:lineRule="exact"/>
        <w:rPr>
          <w:sz w:val="24"/>
          <w:szCs w:val="24"/>
          <w:color w:val="auto"/>
        </w:rPr>
      </w:pPr>
    </w:p>
    <w:p>
      <w:pPr>
        <w:jc w:val="center"/>
        <w:ind w:right="1460"/>
        <w:spacing w:after="0"/>
        <w:rPr>
          <w:sz w:val="20"/>
          <w:szCs w:val="20"/>
          <w:color w:val="auto"/>
        </w:rPr>
      </w:pPr>
      <w:r>
        <w:rPr>
          <w:rFonts w:ascii="Arial" w:cs="Arial" w:eastAsia="Arial" w:hAnsi="Arial"/>
          <w:sz w:val="16"/>
          <w:szCs w:val="16"/>
          <w:color w:val="auto"/>
        </w:rPr>
        <w:t>110 Allen Road, 2nd Floor, Basking Ridge, New Jersey</w:t>
      </w:r>
    </w:p>
    <w:p>
      <w:pPr>
        <w:spacing w:after="0" w:line="46"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jc w:val="center"/>
        <w:ind w:right="2220"/>
        <w:spacing w:after="0"/>
        <w:rPr>
          <w:sz w:val="20"/>
          <w:szCs w:val="20"/>
          <w:color w:val="auto"/>
        </w:rPr>
      </w:pPr>
      <w:r>
        <w:rPr>
          <w:rFonts w:ascii="Arial" w:cs="Arial" w:eastAsia="Arial" w:hAnsi="Arial"/>
          <w:sz w:val="18"/>
          <w:szCs w:val="18"/>
          <w:color w:val="auto"/>
        </w:rPr>
        <w:t>07920</w:t>
      </w:r>
    </w:p>
    <w:p>
      <w:pPr>
        <w:spacing w:after="0" w:line="23"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540" w:space="720"/>
            <w:col w:w="2940"/>
          </w:cols>
          <w:pgMar w:left="320" w:top="1003" w:right="379" w:bottom="1440" w:gutter="0" w:footer="0" w:header="0"/>
          <w:type w:val="continuous"/>
        </w:sectPr>
      </w:pPr>
    </w:p>
    <w:p>
      <w:pPr>
        <w:spacing w:after="0" w:line="119" w:lineRule="exact"/>
        <w:rPr>
          <w:sz w:val="24"/>
          <w:szCs w:val="24"/>
          <w:color w:val="auto"/>
        </w:rPr>
      </w:pPr>
    </w:p>
    <w:p>
      <w:pPr>
        <w:ind w:left="3220"/>
        <w:spacing w:after="0"/>
        <w:rPr>
          <w:sz w:val="20"/>
          <w:szCs w:val="20"/>
          <w:color w:val="auto"/>
        </w:rPr>
      </w:pPr>
      <w:r>
        <w:rPr>
          <w:rFonts w:ascii="Arial" w:cs="Arial" w:eastAsia="Arial" w:hAnsi="Arial"/>
          <w:sz w:val="16"/>
          <w:szCs w:val="16"/>
          <w:color w:val="auto"/>
        </w:rPr>
        <w:t>Registrant’s telephone number, including area code: 908-842-0100</w:t>
      </w:r>
    </w:p>
    <w:p>
      <w:pPr>
        <w:spacing w:after="0" w:line="167"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00"/>
          </w:cols>
          <w:pgMar w:left="320" w:top="1003" w:right="379" w:bottom="1440" w:gutter="0" w:footer="0" w:header="0"/>
          <w:type w:val="continuous"/>
        </w:sectPr>
      </w:pPr>
    </w:p>
    <w:p>
      <w:pPr>
        <w:spacing w:after="0" w:line="23"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Title of each class</w:t>
      </w:r>
    </w:p>
    <w:p>
      <w:pPr>
        <w:spacing w:after="0" w:line="23" w:lineRule="exact"/>
        <w:rPr>
          <w:sz w:val="24"/>
          <w:szCs w:val="24"/>
          <w:color w:val="auto"/>
        </w:rPr>
      </w:pPr>
    </w:p>
    <w:p>
      <w:pPr>
        <w:jc w:val="center"/>
        <w:ind w:right="4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660"/>
        <w:spacing w:after="0"/>
        <w:rPr>
          <w:sz w:val="20"/>
          <w:szCs w:val="20"/>
          <w:color w:val="auto"/>
        </w:rPr>
      </w:pPr>
      <w:r>
        <w:rPr>
          <w:rFonts w:ascii="Arial" w:cs="Arial" w:eastAsia="Arial" w:hAnsi="Arial"/>
          <w:sz w:val="16"/>
          <w:szCs w:val="16"/>
          <w:b w:val="1"/>
          <w:bCs w:val="1"/>
          <w:color w:val="auto"/>
        </w:rPr>
        <w:t>Trading Symbol(s)</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CLBS</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7"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The Nasdaq Capital Market</w:t>
      </w:r>
    </w:p>
    <w:p>
      <w:pPr>
        <w:spacing w:after="0" w:line="85" w:lineRule="exact"/>
        <w:rPr>
          <w:sz w:val="24"/>
          <w:szCs w:val="24"/>
          <w:color w:val="auto"/>
        </w:rPr>
      </w:pPr>
    </w:p>
    <w:p>
      <w:pPr>
        <w:sectPr>
          <w:pgSz w:w="11900" w:h="16838" w:orient="portrait"/>
          <w:cols w:equalWidth="0" w:num="3">
            <w:col w:w="4180" w:space="720"/>
            <w:col w:w="2080" w:space="720"/>
            <w:col w:w="3500"/>
          </w:cols>
          <w:pgMar w:left="320" w:top="1003" w:right="379" w:bottom="1440" w:gutter="0" w:footer="0" w:header="0"/>
          <w:type w:val="continuous"/>
        </w:sectPr>
      </w:pPr>
    </w:p>
    <w:p>
      <w:pPr>
        <w:jc w:val="center"/>
        <w:ind w:right="-13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both"/>
        <w:ind w:left="120"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120"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120" w:firstLine="24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80" w:type="dxa"/>
            <w:vAlign w:val="bottom"/>
          </w:tcPr>
          <w:p>
            <w:pPr>
              <w:ind w:left="228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200"/>
          </w:cols>
          <w:pgMar w:left="320" w:top="1003" w:right="379" w:bottom="1440" w:gutter="0" w:footer="0" w:header="0"/>
          <w:type w:val="continuous"/>
        </w:sectPr>
      </w:pPr>
    </w:p>
    <w:p>
      <w:pPr>
        <w:spacing w:after="0" w:line="140" w:lineRule="exact"/>
        <w:rPr>
          <w:sz w:val="24"/>
          <w:szCs w:val="24"/>
          <w:color w:val="auto"/>
        </w:rPr>
      </w:pPr>
    </w:p>
    <w:p>
      <w:pPr>
        <w:ind w:left="1020"/>
        <w:spacing w:after="0"/>
        <w:rPr>
          <w:sz w:val="20"/>
          <w:szCs w:val="20"/>
          <w:color w:val="auto"/>
        </w:rPr>
      </w:pPr>
      <w:r>
        <w:rPr>
          <w:rFonts w:ascii="Arial" w:cs="Arial" w:eastAsia="Arial" w:hAnsi="Arial"/>
          <w:sz w:val="15"/>
          <w:szCs w:val="15"/>
          <w:b w:val="1"/>
          <w:bCs w:val="1"/>
          <w:color w:val="auto"/>
        </w:rPr>
        <w:t>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Outstanding as of November 5th, 2020</w:t>
      </w:r>
    </w:p>
    <w:p>
      <w:pPr>
        <w:spacing w:after="0" w:line="90" w:lineRule="exact"/>
        <w:rPr>
          <w:sz w:val="24"/>
          <w:szCs w:val="24"/>
          <w:color w:val="auto"/>
        </w:rPr>
      </w:pPr>
    </w:p>
    <w:p>
      <w:pPr>
        <w:sectPr>
          <w:pgSz w:w="11900" w:h="16838" w:orient="portrait"/>
          <w:cols w:equalWidth="0" w:num="2">
            <w:col w:w="6380" w:space="720"/>
            <w:col w:w="4100"/>
          </w:cols>
          <w:pgMar w:left="320" w:top="1003" w:right="37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989330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19,395,977 shares</w:t>
      </w:r>
    </w:p>
    <w:p>
      <w:pPr>
        <w:sectPr>
          <w:pgSz w:w="11900" w:h="16838" w:orient="portrait"/>
          <w:cols w:equalWidth="0" w:num="2">
            <w:col w:w="6960" w:space="720"/>
            <w:col w:w="3520"/>
          </w:cols>
          <w:pgMar w:left="320" w:top="1003" w:right="3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309" w:lineRule="exact"/>
        <w:rPr>
          <w:sz w:val="20"/>
          <w:szCs w:val="20"/>
          <w:color w:val="auto"/>
        </w:rPr>
      </w:pPr>
    </w:p>
    <w:p>
      <w:pPr>
        <w:jc w:val="both"/>
        <w:ind w:left="6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sufficient capital or strategic business arrangements to fund our operations and expansion plans, including meeting our financial obligations under various licensing and other strategic arrangements, the funding of our clinical trials for product candidates, and the commercialization of the relevant technology;</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build and maintain the management and human resources infrastructure necessary to support the growth of our business;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 market is established for our cell-based products and services and our ability to capture a meaningful share of this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regulatory and medical developments beyond our control;</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potential strategic or financial benefits of various licensing agreements will be realized;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development activities;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other planned clinical trials (or initiate other trials) in accordance with our estimated timelines due to delays associated with enrolling patients due to the novelty of the treatment, the size of the patient population and the need of patients to meet the inclusion criteria of the trial or otherwise;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coronavirus may impact our business, including our clinical trials and financial condition;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in "Risk Factors" in our Annual Report on Form 10-K filed with the Securities and Exchange Commission (the "SEC") on March 5, 2020 (our "2019 Form 10-K").</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factors discussed herein, including those risks described in "Item 1A. Risk Factors" and elsewhere in our 2019 Form 10-K and in our other periodic filings with the SEC, which are available for review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149" w:lineRule="exact"/>
        <w:rPr>
          <w:sz w:val="20"/>
          <w:szCs w:val="20"/>
          <w:color w:val="auto"/>
        </w:rPr>
      </w:pPr>
    </w:p>
    <w:tbl>
      <w:tblPr>
        <w:tblLayout w:type="fixed"/>
        <w:tblInd w:w="300" w:type="dxa"/>
        <w:tblCellMar>
          <w:top w:w="0" w:type="dxa"/>
          <w:left w:w="0" w:type="dxa"/>
          <w:bottom w:w="0" w:type="dxa"/>
          <w:right w:w="0" w:type="dxa"/>
        </w:tblCellMar>
      </w:tblPr>
      <w:tr>
        <w:trPr>
          <w:trHeight w:val="243"/>
        </w:trPr>
        <w:tc>
          <w:tcPr>
            <w:tcW w:w="760" w:type="dxa"/>
            <w:vAlign w:val="bottom"/>
            <w:shd w:val="clear" w:color="auto" w:fill="CCEEFF"/>
          </w:tcPr>
          <w:p>
            <w:pPr>
              <w:spacing w:after="0"/>
              <w:rPr>
                <w:sz w:val="21"/>
                <w:szCs w:val="21"/>
                <w:color w:val="auto"/>
              </w:rPr>
            </w:pPr>
          </w:p>
        </w:tc>
        <w:tc>
          <w:tcPr>
            <w:tcW w:w="92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PART I- FINANCIAL INFORMATION</w:t>
            </w:r>
          </w:p>
        </w:tc>
        <w:tc>
          <w:tcPr>
            <w:tcW w:w="88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w w:val="96"/>
              </w:rPr>
              <w:t>Page No.</w:t>
            </w:r>
          </w:p>
        </w:tc>
      </w:tr>
      <w:tr>
        <w:trPr>
          <w:trHeight w:val="233"/>
        </w:trPr>
        <w:tc>
          <w:tcPr>
            <w:tcW w:w="760" w:type="dxa"/>
            <w:vAlign w:val="bottom"/>
          </w:tcPr>
          <w:p>
            <w:pPr>
              <w:spacing w:after="0"/>
              <w:rPr>
                <w:sz w:val="20"/>
                <w:szCs w:val="20"/>
                <w:color w:val="auto"/>
              </w:rPr>
            </w:pPr>
            <w:r>
              <w:rPr>
                <w:rFonts w:ascii="Arial" w:cs="Arial" w:eastAsia="Arial" w:hAnsi="Arial"/>
                <w:sz w:val="16"/>
                <w:szCs w:val="16"/>
                <w:b w:val="1"/>
                <w:bCs w:val="1"/>
                <w:color w:val="0000FF"/>
              </w:rPr>
              <w:t>Item 1.</w:t>
            </w:r>
          </w:p>
        </w:tc>
        <w:tc>
          <w:tcPr>
            <w:tcW w:w="9200" w:type="dxa"/>
            <w:vAlign w:val="bottom"/>
          </w:tcPr>
          <w:p>
            <w:pPr>
              <w:ind w:left="160"/>
              <w:spacing w:after="0"/>
              <w:rPr>
                <w:rFonts w:ascii="Arial" w:cs="Arial" w:eastAsia="Arial" w:hAnsi="Arial"/>
                <w:sz w:val="16"/>
                <w:szCs w:val="16"/>
                <w:b w:val="1"/>
                <w:bCs w:val="1"/>
                <w:u w:val="single" w:color="auto"/>
                <w:color w:val="0000FF"/>
              </w:rPr>
            </w:pPr>
            <w:hyperlink w:anchor="page3">
              <w:r>
                <w:rPr>
                  <w:rFonts w:ascii="Arial" w:cs="Arial" w:eastAsia="Arial" w:hAnsi="Arial"/>
                  <w:sz w:val="16"/>
                  <w:szCs w:val="16"/>
                  <w:b w:val="1"/>
                  <w:bCs w:val="1"/>
                  <w:u w:val="single" w:color="auto"/>
                  <w:color w:val="0000FF"/>
                </w:rPr>
                <w:t>Financial Statements:</w:t>
              </w:r>
            </w:hyperlink>
          </w:p>
        </w:tc>
        <w:tc>
          <w:tcPr>
            <w:tcW w:w="880" w:type="dxa"/>
            <w:vAlign w:val="bottom"/>
          </w:tcPr>
          <w:p>
            <w:pPr>
              <w:jc w:val="center"/>
              <w:ind w:left="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5</w:t>
              </w:r>
            </w:hyperlink>
          </w:p>
        </w:tc>
      </w:tr>
      <w:tr>
        <w:trPr>
          <w:trHeight w:val="253"/>
        </w:trPr>
        <w:tc>
          <w:tcPr>
            <w:tcW w:w="760" w:type="dxa"/>
            <w:vAlign w:val="bottom"/>
            <w:shd w:val="clear" w:color="auto" w:fill="CCEEFF"/>
          </w:tcPr>
          <w:p>
            <w:pPr>
              <w:spacing w:after="0"/>
              <w:rPr>
                <w:sz w:val="21"/>
                <w:szCs w:val="21"/>
                <w:color w:val="auto"/>
              </w:rPr>
            </w:pPr>
          </w:p>
        </w:tc>
        <w:tc>
          <w:tcPr>
            <w:tcW w:w="9200" w:type="dxa"/>
            <w:vAlign w:val="bottom"/>
            <w:shd w:val="clear" w:color="auto" w:fill="CCEEFF"/>
          </w:tcPr>
          <w:p>
            <w:pPr>
              <w:ind w:left="160"/>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Consolidated Balance Sheets at September 30, 2020 (unaudited) and December 31, 2019</w:t>
              </w:r>
            </w:hyperlink>
          </w:p>
        </w:tc>
        <w:tc>
          <w:tcPr>
            <w:tcW w:w="880" w:type="dxa"/>
            <w:vAlign w:val="bottom"/>
            <w:shd w:val="clear" w:color="auto" w:fill="CCEEFF"/>
          </w:tcPr>
          <w:p>
            <w:pPr>
              <w:jc w:val="center"/>
              <w:ind w:left="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5</w:t>
              </w:r>
            </w:hyperlink>
          </w:p>
        </w:tc>
      </w:tr>
      <w:tr>
        <w:trPr>
          <w:trHeight w:val="233"/>
        </w:trPr>
        <w:tc>
          <w:tcPr>
            <w:tcW w:w="760" w:type="dxa"/>
            <w:vAlign w:val="bottom"/>
          </w:tcPr>
          <w:p>
            <w:pPr>
              <w:spacing w:after="0"/>
              <w:rPr>
                <w:sz w:val="20"/>
                <w:szCs w:val="20"/>
                <w:color w:val="auto"/>
              </w:rPr>
            </w:pPr>
          </w:p>
        </w:tc>
        <w:tc>
          <w:tcPr>
            <w:tcW w:w="9200" w:type="dxa"/>
            <w:vAlign w:val="bottom"/>
          </w:tcPr>
          <w:p>
            <w:pPr>
              <w:ind w:left="160"/>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Consolidated Statements of Operations for the three and nine months ended September 30, 2020 and 2019 (unaudited)</w:t>
              </w:r>
            </w:hyperlink>
          </w:p>
        </w:tc>
        <w:tc>
          <w:tcPr>
            <w:tcW w:w="880" w:type="dxa"/>
            <w:vAlign w:val="bottom"/>
          </w:tcPr>
          <w:p>
            <w:pPr>
              <w:jc w:val="center"/>
              <w:ind w:left="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6</w:t>
              </w:r>
            </w:hyperlink>
          </w:p>
        </w:tc>
      </w:tr>
      <w:tr>
        <w:trPr>
          <w:trHeight w:val="253"/>
        </w:trPr>
        <w:tc>
          <w:tcPr>
            <w:tcW w:w="760" w:type="dxa"/>
            <w:vAlign w:val="bottom"/>
            <w:shd w:val="clear" w:color="auto" w:fill="CCEEFF"/>
          </w:tcPr>
          <w:p>
            <w:pPr>
              <w:spacing w:after="0"/>
              <w:rPr>
                <w:sz w:val="21"/>
                <w:szCs w:val="21"/>
                <w:color w:val="auto"/>
              </w:rPr>
            </w:pPr>
          </w:p>
        </w:tc>
        <w:tc>
          <w:tcPr>
            <w:tcW w:w="9200" w:type="dxa"/>
            <w:vAlign w:val="bottom"/>
            <w:shd w:val="clear" w:color="auto" w:fill="CCEEFF"/>
          </w:tcPr>
          <w:p>
            <w:pPr>
              <w:ind w:left="160"/>
              <w:spacing w:after="0"/>
              <w:rPr>
                <w:rFonts w:ascii="Arial" w:cs="Arial" w:eastAsia="Arial" w:hAnsi="Arial"/>
                <w:sz w:val="16"/>
                <w:szCs w:val="16"/>
                <w:b w:val="1"/>
                <w:bCs w:val="1"/>
                <w:color w:val="0000FF"/>
                <w:w w:val="92"/>
              </w:rPr>
            </w:pPr>
            <w:hyperlink w:anchor="page5">
              <w:r>
                <w:rPr>
                  <w:rFonts w:ascii="Arial" w:cs="Arial" w:eastAsia="Arial" w:hAnsi="Arial"/>
                  <w:sz w:val="16"/>
                  <w:szCs w:val="16"/>
                  <w:b w:val="1"/>
                  <w:bCs w:val="1"/>
                  <w:color w:val="0000FF"/>
                  <w:w w:val="92"/>
                </w:rPr>
                <w:t>Consolidated Statements of Comprehensive Loss for the three and nine months ended September 30, 2020 and 2019 (unaudited)</w:t>
              </w:r>
            </w:hyperlink>
          </w:p>
        </w:tc>
        <w:tc>
          <w:tcPr>
            <w:tcW w:w="880" w:type="dxa"/>
            <w:vAlign w:val="bottom"/>
            <w:shd w:val="clear" w:color="auto" w:fill="CCEEFF"/>
          </w:tcPr>
          <w:p>
            <w:pPr>
              <w:jc w:val="center"/>
              <w:ind w:left="39"/>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7</w:t>
              </w:r>
            </w:hyperlink>
          </w:p>
        </w:tc>
      </w:tr>
      <w:tr>
        <w:trPr>
          <w:trHeight w:val="233"/>
        </w:trPr>
        <w:tc>
          <w:tcPr>
            <w:tcW w:w="760" w:type="dxa"/>
            <w:vAlign w:val="bottom"/>
          </w:tcPr>
          <w:p>
            <w:pPr>
              <w:spacing w:after="0"/>
              <w:rPr>
                <w:sz w:val="20"/>
                <w:szCs w:val="20"/>
                <w:color w:val="auto"/>
              </w:rPr>
            </w:pPr>
          </w:p>
        </w:tc>
        <w:tc>
          <w:tcPr>
            <w:tcW w:w="9200" w:type="dxa"/>
            <w:vAlign w:val="bottom"/>
          </w:tcPr>
          <w:p>
            <w:pPr>
              <w:ind w:left="160"/>
              <w:spacing w:after="0"/>
              <w:rPr>
                <w:rFonts w:ascii="Arial" w:cs="Arial" w:eastAsia="Arial" w:hAnsi="Arial"/>
                <w:sz w:val="16"/>
                <w:szCs w:val="16"/>
                <w:b w:val="1"/>
                <w:bCs w:val="1"/>
                <w:color w:val="0000FF"/>
              </w:rPr>
            </w:pPr>
            <w:hyperlink w:anchor="page6">
              <w:r>
                <w:rPr>
                  <w:rFonts w:ascii="Arial" w:cs="Arial" w:eastAsia="Arial" w:hAnsi="Arial"/>
                  <w:sz w:val="16"/>
                  <w:szCs w:val="16"/>
                  <w:b w:val="1"/>
                  <w:bCs w:val="1"/>
                  <w:color w:val="0000FF"/>
                </w:rPr>
                <w:t>Consolidated Statements of Equity for the three and nine months ended September 30, 2020 and 2019 (unaudited)</w:t>
              </w:r>
            </w:hyperlink>
          </w:p>
        </w:tc>
        <w:tc>
          <w:tcPr>
            <w:tcW w:w="880" w:type="dxa"/>
            <w:vAlign w:val="bottom"/>
          </w:tcPr>
          <w:p>
            <w:pPr>
              <w:jc w:val="center"/>
              <w:ind w:left="39"/>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8</w:t>
              </w:r>
            </w:hyperlink>
          </w:p>
        </w:tc>
      </w:tr>
      <w:tr>
        <w:trPr>
          <w:trHeight w:val="253"/>
        </w:trPr>
        <w:tc>
          <w:tcPr>
            <w:tcW w:w="760" w:type="dxa"/>
            <w:vAlign w:val="bottom"/>
            <w:shd w:val="clear" w:color="auto" w:fill="CCEEFF"/>
          </w:tcPr>
          <w:p>
            <w:pPr>
              <w:spacing w:after="0"/>
              <w:rPr>
                <w:sz w:val="21"/>
                <w:szCs w:val="21"/>
                <w:color w:val="auto"/>
              </w:rPr>
            </w:pPr>
          </w:p>
        </w:tc>
        <w:tc>
          <w:tcPr>
            <w:tcW w:w="9200" w:type="dxa"/>
            <w:vAlign w:val="bottom"/>
            <w:shd w:val="clear" w:color="auto" w:fill="CCEEFF"/>
          </w:tcPr>
          <w:p>
            <w:pPr>
              <w:ind w:left="160"/>
              <w:spacing w:after="0"/>
              <w:rPr>
                <w:rFonts w:ascii="Arial" w:cs="Arial" w:eastAsia="Arial" w:hAnsi="Arial"/>
                <w:sz w:val="16"/>
                <w:szCs w:val="16"/>
                <w:b w:val="1"/>
                <w:bCs w:val="1"/>
                <w:color w:val="0000FF"/>
              </w:rPr>
            </w:pPr>
            <w:hyperlink w:anchor="page8">
              <w:r>
                <w:rPr>
                  <w:rFonts w:ascii="Arial" w:cs="Arial" w:eastAsia="Arial" w:hAnsi="Arial"/>
                  <w:sz w:val="16"/>
                  <w:szCs w:val="16"/>
                  <w:b w:val="1"/>
                  <w:bCs w:val="1"/>
                  <w:color w:val="0000FF"/>
                </w:rPr>
                <w:t>Consolidated Statements of Cash Flows for the nine months ended September 30, 2020 and 2019 (unaudited)</w:t>
              </w:r>
            </w:hyperlink>
          </w:p>
        </w:tc>
        <w:tc>
          <w:tcPr>
            <w:tcW w:w="880" w:type="dxa"/>
            <w:vAlign w:val="bottom"/>
            <w:shd w:val="clear" w:color="auto" w:fill="CCEEFF"/>
          </w:tcPr>
          <w:p>
            <w:pPr>
              <w:jc w:val="center"/>
              <w:ind w:left="39"/>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10</w:t>
              </w:r>
            </w:hyperlink>
          </w:p>
        </w:tc>
      </w:tr>
      <w:tr>
        <w:trPr>
          <w:trHeight w:val="233"/>
        </w:trPr>
        <w:tc>
          <w:tcPr>
            <w:tcW w:w="760" w:type="dxa"/>
            <w:vAlign w:val="bottom"/>
          </w:tcPr>
          <w:p>
            <w:pPr>
              <w:spacing w:after="0"/>
              <w:rPr>
                <w:sz w:val="20"/>
                <w:szCs w:val="20"/>
                <w:color w:val="auto"/>
              </w:rPr>
            </w:pPr>
          </w:p>
        </w:tc>
        <w:tc>
          <w:tcPr>
            <w:tcW w:w="9200" w:type="dxa"/>
            <w:vAlign w:val="bottom"/>
          </w:tcPr>
          <w:p>
            <w:pPr>
              <w:ind w:left="160"/>
              <w:spacing w:after="0"/>
              <w:rPr>
                <w:sz w:val="20"/>
                <w:szCs w:val="20"/>
                <w:color w:val="auto"/>
              </w:rPr>
            </w:pPr>
            <w:r>
              <w:rPr>
                <w:rFonts w:ascii="Arial" w:cs="Arial" w:eastAsia="Arial" w:hAnsi="Arial"/>
                <w:sz w:val="16"/>
                <w:szCs w:val="16"/>
                <w:b w:val="1"/>
                <w:bCs w:val="1"/>
                <w:color w:val="0000FF"/>
              </w:rPr>
              <w:t>Notes to Unaudited Consolidated Financial Statements</w:t>
            </w:r>
          </w:p>
        </w:tc>
        <w:tc>
          <w:tcPr>
            <w:tcW w:w="880" w:type="dxa"/>
            <w:vAlign w:val="bottom"/>
          </w:tcPr>
          <w:p>
            <w:pPr>
              <w:jc w:val="center"/>
              <w:ind w:left="39"/>
              <w:spacing w:after="0"/>
              <w:rPr>
                <w:rFonts w:ascii="Arial" w:cs="Arial" w:eastAsia="Arial" w:hAnsi="Arial"/>
                <w:sz w:val="16"/>
                <w:szCs w:val="16"/>
                <w:color w:val="0000FF"/>
                <w:w w:val="89"/>
              </w:rPr>
            </w:pPr>
            <w:hyperlink w:anchor="page9">
              <w:r>
                <w:rPr>
                  <w:rFonts w:ascii="Arial" w:cs="Arial" w:eastAsia="Arial" w:hAnsi="Arial"/>
                  <w:sz w:val="16"/>
                  <w:szCs w:val="16"/>
                  <w:color w:val="0000FF"/>
                  <w:w w:val="89"/>
                </w:rPr>
                <w:t>11</w:t>
              </w:r>
            </w:hyperlink>
          </w:p>
        </w:tc>
      </w:tr>
      <w:tr>
        <w:trPr>
          <w:trHeight w:val="253"/>
        </w:trPr>
        <w:tc>
          <w:tcPr>
            <w:tcW w:w="760" w:type="dxa"/>
            <w:vAlign w:val="bottom"/>
            <w:shd w:val="clear" w:color="auto" w:fill="CCEEFF"/>
          </w:tcPr>
          <w:p>
            <w:pPr>
              <w:spacing w:after="0"/>
              <w:rPr>
                <w:sz w:val="20"/>
                <w:szCs w:val="20"/>
                <w:color w:val="auto"/>
              </w:rPr>
            </w:pPr>
            <w:r>
              <w:rPr>
                <w:rFonts w:ascii="Arial" w:cs="Arial" w:eastAsia="Arial" w:hAnsi="Arial"/>
                <w:sz w:val="16"/>
                <w:szCs w:val="16"/>
                <w:b w:val="1"/>
                <w:bCs w:val="1"/>
                <w:color w:val="0000FF"/>
              </w:rPr>
              <w:t>Item 2.</w:t>
            </w:r>
          </w:p>
        </w:tc>
        <w:tc>
          <w:tcPr>
            <w:tcW w:w="92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Management’s Discussion and Analysis of Financial Condition and Results of Operations</w:t>
            </w:r>
          </w:p>
        </w:tc>
        <w:tc>
          <w:tcPr>
            <w:tcW w:w="880" w:type="dxa"/>
            <w:vAlign w:val="bottom"/>
            <w:shd w:val="clear" w:color="auto" w:fill="CCEEFF"/>
          </w:tcPr>
          <w:p>
            <w:pPr>
              <w:jc w:val="center"/>
              <w:ind w:left="39"/>
              <w:spacing w:after="0"/>
              <w:rPr>
                <w:rFonts w:ascii="Arial" w:cs="Arial" w:eastAsia="Arial" w:hAnsi="Arial"/>
                <w:sz w:val="16"/>
                <w:szCs w:val="16"/>
                <w:color w:val="0000FF"/>
                <w:w w:val="89"/>
              </w:rPr>
            </w:pPr>
            <w:hyperlink w:anchor="page19">
              <w:r>
                <w:rPr>
                  <w:rFonts w:ascii="Arial" w:cs="Arial" w:eastAsia="Arial" w:hAnsi="Arial"/>
                  <w:sz w:val="16"/>
                  <w:szCs w:val="16"/>
                  <w:color w:val="0000FF"/>
                  <w:w w:val="89"/>
                </w:rPr>
                <w:t>21</w:t>
              </w:r>
            </w:hyperlink>
          </w:p>
        </w:tc>
      </w:tr>
      <w:tr>
        <w:trPr>
          <w:trHeight w:val="233"/>
        </w:trPr>
        <w:tc>
          <w:tcPr>
            <w:tcW w:w="760" w:type="dxa"/>
            <w:vAlign w:val="bottom"/>
          </w:tcPr>
          <w:p>
            <w:pPr>
              <w:spacing w:after="0"/>
              <w:rPr>
                <w:sz w:val="20"/>
                <w:szCs w:val="20"/>
                <w:color w:val="auto"/>
              </w:rPr>
            </w:pPr>
            <w:r>
              <w:rPr>
                <w:rFonts w:ascii="Arial" w:cs="Arial" w:eastAsia="Arial" w:hAnsi="Arial"/>
                <w:sz w:val="16"/>
                <w:szCs w:val="16"/>
                <w:b w:val="1"/>
                <w:bCs w:val="1"/>
                <w:color w:val="0000FF"/>
              </w:rPr>
              <w:t>Item 3.</w:t>
            </w:r>
          </w:p>
        </w:tc>
        <w:tc>
          <w:tcPr>
            <w:tcW w:w="9200" w:type="dxa"/>
            <w:vAlign w:val="bottom"/>
          </w:tcPr>
          <w:p>
            <w:pPr>
              <w:ind w:left="160"/>
              <w:spacing w:after="0"/>
              <w:rPr>
                <w:sz w:val="20"/>
                <w:szCs w:val="20"/>
                <w:color w:val="auto"/>
              </w:rPr>
            </w:pPr>
            <w:r>
              <w:rPr>
                <w:rFonts w:ascii="Arial" w:cs="Arial" w:eastAsia="Arial" w:hAnsi="Arial"/>
                <w:sz w:val="16"/>
                <w:szCs w:val="16"/>
                <w:b w:val="1"/>
                <w:bCs w:val="1"/>
                <w:color w:val="0000FF"/>
              </w:rPr>
              <w:t>Quantitative and Qualitative Disclosures About Market Risk</w:t>
            </w:r>
          </w:p>
        </w:tc>
        <w:tc>
          <w:tcPr>
            <w:tcW w:w="880" w:type="dxa"/>
            <w:vAlign w:val="bottom"/>
          </w:tcPr>
          <w:p>
            <w:pPr>
              <w:jc w:val="center"/>
              <w:ind w:left="39"/>
              <w:spacing w:after="0"/>
              <w:rPr>
                <w:rFonts w:ascii="Arial" w:cs="Arial" w:eastAsia="Arial" w:hAnsi="Arial"/>
                <w:sz w:val="16"/>
                <w:szCs w:val="16"/>
                <w:color w:val="0000FF"/>
                <w:w w:val="89"/>
              </w:rPr>
            </w:pPr>
            <w:hyperlink w:anchor="page26">
              <w:r>
                <w:rPr>
                  <w:rFonts w:ascii="Arial" w:cs="Arial" w:eastAsia="Arial" w:hAnsi="Arial"/>
                  <w:sz w:val="16"/>
                  <w:szCs w:val="16"/>
                  <w:color w:val="0000FF"/>
                  <w:w w:val="89"/>
                </w:rPr>
                <w:t>27</w:t>
              </w:r>
            </w:hyperlink>
          </w:p>
        </w:tc>
      </w:tr>
      <w:tr>
        <w:trPr>
          <w:trHeight w:val="253"/>
        </w:trPr>
        <w:tc>
          <w:tcPr>
            <w:tcW w:w="760" w:type="dxa"/>
            <w:vAlign w:val="bottom"/>
            <w:shd w:val="clear" w:color="auto" w:fill="CCEEFF"/>
          </w:tcPr>
          <w:p>
            <w:pPr>
              <w:spacing w:after="0"/>
              <w:rPr>
                <w:sz w:val="20"/>
                <w:szCs w:val="20"/>
                <w:color w:val="auto"/>
              </w:rPr>
            </w:pPr>
            <w:r>
              <w:rPr>
                <w:rFonts w:ascii="Arial" w:cs="Arial" w:eastAsia="Arial" w:hAnsi="Arial"/>
                <w:sz w:val="16"/>
                <w:szCs w:val="16"/>
                <w:b w:val="1"/>
                <w:bCs w:val="1"/>
                <w:color w:val="0000FF"/>
              </w:rPr>
              <w:t>Item 4.</w:t>
            </w:r>
          </w:p>
        </w:tc>
        <w:tc>
          <w:tcPr>
            <w:tcW w:w="92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Controls and Procedures</w:t>
            </w:r>
          </w:p>
        </w:tc>
        <w:tc>
          <w:tcPr>
            <w:tcW w:w="880" w:type="dxa"/>
            <w:vAlign w:val="bottom"/>
            <w:shd w:val="clear" w:color="auto" w:fill="CCEEFF"/>
          </w:tcPr>
          <w:p>
            <w:pPr>
              <w:jc w:val="center"/>
              <w:ind w:left="39"/>
              <w:spacing w:after="0"/>
              <w:rPr>
                <w:rFonts w:ascii="Arial" w:cs="Arial" w:eastAsia="Arial" w:hAnsi="Arial"/>
                <w:sz w:val="16"/>
                <w:szCs w:val="16"/>
                <w:color w:val="0000FF"/>
                <w:w w:val="89"/>
              </w:rPr>
            </w:pPr>
            <w:hyperlink w:anchor="page26">
              <w:r>
                <w:rPr>
                  <w:rFonts w:ascii="Arial" w:cs="Arial" w:eastAsia="Arial" w:hAnsi="Arial"/>
                  <w:sz w:val="16"/>
                  <w:szCs w:val="16"/>
                  <w:color w:val="0000FF"/>
                  <w:w w:val="89"/>
                </w:rPr>
                <w:t>27</w:t>
              </w:r>
            </w:hyperlink>
          </w:p>
        </w:tc>
      </w:tr>
      <w:tr>
        <w:trPr>
          <w:trHeight w:val="233"/>
        </w:trPr>
        <w:tc>
          <w:tcPr>
            <w:tcW w:w="760" w:type="dxa"/>
            <w:vAlign w:val="bottom"/>
          </w:tcPr>
          <w:p>
            <w:pPr>
              <w:spacing w:after="0"/>
              <w:rPr>
                <w:sz w:val="20"/>
                <w:szCs w:val="20"/>
                <w:color w:val="auto"/>
              </w:rPr>
            </w:pPr>
          </w:p>
        </w:tc>
        <w:tc>
          <w:tcPr>
            <w:tcW w:w="9200" w:type="dxa"/>
            <w:vAlign w:val="bottom"/>
          </w:tcPr>
          <w:p>
            <w:pPr>
              <w:ind w:left="160"/>
              <w:spacing w:after="0"/>
              <w:rPr>
                <w:sz w:val="20"/>
                <w:szCs w:val="20"/>
                <w:color w:val="auto"/>
              </w:rPr>
            </w:pPr>
            <w:r>
              <w:rPr>
                <w:rFonts w:ascii="Arial" w:cs="Arial" w:eastAsia="Arial" w:hAnsi="Arial"/>
                <w:sz w:val="16"/>
                <w:szCs w:val="16"/>
                <w:b w:val="1"/>
                <w:bCs w:val="1"/>
                <w:color w:val="0000FF"/>
              </w:rPr>
              <w:t>PART II- OTHER INFORMATION</w:t>
            </w:r>
          </w:p>
        </w:tc>
        <w:tc>
          <w:tcPr>
            <w:tcW w:w="880" w:type="dxa"/>
            <w:vAlign w:val="bottom"/>
          </w:tcPr>
          <w:p>
            <w:pPr>
              <w:spacing w:after="0"/>
              <w:rPr>
                <w:sz w:val="20"/>
                <w:szCs w:val="20"/>
                <w:color w:val="auto"/>
              </w:rPr>
            </w:pPr>
          </w:p>
        </w:tc>
      </w:tr>
      <w:tr>
        <w:trPr>
          <w:trHeight w:val="253"/>
        </w:trPr>
        <w:tc>
          <w:tcPr>
            <w:tcW w:w="760" w:type="dxa"/>
            <w:vAlign w:val="bottom"/>
            <w:shd w:val="clear" w:color="auto" w:fill="CCEEFF"/>
          </w:tcPr>
          <w:p>
            <w:pPr>
              <w:spacing w:after="0"/>
              <w:rPr>
                <w:sz w:val="20"/>
                <w:szCs w:val="20"/>
                <w:color w:val="auto"/>
              </w:rPr>
            </w:pPr>
            <w:r>
              <w:rPr>
                <w:rFonts w:ascii="Arial" w:cs="Arial" w:eastAsia="Arial" w:hAnsi="Arial"/>
                <w:sz w:val="16"/>
                <w:szCs w:val="16"/>
                <w:b w:val="1"/>
                <w:bCs w:val="1"/>
                <w:color w:val="0000FF"/>
              </w:rPr>
              <w:t>Item 1.</w:t>
            </w:r>
          </w:p>
        </w:tc>
        <w:tc>
          <w:tcPr>
            <w:tcW w:w="92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Legal Proceedings</w:t>
            </w:r>
          </w:p>
        </w:tc>
        <w:tc>
          <w:tcPr>
            <w:tcW w:w="880" w:type="dxa"/>
            <w:vAlign w:val="bottom"/>
            <w:shd w:val="clear" w:color="auto" w:fill="CCEEFF"/>
          </w:tcPr>
          <w:p>
            <w:pPr>
              <w:jc w:val="center"/>
              <w:ind w:left="39"/>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29</w:t>
              </w:r>
            </w:hyperlink>
          </w:p>
        </w:tc>
      </w:tr>
      <w:tr>
        <w:trPr>
          <w:trHeight w:val="233"/>
        </w:trPr>
        <w:tc>
          <w:tcPr>
            <w:tcW w:w="760" w:type="dxa"/>
            <w:vAlign w:val="bottom"/>
          </w:tcPr>
          <w:p>
            <w:pPr>
              <w:spacing w:after="0"/>
              <w:rPr>
                <w:sz w:val="20"/>
                <w:szCs w:val="20"/>
                <w:color w:val="auto"/>
              </w:rPr>
            </w:pPr>
            <w:r>
              <w:rPr>
                <w:rFonts w:ascii="Arial" w:cs="Arial" w:eastAsia="Arial" w:hAnsi="Arial"/>
                <w:sz w:val="16"/>
                <w:szCs w:val="16"/>
                <w:b w:val="1"/>
                <w:bCs w:val="1"/>
                <w:color w:val="0000FF"/>
              </w:rPr>
              <w:t>Item 1A.</w:t>
            </w:r>
          </w:p>
        </w:tc>
        <w:tc>
          <w:tcPr>
            <w:tcW w:w="9200" w:type="dxa"/>
            <w:vAlign w:val="bottom"/>
          </w:tcPr>
          <w:p>
            <w:pPr>
              <w:ind w:left="160"/>
              <w:spacing w:after="0"/>
              <w:rPr>
                <w:sz w:val="20"/>
                <w:szCs w:val="20"/>
                <w:color w:val="auto"/>
              </w:rPr>
            </w:pPr>
            <w:r>
              <w:rPr>
                <w:rFonts w:ascii="Arial" w:cs="Arial" w:eastAsia="Arial" w:hAnsi="Arial"/>
                <w:sz w:val="16"/>
                <w:szCs w:val="16"/>
                <w:b w:val="1"/>
                <w:bCs w:val="1"/>
                <w:color w:val="0000FF"/>
              </w:rPr>
              <w:t>Risk Factors</w:t>
            </w:r>
          </w:p>
        </w:tc>
        <w:tc>
          <w:tcPr>
            <w:tcW w:w="880" w:type="dxa"/>
            <w:vAlign w:val="bottom"/>
          </w:tcPr>
          <w:p>
            <w:pPr>
              <w:jc w:val="center"/>
              <w:ind w:left="39"/>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29</w:t>
              </w:r>
            </w:hyperlink>
          </w:p>
        </w:tc>
      </w:tr>
      <w:tr>
        <w:trPr>
          <w:trHeight w:val="253"/>
        </w:trPr>
        <w:tc>
          <w:tcPr>
            <w:tcW w:w="760" w:type="dxa"/>
            <w:vAlign w:val="bottom"/>
            <w:shd w:val="clear" w:color="auto" w:fill="CCEEFF"/>
          </w:tcPr>
          <w:p>
            <w:pPr>
              <w:spacing w:after="0"/>
              <w:rPr>
                <w:sz w:val="20"/>
                <w:szCs w:val="20"/>
                <w:color w:val="auto"/>
              </w:rPr>
            </w:pPr>
            <w:r>
              <w:rPr>
                <w:rFonts w:ascii="Arial" w:cs="Arial" w:eastAsia="Arial" w:hAnsi="Arial"/>
                <w:sz w:val="16"/>
                <w:szCs w:val="16"/>
                <w:b w:val="1"/>
                <w:bCs w:val="1"/>
                <w:color w:val="0000FF"/>
              </w:rPr>
              <w:t>Item 2.</w:t>
            </w:r>
          </w:p>
        </w:tc>
        <w:tc>
          <w:tcPr>
            <w:tcW w:w="92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Unregistered Sales of Equity Securities and Use of Proceeds</w:t>
            </w:r>
          </w:p>
        </w:tc>
        <w:tc>
          <w:tcPr>
            <w:tcW w:w="880" w:type="dxa"/>
            <w:vAlign w:val="bottom"/>
            <w:shd w:val="clear" w:color="auto" w:fill="CCEEFF"/>
          </w:tcPr>
          <w:p>
            <w:pPr>
              <w:jc w:val="center"/>
              <w:ind w:left="39"/>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29</w:t>
              </w:r>
            </w:hyperlink>
          </w:p>
        </w:tc>
      </w:tr>
      <w:tr>
        <w:trPr>
          <w:trHeight w:val="233"/>
        </w:trPr>
        <w:tc>
          <w:tcPr>
            <w:tcW w:w="760" w:type="dxa"/>
            <w:vAlign w:val="bottom"/>
          </w:tcPr>
          <w:p>
            <w:pPr>
              <w:spacing w:after="0"/>
              <w:rPr>
                <w:sz w:val="20"/>
                <w:szCs w:val="20"/>
                <w:color w:val="auto"/>
              </w:rPr>
            </w:pPr>
            <w:r>
              <w:rPr>
                <w:rFonts w:ascii="Arial" w:cs="Arial" w:eastAsia="Arial" w:hAnsi="Arial"/>
                <w:sz w:val="16"/>
                <w:szCs w:val="16"/>
                <w:b w:val="1"/>
                <w:bCs w:val="1"/>
                <w:color w:val="0000FF"/>
              </w:rPr>
              <w:t>Item 3.</w:t>
            </w:r>
          </w:p>
        </w:tc>
        <w:tc>
          <w:tcPr>
            <w:tcW w:w="9200" w:type="dxa"/>
            <w:vAlign w:val="bottom"/>
          </w:tcPr>
          <w:p>
            <w:pPr>
              <w:ind w:left="160"/>
              <w:spacing w:after="0"/>
              <w:rPr>
                <w:sz w:val="20"/>
                <w:szCs w:val="20"/>
                <w:color w:val="auto"/>
              </w:rPr>
            </w:pPr>
            <w:r>
              <w:rPr>
                <w:rFonts w:ascii="Arial" w:cs="Arial" w:eastAsia="Arial" w:hAnsi="Arial"/>
                <w:sz w:val="16"/>
                <w:szCs w:val="16"/>
                <w:b w:val="1"/>
                <w:bCs w:val="1"/>
                <w:color w:val="0000FF"/>
              </w:rPr>
              <w:t>Defaults Upon Senior Securities</w:t>
            </w:r>
          </w:p>
        </w:tc>
        <w:tc>
          <w:tcPr>
            <w:tcW w:w="880" w:type="dxa"/>
            <w:vAlign w:val="bottom"/>
          </w:tcPr>
          <w:p>
            <w:pPr>
              <w:jc w:val="center"/>
              <w:ind w:left="39"/>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29</w:t>
              </w:r>
            </w:hyperlink>
          </w:p>
        </w:tc>
      </w:tr>
      <w:tr>
        <w:trPr>
          <w:trHeight w:val="253"/>
        </w:trPr>
        <w:tc>
          <w:tcPr>
            <w:tcW w:w="760" w:type="dxa"/>
            <w:vAlign w:val="bottom"/>
            <w:shd w:val="clear" w:color="auto" w:fill="CCEEFF"/>
          </w:tcPr>
          <w:p>
            <w:pPr>
              <w:spacing w:after="0"/>
              <w:rPr>
                <w:sz w:val="20"/>
                <w:szCs w:val="20"/>
                <w:color w:val="auto"/>
              </w:rPr>
            </w:pPr>
            <w:r>
              <w:rPr>
                <w:rFonts w:ascii="Arial" w:cs="Arial" w:eastAsia="Arial" w:hAnsi="Arial"/>
                <w:sz w:val="16"/>
                <w:szCs w:val="16"/>
                <w:b w:val="1"/>
                <w:bCs w:val="1"/>
                <w:color w:val="0000FF"/>
              </w:rPr>
              <w:t>Item 4.</w:t>
            </w:r>
          </w:p>
        </w:tc>
        <w:tc>
          <w:tcPr>
            <w:tcW w:w="92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Mine Safety Disclosures</w:t>
            </w:r>
          </w:p>
        </w:tc>
        <w:tc>
          <w:tcPr>
            <w:tcW w:w="880" w:type="dxa"/>
            <w:vAlign w:val="bottom"/>
            <w:shd w:val="clear" w:color="auto" w:fill="CCEEFF"/>
          </w:tcPr>
          <w:p>
            <w:pPr>
              <w:jc w:val="center"/>
              <w:ind w:left="39"/>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29</w:t>
              </w:r>
            </w:hyperlink>
          </w:p>
        </w:tc>
      </w:tr>
      <w:tr>
        <w:trPr>
          <w:trHeight w:val="233"/>
        </w:trPr>
        <w:tc>
          <w:tcPr>
            <w:tcW w:w="760" w:type="dxa"/>
            <w:vAlign w:val="bottom"/>
          </w:tcPr>
          <w:p>
            <w:pPr>
              <w:spacing w:after="0"/>
              <w:rPr>
                <w:sz w:val="20"/>
                <w:szCs w:val="20"/>
                <w:color w:val="auto"/>
              </w:rPr>
            </w:pPr>
            <w:r>
              <w:rPr>
                <w:rFonts w:ascii="Arial" w:cs="Arial" w:eastAsia="Arial" w:hAnsi="Arial"/>
                <w:sz w:val="16"/>
                <w:szCs w:val="16"/>
                <w:b w:val="1"/>
                <w:bCs w:val="1"/>
                <w:color w:val="0000FF"/>
              </w:rPr>
              <w:t>Item 5.</w:t>
            </w:r>
          </w:p>
        </w:tc>
        <w:tc>
          <w:tcPr>
            <w:tcW w:w="9200" w:type="dxa"/>
            <w:vAlign w:val="bottom"/>
          </w:tcPr>
          <w:p>
            <w:pPr>
              <w:ind w:left="160"/>
              <w:spacing w:after="0"/>
              <w:rPr>
                <w:sz w:val="20"/>
                <w:szCs w:val="20"/>
                <w:color w:val="auto"/>
              </w:rPr>
            </w:pPr>
            <w:r>
              <w:rPr>
                <w:rFonts w:ascii="Arial" w:cs="Arial" w:eastAsia="Arial" w:hAnsi="Arial"/>
                <w:sz w:val="16"/>
                <w:szCs w:val="16"/>
                <w:b w:val="1"/>
                <w:bCs w:val="1"/>
                <w:color w:val="0000FF"/>
              </w:rPr>
              <w:t>Other Information</w:t>
            </w:r>
          </w:p>
        </w:tc>
        <w:tc>
          <w:tcPr>
            <w:tcW w:w="880" w:type="dxa"/>
            <w:vAlign w:val="bottom"/>
          </w:tcPr>
          <w:p>
            <w:pPr>
              <w:jc w:val="center"/>
              <w:ind w:left="39"/>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30</w:t>
              </w:r>
            </w:hyperlink>
          </w:p>
        </w:tc>
      </w:tr>
      <w:tr>
        <w:trPr>
          <w:trHeight w:val="253"/>
        </w:trPr>
        <w:tc>
          <w:tcPr>
            <w:tcW w:w="760" w:type="dxa"/>
            <w:vAlign w:val="bottom"/>
            <w:shd w:val="clear" w:color="auto" w:fill="CCEEFF"/>
          </w:tcPr>
          <w:p>
            <w:pPr>
              <w:spacing w:after="0"/>
              <w:rPr>
                <w:sz w:val="20"/>
                <w:szCs w:val="20"/>
                <w:color w:val="auto"/>
              </w:rPr>
            </w:pPr>
            <w:r>
              <w:rPr>
                <w:rFonts w:ascii="Arial" w:cs="Arial" w:eastAsia="Arial" w:hAnsi="Arial"/>
                <w:sz w:val="16"/>
                <w:szCs w:val="16"/>
                <w:b w:val="1"/>
                <w:bCs w:val="1"/>
                <w:color w:val="0000FF"/>
              </w:rPr>
              <w:t>Item 6.</w:t>
            </w:r>
          </w:p>
        </w:tc>
        <w:tc>
          <w:tcPr>
            <w:tcW w:w="92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Exhibits</w:t>
            </w:r>
          </w:p>
        </w:tc>
        <w:tc>
          <w:tcPr>
            <w:tcW w:w="880" w:type="dxa"/>
            <w:vAlign w:val="bottom"/>
            <w:shd w:val="clear" w:color="auto" w:fill="CCEEFF"/>
          </w:tcPr>
          <w:p>
            <w:pPr>
              <w:jc w:val="center"/>
              <w:ind w:left="39"/>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30</w:t>
              </w:r>
            </w:hyperlink>
          </w:p>
        </w:tc>
      </w:tr>
      <w:tr>
        <w:trPr>
          <w:trHeight w:val="223"/>
        </w:trPr>
        <w:tc>
          <w:tcPr>
            <w:tcW w:w="760" w:type="dxa"/>
            <w:vAlign w:val="bottom"/>
          </w:tcPr>
          <w:p>
            <w:pPr>
              <w:spacing w:after="0"/>
              <w:rPr>
                <w:sz w:val="19"/>
                <w:szCs w:val="19"/>
                <w:color w:val="auto"/>
              </w:rPr>
            </w:pPr>
          </w:p>
        </w:tc>
        <w:tc>
          <w:tcPr>
            <w:tcW w:w="9200" w:type="dxa"/>
            <w:vAlign w:val="bottom"/>
          </w:tcPr>
          <w:p>
            <w:pPr>
              <w:ind w:left="160"/>
              <w:spacing w:after="0"/>
              <w:rPr>
                <w:sz w:val="20"/>
                <w:szCs w:val="20"/>
                <w:color w:val="auto"/>
              </w:rPr>
            </w:pPr>
            <w:r>
              <w:rPr>
                <w:rFonts w:ascii="Arial" w:cs="Arial" w:eastAsia="Arial" w:hAnsi="Arial"/>
                <w:sz w:val="16"/>
                <w:szCs w:val="16"/>
                <w:b w:val="1"/>
                <w:bCs w:val="1"/>
                <w:color w:val="0000FF"/>
              </w:rPr>
              <w:t>Signatures</w:t>
            </w:r>
          </w:p>
        </w:tc>
        <w:tc>
          <w:tcPr>
            <w:tcW w:w="880" w:type="dxa"/>
            <w:vAlign w:val="bottom"/>
          </w:tcPr>
          <w:p>
            <w:pPr>
              <w:jc w:val="center"/>
              <w:ind w:left="39"/>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31</w:t>
              </w:r>
            </w:hyperlink>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thousands, except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6"/>
                <w:szCs w:val="16"/>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99"/>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21,156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14,032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Marketable securities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11,125</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25,972</w:t>
            </w: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13"/>
        </w:trPr>
        <w:tc>
          <w:tcPr>
            <w:tcW w:w="814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42,019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27,153</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4,486</w:t>
            </w:r>
          </w:p>
        </w:tc>
        <w:tc>
          <w:tcPr>
            <w:tcW w:w="0" w:type="dxa"/>
            <w:vAlign w:val="bottom"/>
          </w:tcPr>
          <w:p>
            <w:pPr>
              <w:spacing w:after="0"/>
              <w:rPr>
                <w:sz w:val="1"/>
                <w:szCs w:val="1"/>
                <w:color w:val="auto"/>
              </w:rPr>
            </w:pPr>
          </w:p>
        </w:tc>
      </w:tr>
      <w:tr>
        <w:trPr>
          <w:trHeight w:val="207"/>
        </w:trPr>
        <w:tc>
          <w:tcPr>
            <w:tcW w:w="814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5,976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06"/>
        </w:trPr>
        <w:tc>
          <w:tcPr>
            <w:tcW w:w="81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6,600</w:t>
            </w:r>
          </w:p>
        </w:tc>
        <w:tc>
          <w:tcPr>
            <w:tcW w:w="0" w:type="dxa"/>
            <w:vAlign w:val="bottom"/>
          </w:tcPr>
          <w:p>
            <w:pPr>
              <w:spacing w:after="0"/>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140" w:type="dxa"/>
            <w:vAlign w:val="bottom"/>
          </w:tcPr>
          <w:p>
            <w:pPr>
              <w:ind w:left="260"/>
              <w:spacing w:after="0" w:line="166" w:lineRule="exact"/>
              <w:rPr>
                <w:sz w:val="20"/>
                <w:szCs w:val="20"/>
                <w:color w:val="auto"/>
              </w:rPr>
            </w:pPr>
            <w:r>
              <w:rPr>
                <w:rFonts w:ascii="Arial" w:cs="Arial" w:eastAsia="Arial" w:hAnsi="Arial"/>
                <w:sz w:val="16"/>
                <w:szCs w:val="16"/>
                <w:color w:val="auto"/>
              </w:rPr>
              <w:t>Preferred stock, authorized, 20,000,000 shares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tcPr>
          <w:p>
            <w:pPr>
              <w:ind w:left="520"/>
              <w:spacing w:after="0" w:line="162" w:lineRule="exact"/>
              <w:rPr>
                <w:sz w:val="20"/>
                <w:szCs w:val="20"/>
                <w:color w:val="auto"/>
              </w:rPr>
            </w:pPr>
            <w:r>
              <w:rPr>
                <w:rFonts w:ascii="Arial" w:cs="Arial" w:eastAsia="Arial" w:hAnsi="Arial"/>
                <w:sz w:val="16"/>
                <w:szCs w:val="16"/>
                <w:color w:val="auto"/>
                <w:w w:val="94"/>
              </w:rPr>
              <w:t>Series B convertible redeemable preferred stock liquidation value, 0.001 share of common stock, $0.01 par value;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tcPr>
          <w:p>
            <w:pPr>
              <w:ind w:left="520"/>
              <w:spacing w:after="0" w:line="162" w:lineRule="exact"/>
              <w:rPr>
                <w:sz w:val="20"/>
                <w:szCs w:val="20"/>
                <w:color w:val="auto"/>
              </w:rPr>
            </w:pPr>
            <w:r>
              <w:rPr>
                <w:rFonts w:ascii="Arial" w:cs="Arial" w:eastAsia="Arial" w:hAnsi="Arial"/>
                <w:sz w:val="16"/>
                <w:szCs w:val="16"/>
                <w:color w:val="auto"/>
                <w:w w:val="92"/>
              </w:rPr>
              <w:t>825,000 shares designated; issued and outstanding, 10,000 shares at September 30, 2020 and December 31, 2019,</w:t>
            </w:r>
          </w:p>
        </w:tc>
        <w:tc>
          <w:tcPr>
            <w:tcW w:w="18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140" w:type="dxa"/>
            <w:vAlign w:val="bottom"/>
          </w:tcPr>
          <w:p>
            <w:pPr>
              <w:ind w:left="52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4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w w:val="93"/>
              </w:rPr>
              <w:t>Common stock, $0.001 par value, authorized 500,000,000 shares; issued and outstanding, 19,407,057 and 10,528,689</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shares at September 30, 2020 and December 31, 2019, respectively</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458,560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438,911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11,080 shares at September 30, 2020 and December 31, 2019</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(420,119)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(417,400)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 income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8140" w:type="dxa"/>
            <w:vAlign w:val="bottom"/>
          </w:tcPr>
          <w:p>
            <w:pPr>
              <w:ind w:left="460"/>
              <w:spacing w:after="0"/>
              <w:rPr>
                <w:sz w:val="20"/>
                <w:szCs w:val="20"/>
                <w:color w:val="auto"/>
              </w:rPr>
            </w:pPr>
            <w:r>
              <w:rPr>
                <w:rFonts w:ascii="Arial" w:cs="Arial" w:eastAsia="Arial" w:hAnsi="Arial"/>
                <w:sz w:val="16"/>
                <w:szCs w:val="16"/>
                <w:color w:val="auto"/>
              </w:rPr>
              <w:t>Total Caladrius Biosciences, Inc. stockholders' equity</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37,740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20,816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6"/>
        </w:trPr>
        <w:tc>
          <w:tcPr>
            <w:tcW w:w="81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37,487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20,553</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6"/>
                <w:szCs w:val="16"/>
                <w:color w:val="auto"/>
              </w:rPr>
            </w:pPr>
          </w:p>
        </w:tc>
        <w:tc>
          <w:tcPr>
            <w:tcW w:w="192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8"/>
                <w:szCs w:val="18"/>
                <w:color w:val="auto"/>
              </w:rPr>
            </w:pPr>
          </w:p>
        </w:tc>
        <w:tc>
          <w:tcPr>
            <w:tcW w:w="19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8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r>
      <w:tr>
        <w:trPr>
          <w:trHeight w:val="19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3,004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6,346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8,030</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6,980</w:t>
            </w:r>
          </w:p>
        </w:tc>
      </w:tr>
      <w:tr>
        <w:trPr>
          <w:trHeight w:val="207"/>
        </w:trPr>
        <w:tc>
          <w:tcPr>
            <w:tcW w:w="686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15,010</w:t>
            </w:r>
          </w:p>
        </w:tc>
      </w:tr>
      <w:tr>
        <w:trPr>
          <w:trHeight w:val="260"/>
        </w:trPr>
        <w:tc>
          <w:tcPr>
            <w:tcW w:w="6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Operating loss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(15,010)</w:t>
            </w:r>
          </w:p>
        </w:tc>
      </w:tr>
      <w:tr>
        <w:trPr>
          <w:trHeight w:val="259"/>
        </w:trPr>
        <w:tc>
          <w:tcPr>
            <w:tcW w:w="6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income,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r>
      <w:tr>
        <w:trPr>
          <w:trHeight w:val="207"/>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r>
      <w:tr>
        <w:trPr>
          <w:trHeight w:val="239"/>
        </w:trPr>
        <w:tc>
          <w:tcPr>
            <w:tcW w:w="6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3"/>
        </w:trPr>
        <w:tc>
          <w:tcPr>
            <w:tcW w:w="6860" w:type="dxa"/>
            <w:vAlign w:val="bottom"/>
          </w:tcPr>
          <w:p>
            <w:pPr>
              <w:ind w:left="1200"/>
              <w:spacing w:after="0"/>
              <w:rPr>
                <w:sz w:val="20"/>
                <w:szCs w:val="20"/>
                <w:color w:val="auto"/>
              </w:rPr>
            </w:pPr>
            <w:r>
              <w:rPr>
                <w:rFonts w:ascii="Arial" w:cs="Arial" w:eastAsia="Arial" w:hAnsi="Arial"/>
                <w:sz w:val="16"/>
                <w:szCs w:val="16"/>
                <w:color w:val="auto"/>
              </w:rPr>
              <w:t>Net loss before benefit from income taxes and noncontrolling interests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(14,399)</w:t>
            </w: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Benefit from income taxes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(5,325)</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(4,897)</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(14,399)</w:t>
            </w:r>
          </w:p>
        </w:tc>
      </w:tr>
      <w:tr>
        <w:trPr>
          <w:trHeight w:val="216"/>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 net income attributable to 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Net loss attributable to Caladrius Biosciences, Inc.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(14,405)</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6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and diluted loss per share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Caladrius Biosciences, Inc. common stockholders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9"/>
        </w:trPr>
        <w:tc>
          <w:tcPr>
            <w:tcW w:w="6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shares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10,279</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6"/>
                <w:szCs w:val="16"/>
                <w:color w:val="auto"/>
              </w:rPr>
            </w:pPr>
          </w:p>
        </w:tc>
        <w:tc>
          <w:tcPr>
            <w:tcW w:w="156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Nine Months Ended</w:t>
            </w:r>
          </w:p>
        </w:tc>
      </w:tr>
      <w:tr>
        <w:trPr>
          <w:trHeight w:val="213"/>
        </w:trPr>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1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7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r>
      <w:tr>
        <w:trPr>
          <w:trHeight w:val="21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(14,399)</w:t>
            </w:r>
          </w:p>
        </w:tc>
      </w:tr>
      <w:tr>
        <w:trPr>
          <w:trHeight w:val="257"/>
        </w:trPr>
        <w:tc>
          <w:tcPr>
            <w:tcW w:w="7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 income: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3"/>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Available for sale securities - net unrealized (loss) income</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10"/>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comprehensive (loss) income</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9"/>
        </w:trPr>
        <w:tc>
          <w:tcPr>
            <w:tcW w:w="7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(14,365)</w:t>
            </w:r>
          </w:p>
        </w:tc>
      </w:tr>
      <w:tr>
        <w:trPr>
          <w:trHeight w:val="256"/>
        </w:trPr>
        <w:tc>
          <w:tcPr>
            <w:tcW w:w="7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3"/>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Comprehensive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9"/>
        </w:trPr>
        <w:tc>
          <w:tcPr>
            <w:tcW w:w="7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1"/>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loss attributable to Caladrius Biosciences, Inc. common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20" w:type="dxa"/>
            <w:vAlign w:val="bottom"/>
            <w:gridSpan w:val="3"/>
          </w:tcPr>
          <w:p>
            <w:pPr>
              <w:jc w:val="center"/>
              <w:ind w:left="171"/>
              <w:spacing w:after="0"/>
              <w:rPr>
                <w:sz w:val="20"/>
                <w:szCs w:val="20"/>
                <w:color w:val="auto"/>
              </w:rPr>
            </w:pPr>
            <w:r>
              <w:rPr>
                <w:rFonts w:ascii="Arial" w:cs="Arial" w:eastAsia="Arial" w:hAnsi="Arial"/>
                <w:sz w:val="13"/>
                <w:szCs w:val="13"/>
                <w:b w:val="1"/>
                <w:bCs w:val="1"/>
                <w:color w:val="auto"/>
                <w:w w:val="84"/>
              </w:rPr>
              <w:t>Series B</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Caladrius</w:t>
            </w:r>
          </w:p>
        </w:tc>
        <w:tc>
          <w:tcPr>
            <w:tcW w:w="160" w:type="dxa"/>
            <w:vAlign w:val="bottom"/>
          </w:tcPr>
          <w:p>
            <w:pPr>
              <w:spacing w:after="0"/>
              <w:rPr>
                <w:sz w:val="12"/>
                <w:szCs w:val="12"/>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920" w:type="dxa"/>
            <w:vAlign w:val="bottom"/>
            <w:gridSpan w:val="3"/>
          </w:tcPr>
          <w:p>
            <w:pPr>
              <w:jc w:val="center"/>
              <w:ind w:left="151"/>
              <w:spacing w:after="0" w:line="122" w:lineRule="exact"/>
              <w:rPr>
                <w:sz w:val="20"/>
                <w:szCs w:val="20"/>
                <w:color w:val="auto"/>
              </w:rPr>
            </w:pPr>
            <w:r>
              <w:rPr>
                <w:rFonts w:ascii="Arial" w:cs="Arial" w:eastAsia="Arial" w:hAnsi="Arial"/>
                <w:sz w:val="13"/>
                <w:szCs w:val="13"/>
                <w:b w:val="1"/>
                <w:bCs w:val="1"/>
                <w:color w:val="auto"/>
                <w:w w:val="86"/>
              </w:rPr>
              <w:t>Convertible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220" w:type="dxa"/>
            <w:vAlign w:val="bottom"/>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11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Inc.</w:t>
            </w: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4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Paid in</w:t>
            </w:r>
          </w:p>
        </w:tc>
        <w:tc>
          <w:tcPr>
            <w:tcW w:w="1000" w:type="dxa"/>
            <w:vAlign w:val="bottom"/>
            <w:gridSpan w:val="3"/>
          </w:tcPr>
          <w:p>
            <w:pPr>
              <w:jc w:val="center"/>
              <w:ind w:right="80"/>
              <w:spacing w:after="0" w:line="61" w:lineRule="exact"/>
              <w:rPr>
                <w:sz w:val="20"/>
                <w:szCs w:val="20"/>
                <w:color w:val="auto"/>
              </w:rPr>
            </w:pPr>
            <w:r>
              <w:rPr>
                <w:rFonts w:ascii="Arial" w:cs="Arial" w:eastAsia="Arial" w:hAnsi="Arial"/>
                <w:sz w:val="7"/>
                <w:szCs w:val="7"/>
                <w:b w:val="1"/>
                <w:bCs w:val="1"/>
                <w:color w:val="auto"/>
              </w:rPr>
              <w:t>Comprehensive</w:t>
            </w:r>
          </w:p>
        </w:tc>
        <w:tc>
          <w:tcPr>
            <w:tcW w:w="80" w:type="dxa"/>
            <w:vAlign w:val="bottom"/>
          </w:tcPr>
          <w:p>
            <w:pPr>
              <w:spacing w:after="0"/>
              <w:rPr>
                <w:sz w:val="5"/>
                <w:szCs w:val="5"/>
                <w:color w:val="auto"/>
              </w:rPr>
            </w:pPr>
          </w:p>
        </w:tc>
        <w:tc>
          <w:tcPr>
            <w:tcW w:w="880" w:type="dxa"/>
            <w:vAlign w:val="bottom"/>
            <w:gridSpan w:val="2"/>
          </w:tcPr>
          <w:p>
            <w:pPr>
              <w:jc w:val="center"/>
              <w:ind w:right="160"/>
              <w:spacing w:after="0" w:line="61" w:lineRule="exact"/>
              <w:rPr>
                <w:sz w:val="20"/>
                <w:szCs w:val="20"/>
                <w:color w:val="auto"/>
              </w:rPr>
            </w:pPr>
            <w:r>
              <w:rPr>
                <w:rFonts w:ascii="Arial" w:cs="Arial" w:eastAsia="Arial" w:hAnsi="Arial"/>
                <w:sz w:val="7"/>
                <w:szCs w:val="7"/>
                <w:b w:val="1"/>
                <w:bCs w:val="1"/>
                <w:color w:val="auto"/>
              </w:rPr>
              <w:t>Accumulated</w:t>
            </w:r>
          </w:p>
        </w:tc>
        <w:tc>
          <w:tcPr>
            <w:tcW w:w="100" w:type="dxa"/>
            <w:vAlign w:val="bottom"/>
          </w:tcPr>
          <w:p>
            <w:pPr>
              <w:spacing w:after="0"/>
              <w:rPr>
                <w:sz w:val="5"/>
                <w:szCs w:val="5"/>
                <w:color w:val="auto"/>
              </w:rPr>
            </w:pPr>
          </w:p>
        </w:tc>
        <w:tc>
          <w:tcPr>
            <w:tcW w:w="66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Treasury</w:t>
            </w:r>
          </w:p>
        </w:tc>
        <w:tc>
          <w:tcPr>
            <w:tcW w:w="900" w:type="dxa"/>
            <w:vAlign w:val="bottom"/>
            <w:gridSpan w:val="3"/>
          </w:tcPr>
          <w:p>
            <w:pPr>
              <w:jc w:val="center"/>
              <w:ind w:right="80"/>
              <w:spacing w:after="0" w:line="61" w:lineRule="exact"/>
              <w:rPr>
                <w:sz w:val="20"/>
                <w:szCs w:val="20"/>
                <w:color w:val="auto"/>
              </w:rPr>
            </w:pPr>
            <w:r>
              <w:rPr>
                <w:rFonts w:ascii="Arial" w:cs="Arial" w:eastAsia="Arial" w:hAnsi="Arial"/>
                <w:sz w:val="7"/>
                <w:szCs w:val="7"/>
                <w:b w:val="1"/>
                <w:bCs w:val="1"/>
                <w:color w:val="auto"/>
              </w:rPr>
              <w:t>Stockholders'</w:t>
            </w:r>
          </w:p>
        </w:tc>
        <w:tc>
          <w:tcPr>
            <w:tcW w:w="800" w:type="dxa"/>
            <w:vAlign w:val="bottom"/>
            <w:gridSpan w:val="3"/>
          </w:tcPr>
          <w:p>
            <w:pPr>
              <w:jc w:val="center"/>
              <w:ind w:right="80"/>
              <w:spacing w:after="0" w:line="61" w:lineRule="exact"/>
              <w:rPr>
                <w:sz w:val="20"/>
                <w:szCs w:val="20"/>
                <w:color w:val="auto"/>
              </w:rPr>
            </w:pPr>
            <w:r>
              <w:rPr>
                <w:rFonts w:ascii="Arial" w:cs="Arial" w:eastAsia="Arial" w:hAnsi="Arial"/>
                <w:sz w:val="7"/>
                <w:szCs w:val="7"/>
                <w:b w:val="1"/>
                <w:bCs w:val="1"/>
                <w:color w:val="auto"/>
              </w:rPr>
              <w:t>Interest in</w:t>
            </w:r>
          </w:p>
        </w:tc>
        <w:tc>
          <w:tcPr>
            <w:tcW w:w="140" w:type="dxa"/>
            <w:vAlign w:val="bottom"/>
          </w:tcPr>
          <w:p>
            <w:pPr>
              <w:spacing w:after="0"/>
              <w:rPr>
                <w:sz w:val="5"/>
                <w:szCs w:val="5"/>
                <w:color w:val="auto"/>
              </w:rPr>
            </w:pPr>
          </w:p>
        </w:tc>
        <w:tc>
          <w:tcPr>
            <w:tcW w:w="640" w:type="dxa"/>
            <w:vAlign w:val="bottom"/>
          </w:tcPr>
          <w:p>
            <w:pPr>
              <w:jc w:val="center"/>
              <w:ind w:right="73"/>
              <w:spacing w:after="0" w:line="61" w:lineRule="exact"/>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6"/>
              </w:rPr>
              <w:t>Shares</w:t>
            </w:r>
          </w:p>
        </w:tc>
        <w:tc>
          <w:tcPr>
            <w:tcW w:w="6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7"/>
              </w:rPr>
              <w:t>Amount</w:t>
            </w:r>
          </w:p>
        </w:tc>
        <w:tc>
          <w:tcPr>
            <w:tcW w:w="80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7"/>
                <w:szCs w:val="17"/>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7"/>
                <w:szCs w:val="17"/>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Equity</w:t>
            </w:r>
          </w:p>
        </w:tc>
        <w:tc>
          <w:tcPr>
            <w:tcW w:w="8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7"/>
              </w:rPr>
              <w:t>Subsidiary</w:t>
            </w:r>
          </w:p>
        </w:tc>
        <w:tc>
          <w:tcPr>
            <w:tcW w:w="140" w:type="dxa"/>
            <w:vAlign w:val="bottom"/>
          </w:tcPr>
          <w:p>
            <w:pPr>
              <w:spacing w:after="0"/>
              <w:rPr>
                <w:sz w:val="17"/>
                <w:szCs w:val="17"/>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10,529</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438,911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(417,400)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20,553</w:t>
            </w: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(2,709)</w:t>
            </w: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Unrealized loss on marketable securities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13"/>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38"/>
        </w:trPr>
        <w:tc>
          <w:tcPr>
            <w:tcW w:w="24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Net proceeds from issuance of common</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8,797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18,715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18,715</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and warrants</w:t>
            </w:r>
          </w:p>
        </w:tc>
        <w:tc>
          <w:tcPr>
            <w:tcW w:w="58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19,407</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458,560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(420,119)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37,740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37,487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20" w:type="dxa"/>
            <w:vAlign w:val="bottom"/>
            <w:gridSpan w:val="3"/>
          </w:tcPr>
          <w:p>
            <w:pPr>
              <w:jc w:val="center"/>
              <w:ind w:left="171"/>
              <w:spacing w:after="0"/>
              <w:rPr>
                <w:sz w:val="20"/>
                <w:szCs w:val="20"/>
                <w:color w:val="auto"/>
              </w:rPr>
            </w:pPr>
            <w:r>
              <w:rPr>
                <w:rFonts w:ascii="Arial" w:cs="Arial" w:eastAsia="Arial" w:hAnsi="Arial"/>
                <w:sz w:val="13"/>
                <w:szCs w:val="13"/>
                <w:b w:val="1"/>
                <w:bCs w:val="1"/>
                <w:color w:val="auto"/>
                <w:w w:val="84"/>
              </w:rPr>
              <w:t>Series B</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Caladrius</w:t>
            </w:r>
          </w:p>
        </w:tc>
        <w:tc>
          <w:tcPr>
            <w:tcW w:w="160" w:type="dxa"/>
            <w:vAlign w:val="bottom"/>
          </w:tcPr>
          <w:p>
            <w:pPr>
              <w:spacing w:after="0"/>
              <w:rPr>
                <w:sz w:val="12"/>
                <w:szCs w:val="12"/>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920" w:type="dxa"/>
            <w:vAlign w:val="bottom"/>
            <w:gridSpan w:val="3"/>
          </w:tcPr>
          <w:p>
            <w:pPr>
              <w:jc w:val="center"/>
              <w:ind w:left="151"/>
              <w:spacing w:after="0" w:line="122" w:lineRule="exact"/>
              <w:rPr>
                <w:sz w:val="20"/>
                <w:szCs w:val="20"/>
                <w:color w:val="auto"/>
              </w:rPr>
            </w:pPr>
            <w:r>
              <w:rPr>
                <w:rFonts w:ascii="Arial" w:cs="Arial" w:eastAsia="Arial" w:hAnsi="Arial"/>
                <w:sz w:val="13"/>
                <w:szCs w:val="13"/>
                <w:b w:val="1"/>
                <w:bCs w:val="1"/>
                <w:color w:val="auto"/>
                <w:w w:val="86"/>
              </w:rPr>
              <w:t>Convertible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220" w:type="dxa"/>
            <w:vAlign w:val="bottom"/>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11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Inc.</w:t>
            </w: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4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Paid in</w:t>
            </w:r>
          </w:p>
        </w:tc>
        <w:tc>
          <w:tcPr>
            <w:tcW w:w="1000" w:type="dxa"/>
            <w:vAlign w:val="bottom"/>
            <w:gridSpan w:val="3"/>
          </w:tcPr>
          <w:p>
            <w:pPr>
              <w:jc w:val="center"/>
              <w:ind w:right="80"/>
              <w:spacing w:after="0" w:line="61" w:lineRule="exact"/>
              <w:rPr>
                <w:sz w:val="20"/>
                <w:szCs w:val="20"/>
                <w:color w:val="auto"/>
              </w:rPr>
            </w:pPr>
            <w:r>
              <w:rPr>
                <w:rFonts w:ascii="Arial" w:cs="Arial" w:eastAsia="Arial" w:hAnsi="Arial"/>
                <w:sz w:val="7"/>
                <w:szCs w:val="7"/>
                <w:b w:val="1"/>
                <w:bCs w:val="1"/>
                <w:color w:val="auto"/>
              </w:rPr>
              <w:t>Comprehensive</w:t>
            </w:r>
          </w:p>
        </w:tc>
        <w:tc>
          <w:tcPr>
            <w:tcW w:w="80" w:type="dxa"/>
            <w:vAlign w:val="bottom"/>
          </w:tcPr>
          <w:p>
            <w:pPr>
              <w:spacing w:after="0"/>
              <w:rPr>
                <w:sz w:val="5"/>
                <w:szCs w:val="5"/>
                <w:color w:val="auto"/>
              </w:rPr>
            </w:pPr>
          </w:p>
        </w:tc>
        <w:tc>
          <w:tcPr>
            <w:tcW w:w="880" w:type="dxa"/>
            <w:vAlign w:val="bottom"/>
            <w:gridSpan w:val="2"/>
          </w:tcPr>
          <w:p>
            <w:pPr>
              <w:jc w:val="center"/>
              <w:ind w:right="160"/>
              <w:spacing w:after="0" w:line="61" w:lineRule="exact"/>
              <w:rPr>
                <w:sz w:val="20"/>
                <w:szCs w:val="20"/>
                <w:color w:val="auto"/>
              </w:rPr>
            </w:pPr>
            <w:r>
              <w:rPr>
                <w:rFonts w:ascii="Arial" w:cs="Arial" w:eastAsia="Arial" w:hAnsi="Arial"/>
                <w:sz w:val="7"/>
                <w:szCs w:val="7"/>
                <w:b w:val="1"/>
                <w:bCs w:val="1"/>
                <w:color w:val="auto"/>
              </w:rPr>
              <w:t>Accumulated</w:t>
            </w:r>
          </w:p>
        </w:tc>
        <w:tc>
          <w:tcPr>
            <w:tcW w:w="100" w:type="dxa"/>
            <w:vAlign w:val="bottom"/>
          </w:tcPr>
          <w:p>
            <w:pPr>
              <w:spacing w:after="0"/>
              <w:rPr>
                <w:sz w:val="5"/>
                <w:szCs w:val="5"/>
                <w:color w:val="auto"/>
              </w:rPr>
            </w:pPr>
          </w:p>
        </w:tc>
        <w:tc>
          <w:tcPr>
            <w:tcW w:w="66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Treasury</w:t>
            </w:r>
          </w:p>
        </w:tc>
        <w:tc>
          <w:tcPr>
            <w:tcW w:w="900" w:type="dxa"/>
            <w:vAlign w:val="bottom"/>
            <w:gridSpan w:val="3"/>
          </w:tcPr>
          <w:p>
            <w:pPr>
              <w:jc w:val="center"/>
              <w:ind w:right="80"/>
              <w:spacing w:after="0" w:line="61" w:lineRule="exact"/>
              <w:rPr>
                <w:sz w:val="20"/>
                <w:szCs w:val="20"/>
                <w:color w:val="auto"/>
              </w:rPr>
            </w:pPr>
            <w:r>
              <w:rPr>
                <w:rFonts w:ascii="Arial" w:cs="Arial" w:eastAsia="Arial" w:hAnsi="Arial"/>
                <w:sz w:val="7"/>
                <w:szCs w:val="7"/>
                <w:b w:val="1"/>
                <w:bCs w:val="1"/>
                <w:color w:val="auto"/>
              </w:rPr>
              <w:t>Stockholders'</w:t>
            </w:r>
          </w:p>
        </w:tc>
        <w:tc>
          <w:tcPr>
            <w:tcW w:w="800" w:type="dxa"/>
            <w:vAlign w:val="bottom"/>
            <w:gridSpan w:val="3"/>
          </w:tcPr>
          <w:p>
            <w:pPr>
              <w:jc w:val="center"/>
              <w:ind w:right="80"/>
              <w:spacing w:after="0" w:line="61" w:lineRule="exact"/>
              <w:rPr>
                <w:sz w:val="20"/>
                <w:szCs w:val="20"/>
                <w:color w:val="auto"/>
              </w:rPr>
            </w:pPr>
            <w:r>
              <w:rPr>
                <w:rFonts w:ascii="Arial" w:cs="Arial" w:eastAsia="Arial" w:hAnsi="Arial"/>
                <w:sz w:val="7"/>
                <w:szCs w:val="7"/>
                <w:b w:val="1"/>
                <w:bCs w:val="1"/>
                <w:color w:val="auto"/>
              </w:rPr>
              <w:t>Interest in</w:t>
            </w:r>
          </w:p>
        </w:tc>
        <w:tc>
          <w:tcPr>
            <w:tcW w:w="140" w:type="dxa"/>
            <w:vAlign w:val="bottom"/>
          </w:tcPr>
          <w:p>
            <w:pPr>
              <w:spacing w:after="0"/>
              <w:rPr>
                <w:sz w:val="5"/>
                <w:szCs w:val="5"/>
                <w:color w:val="auto"/>
              </w:rPr>
            </w:pPr>
          </w:p>
        </w:tc>
        <w:tc>
          <w:tcPr>
            <w:tcW w:w="640" w:type="dxa"/>
            <w:vAlign w:val="bottom"/>
          </w:tcPr>
          <w:p>
            <w:pPr>
              <w:jc w:val="center"/>
              <w:ind w:right="73"/>
              <w:spacing w:after="0" w:line="61" w:lineRule="exact"/>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6"/>
              </w:rPr>
              <w:t>Shares</w:t>
            </w:r>
          </w:p>
        </w:tc>
        <w:tc>
          <w:tcPr>
            <w:tcW w:w="6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7"/>
              </w:rPr>
              <w:t>Amount</w:t>
            </w:r>
          </w:p>
        </w:tc>
        <w:tc>
          <w:tcPr>
            <w:tcW w:w="80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8"/>
              </w:rPr>
              <w:t>Loss</w:t>
            </w: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7"/>
                <w:szCs w:val="17"/>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7"/>
                <w:szCs w:val="17"/>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Equity</w:t>
            </w:r>
          </w:p>
        </w:tc>
        <w:tc>
          <w:tcPr>
            <w:tcW w:w="8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7"/>
              </w:rPr>
              <w:t>Subsidiary</w:t>
            </w:r>
          </w:p>
        </w:tc>
        <w:tc>
          <w:tcPr>
            <w:tcW w:w="140" w:type="dxa"/>
            <w:vAlign w:val="bottom"/>
          </w:tcPr>
          <w:p>
            <w:pPr>
              <w:spacing w:after="0"/>
              <w:rPr>
                <w:sz w:val="17"/>
                <w:szCs w:val="17"/>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9"/>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436,433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(397,977)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37,454</w:t>
            </w:r>
          </w:p>
        </w:tc>
        <w:tc>
          <w:tcPr>
            <w:tcW w:w="0" w:type="dxa"/>
            <w:vAlign w:val="bottom"/>
          </w:tcPr>
          <w:p>
            <w:pPr>
              <w:spacing w:after="0"/>
              <w:rPr>
                <w:sz w:val="1"/>
                <w:szCs w:val="1"/>
                <w:color w:val="auto"/>
              </w:rPr>
            </w:pPr>
          </w:p>
        </w:tc>
      </w:tr>
      <w:tr>
        <w:trPr>
          <w:trHeight w:val="173"/>
        </w:trPr>
        <w:tc>
          <w:tcPr>
            <w:tcW w:w="2420" w:type="dxa"/>
            <w:vAlign w:val="bottom"/>
          </w:tcPr>
          <w:p>
            <w:pPr>
              <w:ind w:left="20"/>
              <w:spacing w:after="0"/>
              <w:rPr>
                <w:sz w:val="20"/>
                <w:szCs w:val="20"/>
                <w:color w:val="auto"/>
              </w:rPr>
            </w:pPr>
            <w:r>
              <w:rPr>
                <w:rFonts w:ascii="Arial" w:cs="Arial" w:eastAsia="Arial" w:hAnsi="Arial"/>
                <w:sz w:val="14"/>
                <w:szCs w:val="14"/>
                <w:color w:val="auto"/>
              </w:rPr>
              <w:t>Adoption of accounting standard</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(14,399)</w:t>
            </w: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Arial" w:cs="Arial" w:eastAsia="Arial" w:hAnsi="Arial"/>
                <w:sz w:val="14"/>
                <w:szCs w:val="14"/>
                <w:color w:val="auto"/>
                <w:w w:val="94"/>
              </w:rPr>
              <w:t>Unrealized gain on marketable securities</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13"/>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4"/>
                <w:szCs w:val="14"/>
                <w:color w:val="auto"/>
                <w:w w:val="96"/>
              </w:rPr>
              <w:t>Net proceeds from issuance of common</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451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1,038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1,038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Arial" w:cs="Arial" w:eastAsia="Arial" w:hAnsi="Arial"/>
                <w:sz w:val="14"/>
                <w:szCs w:val="14"/>
                <w:color w:val="auto"/>
              </w:rPr>
              <w:t>stock</w:t>
            </w:r>
          </w:p>
        </w:tc>
        <w:tc>
          <w:tcPr>
            <w:tcW w:w="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2019</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438,388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(412,444)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24,982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920" w:type="dxa"/>
            <w:vAlign w:val="bottom"/>
            <w:gridSpan w:val="3"/>
          </w:tcPr>
          <w:p>
            <w:pPr>
              <w:jc w:val="center"/>
              <w:ind w:left="172"/>
              <w:spacing w:after="0" w:line="135" w:lineRule="exact"/>
              <w:rPr>
                <w:sz w:val="20"/>
                <w:szCs w:val="20"/>
                <w:color w:val="auto"/>
              </w:rPr>
            </w:pPr>
            <w:r>
              <w:rPr>
                <w:rFonts w:ascii="Arial" w:cs="Arial" w:eastAsia="Arial" w:hAnsi="Arial"/>
                <w:sz w:val="13"/>
                <w:szCs w:val="13"/>
                <w:b w:val="1"/>
                <w:bCs w:val="1"/>
                <w:color w:val="auto"/>
                <w:w w:val="84"/>
              </w:rPr>
              <w:t>Series B</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Caladrius</w:t>
            </w:r>
          </w:p>
        </w:tc>
        <w:tc>
          <w:tcPr>
            <w:tcW w:w="160" w:type="dxa"/>
            <w:vAlign w:val="bottom"/>
          </w:tcPr>
          <w:p>
            <w:pPr>
              <w:spacing w:after="0"/>
              <w:rPr>
                <w:sz w:val="11"/>
                <w:szCs w:val="11"/>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920" w:type="dxa"/>
            <w:vAlign w:val="bottom"/>
            <w:gridSpan w:val="3"/>
          </w:tcPr>
          <w:p>
            <w:pPr>
              <w:jc w:val="center"/>
              <w:ind w:left="152"/>
              <w:spacing w:after="0" w:line="122" w:lineRule="exact"/>
              <w:rPr>
                <w:sz w:val="20"/>
                <w:szCs w:val="20"/>
                <w:color w:val="auto"/>
              </w:rPr>
            </w:pPr>
            <w:r>
              <w:rPr>
                <w:rFonts w:ascii="Arial" w:cs="Arial" w:eastAsia="Arial" w:hAnsi="Arial"/>
                <w:sz w:val="13"/>
                <w:szCs w:val="13"/>
                <w:b w:val="1"/>
                <w:bCs w:val="1"/>
                <w:color w:val="auto"/>
                <w:w w:val="86"/>
              </w:rPr>
              <w:t>Convertible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220" w:type="dxa"/>
            <w:vAlign w:val="bottom"/>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11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Inc.</w:t>
            </w: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4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w w:val="96"/>
              </w:rPr>
              <w:t>Paid in</w:t>
            </w:r>
          </w:p>
        </w:tc>
        <w:tc>
          <w:tcPr>
            <w:tcW w:w="1000" w:type="dxa"/>
            <w:vAlign w:val="bottom"/>
            <w:gridSpan w:val="3"/>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3"/>
              </w:rPr>
              <w:t>Comprehensive</w:t>
            </w:r>
          </w:p>
        </w:tc>
        <w:tc>
          <w:tcPr>
            <w:tcW w:w="80" w:type="dxa"/>
            <w:vAlign w:val="bottom"/>
          </w:tcPr>
          <w:p>
            <w:pPr>
              <w:spacing w:after="0"/>
              <w:rPr>
                <w:sz w:val="5"/>
                <w:szCs w:val="5"/>
                <w:color w:val="auto"/>
              </w:rPr>
            </w:pPr>
          </w:p>
        </w:tc>
        <w:tc>
          <w:tcPr>
            <w:tcW w:w="880" w:type="dxa"/>
            <w:vAlign w:val="bottom"/>
            <w:gridSpan w:val="2"/>
            <w:vMerge w:val="restart"/>
          </w:tcPr>
          <w:p>
            <w:pPr>
              <w:jc w:val="center"/>
              <w:ind w:right="16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5"/>
                <w:szCs w:val="5"/>
                <w:color w:val="auto"/>
              </w:rPr>
            </w:pPr>
          </w:p>
        </w:tc>
        <w:tc>
          <w:tcPr>
            <w:tcW w:w="66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w w:val="94"/>
              </w:rPr>
              <w:t>Treasury</w:t>
            </w:r>
          </w:p>
        </w:tc>
        <w:tc>
          <w:tcPr>
            <w:tcW w:w="900" w:type="dxa"/>
            <w:vAlign w:val="bottom"/>
            <w:gridSpan w:val="3"/>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3"/>
              </w:rPr>
              <w:t>Stockholders'</w:t>
            </w:r>
          </w:p>
        </w:tc>
        <w:tc>
          <w:tcPr>
            <w:tcW w:w="800" w:type="dxa"/>
            <w:vAlign w:val="bottom"/>
            <w:gridSpan w:val="3"/>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7"/>
              </w:rPr>
              <w:t>Interest in</w:t>
            </w:r>
          </w:p>
        </w:tc>
        <w:tc>
          <w:tcPr>
            <w:tcW w:w="140" w:type="dxa"/>
            <w:vAlign w:val="bottom"/>
          </w:tcPr>
          <w:p>
            <w:pPr>
              <w:spacing w:after="0"/>
              <w:rPr>
                <w:sz w:val="5"/>
                <w:szCs w:val="5"/>
                <w:color w:val="auto"/>
              </w:rPr>
            </w:pPr>
          </w:p>
        </w:tc>
        <w:tc>
          <w:tcPr>
            <w:tcW w:w="640" w:type="dxa"/>
            <w:vAlign w:val="bottom"/>
            <w:vMerge w:val="restart"/>
          </w:tcPr>
          <w:p>
            <w:pPr>
              <w:jc w:val="center"/>
              <w:ind w:right="72"/>
              <w:spacing w:after="0" w:line="108"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96"/>
              </w:rPr>
              <w:t>Shares</w:t>
            </w: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w w:val="97"/>
              </w:rPr>
              <w:t>Amount</w:t>
            </w:r>
          </w:p>
        </w:tc>
        <w:tc>
          <w:tcPr>
            <w:tcW w:w="80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4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8"/>
              </w:rPr>
              <w:t>Loss</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Equity</w:t>
            </w:r>
          </w:p>
        </w:tc>
        <w:tc>
          <w:tcPr>
            <w:tcW w:w="8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7"/>
              </w:rPr>
              <w:t>Subsidiary</w:t>
            </w:r>
          </w:p>
        </w:tc>
        <w:tc>
          <w:tcPr>
            <w:tcW w:w="140" w:type="dxa"/>
            <w:vAlign w:val="bottom"/>
          </w:tcPr>
          <w:p>
            <w:pPr>
              <w:spacing w:after="0"/>
              <w:rPr>
                <w:sz w:val="14"/>
                <w:szCs w:val="14"/>
                <w:color w:val="auto"/>
              </w:rPr>
            </w:pPr>
          </w:p>
        </w:tc>
        <w:tc>
          <w:tcPr>
            <w:tcW w:w="640" w:type="dxa"/>
            <w:vAlign w:val="bottom"/>
          </w:tcPr>
          <w:p>
            <w:pPr>
              <w:jc w:val="center"/>
              <w:ind w:right="92"/>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8"/>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15,585</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449,302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(414,792)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33,811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33,556</w:t>
            </w:r>
          </w:p>
        </w:tc>
        <w:tc>
          <w:tcPr>
            <w:tcW w:w="0" w:type="dxa"/>
            <w:vAlign w:val="bottom"/>
          </w:tcPr>
          <w:p>
            <w:pPr>
              <w:spacing w:after="0"/>
              <w:rPr>
                <w:sz w:val="1"/>
                <w:szCs w:val="1"/>
                <w:color w:val="auto"/>
              </w:rPr>
            </w:pPr>
          </w:p>
        </w:tc>
      </w:tr>
      <w:tr>
        <w:trPr>
          <w:trHeight w:val="179"/>
        </w:trPr>
        <w:tc>
          <w:tcPr>
            <w:tcW w:w="2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(5,325)</w:t>
            </w: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Unrealized loss on marketable securities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38"/>
        </w:trPr>
        <w:tc>
          <w:tcPr>
            <w:tcW w:w="24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Net proceeds from issuance of common</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3,847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9,032</w:t>
            </w: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and warrants</w:t>
            </w:r>
          </w:p>
        </w:tc>
        <w:tc>
          <w:tcPr>
            <w:tcW w:w="58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2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19,407</w:t>
            </w: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19</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458,560</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(420,119)</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37,740</w:t>
            </w: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37,487</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20" w:type="dxa"/>
            <w:vAlign w:val="bottom"/>
            <w:gridSpan w:val="3"/>
          </w:tcPr>
          <w:p>
            <w:pPr>
              <w:jc w:val="center"/>
              <w:ind w:left="172"/>
              <w:spacing w:after="0"/>
              <w:rPr>
                <w:sz w:val="20"/>
                <w:szCs w:val="20"/>
                <w:color w:val="auto"/>
              </w:rPr>
            </w:pPr>
            <w:r>
              <w:rPr>
                <w:rFonts w:ascii="Arial" w:cs="Arial" w:eastAsia="Arial" w:hAnsi="Arial"/>
                <w:sz w:val="13"/>
                <w:szCs w:val="13"/>
                <w:b w:val="1"/>
                <w:bCs w:val="1"/>
                <w:color w:val="auto"/>
                <w:w w:val="84"/>
              </w:rPr>
              <w:t>Series B</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Caladrius</w:t>
            </w:r>
          </w:p>
        </w:tc>
        <w:tc>
          <w:tcPr>
            <w:tcW w:w="160" w:type="dxa"/>
            <w:vAlign w:val="bottom"/>
          </w:tcPr>
          <w:p>
            <w:pPr>
              <w:spacing w:after="0"/>
              <w:rPr>
                <w:sz w:val="12"/>
                <w:szCs w:val="12"/>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920" w:type="dxa"/>
            <w:vAlign w:val="bottom"/>
            <w:gridSpan w:val="3"/>
          </w:tcPr>
          <w:p>
            <w:pPr>
              <w:jc w:val="center"/>
              <w:ind w:left="152"/>
              <w:spacing w:after="0" w:line="122" w:lineRule="exact"/>
              <w:rPr>
                <w:sz w:val="20"/>
                <w:szCs w:val="20"/>
                <w:color w:val="auto"/>
              </w:rPr>
            </w:pPr>
            <w:r>
              <w:rPr>
                <w:rFonts w:ascii="Arial" w:cs="Arial" w:eastAsia="Arial" w:hAnsi="Arial"/>
                <w:sz w:val="13"/>
                <w:szCs w:val="13"/>
                <w:b w:val="1"/>
                <w:bCs w:val="1"/>
                <w:color w:val="auto"/>
                <w:w w:val="86"/>
              </w:rPr>
              <w:t>Convertible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220" w:type="dxa"/>
            <w:vAlign w:val="bottom"/>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11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Inc.</w:t>
            </w: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4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Paid in</w:t>
            </w:r>
          </w:p>
        </w:tc>
        <w:tc>
          <w:tcPr>
            <w:tcW w:w="1000" w:type="dxa"/>
            <w:vAlign w:val="bottom"/>
            <w:gridSpan w:val="3"/>
          </w:tcPr>
          <w:p>
            <w:pPr>
              <w:jc w:val="center"/>
              <w:ind w:right="80"/>
              <w:spacing w:after="0" w:line="61" w:lineRule="exact"/>
              <w:rPr>
                <w:sz w:val="20"/>
                <w:szCs w:val="20"/>
                <w:color w:val="auto"/>
              </w:rPr>
            </w:pPr>
            <w:r>
              <w:rPr>
                <w:rFonts w:ascii="Arial" w:cs="Arial" w:eastAsia="Arial" w:hAnsi="Arial"/>
                <w:sz w:val="7"/>
                <w:szCs w:val="7"/>
                <w:b w:val="1"/>
                <w:bCs w:val="1"/>
                <w:color w:val="auto"/>
              </w:rPr>
              <w:t>Comprehensive</w:t>
            </w:r>
          </w:p>
        </w:tc>
        <w:tc>
          <w:tcPr>
            <w:tcW w:w="80" w:type="dxa"/>
            <w:vAlign w:val="bottom"/>
          </w:tcPr>
          <w:p>
            <w:pPr>
              <w:spacing w:after="0"/>
              <w:rPr>
                <w:sz w:val="5"/>
                <w:szCs w:val="5"/>
                <w:color w:val="auto"/>
              </w:rPr>
            </w:pPr>
          </w:p>
        </w:tc>
        <w:tc>
          <w:tcPr>
            <w:tcW w:w="880" w:type="dxa"/>
            <w:vAlign w:val="bottom"/>
            <w:gridSpan w:val="2"/>
          </w:tcPr>
          <w:p>
            <w:pPr>
              <w:jc w:val="center"/>
              <w:ind w:right="160"/>
              <w:spacing w:after="0" w:line="61" w:lineRule="exact"/>
              <w:rPr>
                <w:sz w:val="20"/>
                <w:szCs w:val="20"/>
                <w:color w:val="auto"/>
              </w:rPr>
            </w:pPr>
            <w:r>
              <w:rPr>
                <w:rFonts w:ascii="Arial" w:cs="Arial" w:eastAsia="Arial" w:hAnsi="Arial"/>
                <w:sz w:val="7"/>
                <w:szCs w:val="7"/>
                <w:b w:val="1"/>
                <w:bCs w:val="1"/>
                <w:color w:val="auto"/>
              </w:rPr>
              <w:t>Accumulated</w:t>
            </w:r>
          </w:p>
        </w:tc>
        <w:tc>
          <w:tcPr>
            <w:tcW w:w="100" w:type="dxa"/>
            <w:vAlign w:val="bottom"/>
          </w:tcPr>
          <w:p>
            <w:pPr>
              <w:spacing w:after="0"/>
              <w:rPr>
                <w:sz w:val="5"/>
                <w:szCs w:val="5"/>
                <w:color w:val="auto"/>
              </w:rPr>
            </w:pPr>
          </w:p>
        </w:tc>
        <w:tc>
          <w:tcPr>
            <w:tcW w:w="66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Treasury</w:t>
            </w:r>
          </w:p>
        </w:tc>
        <w:tc>
          <w:tcPr>
            <w:tcW w:w="900" w:type="dxa"/>
            <w:vAlign w:val="bottom"/>
            <w:gridSpan w:val="3"/>
          </w:tcPr>
          <w:p>
            <w:pPr>
              <w:jc w:val="center"/>
              <w:ind w:right="80"/>
              <w:spacing w:after="0" w:line="61" w:lineRule="exact"/>
              <w:rPr>
                <w:sz w:val="20"/>
                <w:szCs w:val="20"/>
                <w:color w:val="auto"/>
              </w:rPr>
            </w:pPr>
            <w:r>
              <w:rPr>
                <w:rFonts w:ascii="Arial" w:cs="Arial" w:eastAsia="Arial" w:hAnsi="Arial"/>
                <w:sz w:val="7"/>
                <w:szCs w:val="7"/>
                <w:b w:val="1"/>
                <w:bCs w:val="1"/>
                <w:color w:val="auto"/>
              </w:rPr>
              <w:t>Stockholders'</w:t>
            </w:r>
          </w:p>
        </w:tc>
        <w:tc>
          <w:tcPr>
            <w:tcW w:w="800" w:type="dxa"/>
            <w:vAlign w:val="bottom"/>
            <w:gridSpan w:val="3"/>
          </w:tcPr>
          <w:p>
            <w:pPr>
              <w:jc w:val="center"/>
              <w:ind w:right="80"/>
              <w:spacing w:after="0" w:line="61" w:lineRule="exact"/>
              <w:rPr>
                <w:sz w:val="20"/>
                <w:szCs w:val="20"/>
                <w:color w:val="auto"/>
              </w:rPr>
            </w:pPr>
            <w:r>
              <w:rPr>
                <w:rFonts w:ascii="Arial" w:cs="Arial" w:eastAsia="Arial" w:hAnsi="Arial"/>
                <w:sz w:val="7"/>
                <w:szCs w:val="7"/>
                <w:b w:val="1"/>
                <w:bCs w:val="1"/>
                <w:color w:val="auto"/>
              </w:rPr>
              <w:t>Interest in</w:t>
            </w:r>
          </w:p>
        </w:tc>
        <w:tc>
          <w:tcPr>
            <w:tcW w:w="140" w:type="dxa"/>
            <w:vAlign w:val="bottom"/>
          </w:tcPr>
          <w:p>
            <w:pPr>
              <w:spacing w:after="0"/>
              <w:rPr>
                <w:sz w:val="5"/>
                <w:szCs w:val="5"/>
                <w:color w:val="auto"/>
              </w:rPr>
            </w:pPr>
          </w:p>
        </w:tc>
        <w:tc>
          <w:tcPr>
            <w:tcW w:w="640" w:type="dxa"/>
            <w:vAlign w:val="bottom"/>
          </w:tcPr>
          <w:p>
            <w:pPr>
              <w:jc w:val="center"/>
              <w:ind w:right="72"/>
              <w:spacing w:after="0" w:line="61" w:lineRule="exact"/>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6"/>
              </w:rPr>
              <w:t>Shares</w:t>
            </w:r>
          </w:p>
        </w:tc>
        <w:tc>
          <w:tcPr>
            <w:tcW w:w="6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7"/>
              </w:rPr>
              <w:t>Amount</w:t>
            </w:r>
          </w:p>
        </w:tc>
        <w:tc>
          <w:tcPr>
            <w:tcW w:w="80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8"/>
              </w:rPr>
              <w:t>Loss</w:t>
            </w: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7"/>
                <w:szCs w:val="17"/>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7"/>
                <w:szCs w:val="17"/>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Equity</w:t>
            </w:r>
          </w:p>
        </w:tc>
        <w:tc>
          <w:tcPr>
            <w:tcW w:w="8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7"/>
              </w:rPr>
              <w:t>Subsidiary</w:t>
            </w:r>
          </w:p>
        </w:tc>
        <w:tc>
          <w:tcPr>
            <w:tcW w:w="140" w:type="dxa"/>
            <w:vAlign w:val="bottom"/>
          </w:tcPr>
          <w:p>
            <w:pPr>
              <w:spacing w:after="0"/>
              <w:rPr>
                <w:sz w:val="17"/>
                <w:szCs w:val="17"/>
                <w:color w:val="auto"/>
              </w:rPr>
            </w:pPr>
          </w:p>
        </w:tc>
        <w:tc>
          <w:tcPr>
            <w:tcW w:w="640" w:type="dxa"/>
            <w:vAlign w:val="bottom"/>
          </w:tcPr>
          <w:p>
            <w:pPr>
              <w:jc w:val="center"/>
              <w:ind w:right="92"/>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9"/>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2019</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438,133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(407,546)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29,622</w:t>
            </w:r>
          </w:p>
        </w:tc>
        <w:tc>
          <w:tcPr>
            <w:tcW w:w="0" w:type="dxa"/>
            <w:vAlign w:val="bottom"/>
          </w:tcPr>
          <w:p>
            <w:pPr>
              <w:spacing w:after="0"/>
              <w:rPr>
                <w:sz w:val="1"/>
                <w:szCs w:val="1"/>
                <w:color w:val="auto"/>
              </w:rPr>
            </w:pPr>
          </w:p>
        </w:tc>
      </w:tr>
      <w:tr>
        <w:trPr>
          <w:trHeight w:val="173"/>
        </w:trPr>
        <w:tc>
          <w:tcPr>
            <w:tcW w:w="2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(4,898)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(4,897)</w:t>
            </w: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Unrealized gain on marketable securities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38"/>
        </w:trPr>
        <w:tc>
          <w:tcPr>
            <w:tcW w:w="24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Net proceeds from issuance of common</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58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2019</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10,411</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438,388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(412,444)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25,248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24,982</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00" w:type="dxa"/>
            <w:vAlign w:val="bottom"/>
            <w:tcBorders>
              <w:bottom w:val="single" w:sz="8" w:color="auto"/>
            </w:tcBorders>
            <w:gridSpan w:val="5"/>
          </w:tcPr>
          <w:p>
            <w:pPr>
              <w:jc w:val="right"/>
              <w:ind w:right="31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80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(2,709)</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(14,399)</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00" w:type="dxa"/>
            <w:vAlign w:val="bottom"/>
          </w:tcPr>
          <w:p>
            <w:pPr>
              <w:ind w:left="480"/>
              <w:spacing w:after="0"/>
              <w:rPr>
                <w:sz w:val="20"/>
                <w:szCs w:val="20"/>
                <w:color w:val="auto"/>
              </w:rPr>
            </w:pPr>
            <w:r>
              <w:rPr>
                <w:rFonts w:ascii="Arial" w:cs="Arial" w:eastAsia="Arial" w:hAnsi="Arial"/>
                <w:sz w:val="16"/>
                <w:szCs w:val="16"/>
                <w:color w:val="auto"/>
              </w:rPr>
              <w:t>Share-based compensation</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1,047</w:t>
            </w:r>
          </w:p>
        </w:tc>
      </w:tr>
      <w:tr>
        <w:trPr>
          <w:trHeight w:val="219"/>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8000" w:type="dxa"/>
            <w:vAlign w:val="bottom"/>
          </w:tcPr>
          <w:p>
            <w:pPr>
              <w:ind w:left="460"/>
              <w:spacing w:after="0"/>
              <w:rPr>
                <w:sz w:val="20"/>
                <w:szCs w:val="20"/>
                <w:color w:val="auto"/>
              </w:rPr>
            </w:pPr>
            <w:r>
              <w:rPr>
                <w:rFonts w:ascii="Arial" w:cs="Arial" w:eastAsia="Arial" w:hAnsi="Arial"/>
                <w:sz w:val="16"/>
                <w:szCs w:val="16"/>
                <w:color w:val="auto"/>
              </w:rPr>
              <w:t>Accretion on marketable securities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9"/>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00" w:type="dxa"/>
            <w:vAlign w:val="bottom"/>
          </w:tcPr>
          <w:p>
            <w:pPr>
              <w:ind w:left="660"/>
              <w:spacing w:after="0"/>
              <w:rPr>
                <w:sz w:val="20"/>
                <w:szCs w:val="20"/>
                <w:color w:val="auto"/>
              </w:rPr>
            </w:pPr>
            <w:r>
              <w:rPr>
                <w:rFonts w:ascii="Arial" w:cs="Arial" w:eastAsia="Arial" w:hAnsi="Arial"/>
                <w:sz w:val="16"/>
                <w:szCs w:val="16"/>
                <w:color w:val="auto"/>
              </w:rPr>
              <w:t>Prepaid and other current assets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assets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3"/>
        </w:trPr>
        <w:tc>
          <w:tcPr>
            <w:tcW w:w="80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Accounts payable, accrued liabilities and other liabilities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r>
      <w:tr>
        <w:trPr>
          <w:trHeight w:val="213"/>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(14,662)</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marketable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(21,819)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(32,312)</w:t>
            </w: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Sale of marketable securities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13,646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48,441</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16,129</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Tax withholding payments on net share settlement equity awards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proceeds from issuance of common stock</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r>
      <w:tr>
        <w:trPr>
          <w:trHeight w:val="207"/>
        </w:trPr>
        <w:tc>
          <w:tcPr>
            <w:tcW w:w="80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18,567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10,299</w:t>
            </w: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The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334"/>
        <w:spacing w:after="0" w:line="257" w:lineRule="auto"/>
        <w:rPr>
          <w:sz w:val="20"/>
          <w:szCs w:val="20"/>
          <w:color w:val="auto"/>
        </w:rPr>
      </w:pPr>
      <w:r>
        <w:rPr>
          <w:rFonts w:ascii="Arial" w:cs="Arial" w:eastAsia="Arial" w:hAnsi="Arial"/>
          <w:sz w:val="18"/>
          <w:szCs w:val="18"/>
          <w:color w:val="auto"/>
        </w:rPr>
        <w:t>Caladrius Biosciences, Inc. (“we,” “us,” "our," “Caladrius” or the “Company”) is a clinical-stage biopharmaceutical company dedicated to the development and commercialization of cellular therapies designed to reverse disease and/or promote the regeneration of damaged tissue. The Company is developing first-in-class therapeutics based on the characteristics of naturally occurring CD34+ cells and their ability to stimulate the growth of new microvasculature. The Company's technology leverages these cells to enable the body's natural repair mechanisms using formulations unique to each medical indication.</w:t>
      </w:r>
    </w:p>
    <w:p>
      <w:pPr>
        <w:spacing w:after="0" w:line="215" w:lineRule="exact"/>
        <w:rPr>
          <w:sz w:val="20"/>
          <w:szCs w:val="20"/>
          <w:color w:val="auto"/>
        </w:rPr>
      </w:pPr>
    </w:p>
    <w:p>
      <w:pPr>
        <w:jc w:val="both"/>
        <w:ind w:firstLine="177"/>
        <w:spacing w:after="0" w:line="253" w:lineRule="auto"/>
        <w:rPr>
          <w:sz w:val="20"/>
          <w:szCs w:val="20"/>
          <w:color w:val="auto"/>
        </w:rPr>
      </w:pPr>
      <w:r>
        <w:rPr>
          <w:rFonts w:ascii="Arial" w:cs="Arial" w:eastAsia="Arial" w:hAnsi="Arial"/>
          <w:sz w:val="17"/>
          <w:szCs w:val="17"/>
          <w:color w:val="auto"/>
        </w:rPr>
        <w:t>The Company's leadership team has decades of collective biopharmaceutical development experience and world-recognized scientific achievement in the field of cardiovascular disease, among other therapeutic areas. Its goal is to develop and commercialize products that address important unmet medical needs based on a broad and versatile portfolio of candidates. The Company's current product candidates include HONEDRA ® (formerly known as CLBS12), recipient of SAKIGAKE designation and eligible for early conditional approval in Japan for the treatment of critical limb ischemia ("CLI") based on the results of an ongoing clinical trial; CLBS14, a Regenerative Medicine Advanced Therapy ("RMAT") designated therapy for which the Company has finalized with the U.S. Food and Drug Administration (the "FDA") a protocol for a Phase 3 confirmatory trial in subjects with no-option refractory disabling angina ("NORDA"); CLBS16, the subject of a recently completed positive Phase 2 clinical trial in the U.S. for the treatment of coronary microvascular dysfunction ("CMD") and CLBS119, an emergent CD34+ stem cell therapy responding to the COVID-19 pandemic and the potentially permanent damage the virus inflicts on the lungs of many patients.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CD34+ cell was discovered as a result of the deliberate search for a stem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 stem cell that has the ability to stimulate new blood vessel formation. No other native cell discovered to date has demonstrated this same capability.</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proprietary CD34+ cell technology has led to the development of therapeutic product candidates designed to address diseases and conditions caused by ischemia. Ischemia occurs when the supply of oxygenated blood to healthy tissue is restricted. Through the administration of CD34+ cells, the Company seeks to promote the development and formation of new microvasculature and thereby increase blood flow to the impacted area. Caladrius believes that a number of conditions caused by underlying ischemic injury can be improved through its CD34+ cell technology, including but not limited to, CLI, CMD, NORDA and COVID-19 induced lung damage.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HONEDRA ® for Treatment of Critical Limb Ischemia</w:t>
      </w:r>
    </w:p>
    <w:p>
      <w:pPr>
        <w:spacing w:after="0" w:line="2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open-label, registration-eligible study of HONEDRA ® in Japan for the treatment of critical limb ischemia ("CLI"), a disease with no currently available approved therapy and a higher combined incidence and mortality rate than all cancers but lung cancer, has shown strong results to date. The initial responses observed in the subjects who have reached an endpoint in this open label study are consistent with a positive therapeutic effect and safety profile as reported by previously published clinical trials in Japan. Although the study's enrollment, which is targeted for completion this year, has been slowed by the pandemic's impact in Japan, the Company is encouraged by the patient pre-screening pipeline that has been identified and hopes to conclude trial enrollment during the first quarter of 2021. While the final outcome of the trial will depend on all data from all subjects, data, to date, are very encouraging.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CLBS14 for Treatment of No Option Refractory Disabling Angina (NORDA)</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acquired the rights to data and regulatory filings for a CD34+ cell therapy program for refractory angina that had been advanced to Phase 3 by a previous sponsor.</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the clinical evidence from the completed studies that a single administration of CLBS14 reduces mortality, improves angina and increases exercise capacity in patients with otherwise untreatable angina, this product received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Regenerative Medicine Advanced Therapy (“RMAT”) designation from the FDA. The Company, working closely with the FDA, has finalized the design of a confirmatory Phase 3 trial which, in combination with previously filed Phase 1, 2 and 3 data, will be considered for the registration of CLBS14. Notably, this study design includes a 6-month primary endpoint and, with the benefit of the RMAT designation, the biologics license application ("BLA"), once submitted, is expected to receive a 6-month review. The Company has substantially completed the preparatory work for initiation of this trial. Caladrius will not, however, commence enrollment of patients until sufficient capital is acquired and dedicated to this program such that the Company has confidence that it can fund the trial uninterrupted through completion.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CLBS16 for Treatment of Coronary Microvascular Dysfunction</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In 2017, with the assistance of a $1.9 million grant from the National Institutes of Health (Award Number R44HL135889), Caladrius initiated its program for CLBS16 for the treatment of coronary microvascular dysfunction ("CMD"), a disease that potentially afflicts millions of patients with no current targeted treatment options. That study, titled ESCaPE-CMD, was a Phase 2 proof-of-concept study that enrolled patients at the Mayo Clinic in Rochester, MN and Cedars-Sinai Medical Center in Los Angeles, CA. In June 2019, the Company announced the completion of enrollment in this study. Results of the first 17 of 20 patients enrolled in this trial who reached 6-month follow-up were presented as a rapid fire oral presentation on November 16, 2019 at the annual meeting of the American Heart Association in Philadelphia, PA by one of the principal investigators, Dr. Noel Bairey Merz, FACC, FAHA, FESC, the director of the Barbra Streisand Women's Heart Center at Cedars-Sinai in Los Angeles, CA. That data set showed a positive therapeutic effect with a statistically significant improvement in angina frequency, coronary flow reserve, Canadian Cardiovascular Society Angina Class and Seattle Questionnaire score, as well as an acceptable safety profile. The full data from that study was presented at the SCAI 2020 Scientific Sessions Virtual Conference on May 14, 2020 and the Company currently expects to initiate the next CMD trial, a Phase 2b study, by December 2020.</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CLBS119 for Treatment of COVID -19 Induced Lung Damage</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COVID-19 appears to damage the vasculature of the lungs and Caladrius believes that repair of that vasculature will prove necessary for patients to achieve a full recovery. Survivors of COVID-19 often remain debilitated even after leaving the hospital due to the damage caused to their lungs, and while many developmental therapies responding to the COVID-19 pandemic are appropriately targeting the SARS-CoV-2 virus itself or the manifestations of the acute phase of the illness, Caladrius is aware of no therapy that has demonstrated the ability to repair COVID-19 induced lung damage. With consistent clinical and pre-clinical evidence that CD34+ cells can repair multiple organs, including models of severe lung inflammation, the Company sought and received FDA authorization for its investigational new drug (“IND”) application for the study of CLBS119, a CD34+ cell therapy for repair of COVID-19 induced lung damage. The study began screening prospective patients for inclusion at NYU Langone Health. The planned 12-patient open-label clinical trial is designed to evaluate the safety and efficacy of a single administration of CLBS119 for the treatment and repair of COVID-19-induced lung damage in adults. The study will target patients who are experiencing hypoxia due to prior infection with SARS-CoV-2 and who require supplemental oxygen.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broad intellectual property portfolio of cell therapy assets includes notable programs available for out-licensing in order to continue their clinical development. Its current long-term strategy focuses on advancing its therapies through development with the ultimate objective of obtaining market authorizations and entering commercialization, either alone or with partners, to provide treatment options to patients suffering from life-threatening medical conditions. The Company believes that it is well-positioned to realize potentially meaningful value increases within its own proprietary pipeline if the Company is successful in advancing its product candidates to their next significant development milestones.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Considerations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2019, a novel strain of coronavirus (SARS-CoV-2), which causes COVID-19, was reported to have surfaced in China. In March 2020, the World Health Organization declared the outbreak of COVID-19 to be a pandemic, and the world's economies began to experience pronounced effects. While the disruption currently is expected to be temporary, there is uncertainty around the extent and duration of disruption, and any future related financial impact cannot be reasonably estimated at this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of the SEC for interim financial information. Accordingly, they do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September 30, 2020, and the results of its operations and its cash flows for the periods presented. The unaudited consolidated financial statements herein should be read together with the historical consolidated financial statements of the Company for the years ended December 31, 2019 and 2018 included in our 2019 Form 10-K. Operating results for the three and nine months ended September 30, 2020 are not necessarily indicative of the results that may be expected for the year ending December 31,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Accordingly, actual results could differ from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Caladrius Biosciences, Inc. and its wholly owned and majority owned subsidiaries and affiliates. All intercompany activities have been eliminated in consolidation.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to the policies below, the Company's significant accounting policies are described in Note 2 of the Notes to Consolidated Financial Statements included in its 2019 Form 10-K. There were no changes to these policies during the three and nine months ended September 30,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252" w:lineRule="exact"/>
        <w:rPr>
          <w:sz w:val="20"/>
          <w:szCs w:val="20"/>
          <w:color w:val="auto"/>
        </w:rPr>
      </w:pPr>
    </w:p>
    <w:p>
      <w:pPr>
        <w:jc w:val="both"/>
        <w:ind w:firstLine="207"/>
        <w:spacing w:after="0" w:line="296" w:lineRule="auto"/>
        <w:rPr>
          <w:sz w:val="20"/>
          <w:szCs w:val="20"/>
          <w:color w:val="auto"/>
        </w:rPr>
      </w:pPr>
      <w:r>
        <w:rPr>
          <w:rFonts w:ascii="Arial" w:cs="Arial" w:eastAsia="Arial" w:hAnsi="Arial"/>
          <w:sz w:val="16"/>
          <w:szCs w:val="16"/>
          <w:color w:val="auto"/>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Therefore, the Company is not exposed to any significant concentrations of credit risk from these financial instruments. The goals of the Company's investment policy, in order of priority, are as follows: safety and preservation of principal and diversification of risk, liquidity of investments sufficient to meet cash flow requirements, and a competitive after-tax rate of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expenses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The fair value of the Company’s restricted stock and restricted stock units is based on the closing market price of the Company’s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June 2016, the FASB issued ASU 2016-13, Financial Instruments—Credit Losses, which will require companies to present assets held at amortized cost and available for sale debt securities net of the amount expected to be collected. The guidance requires the measurement of expected credit losses to be based on relevant information from past events, including historical experiences, current conditions and reasonable and supportable forecasts that affect collectability. The guidance was effective for fiscal years and interim periods beginning after December 15, 2019 and early adoption was permitted. The adoption of this guidance did not have a material impact on the Company's consolidated financial statements.</w:t>
      </w:r>
    </w:p>
    <w:p>
      <w:pPr>
        <w:spacing w:after="0" w:line="203" w:lineRule="exact"/>
        <w:rPr>
          <w:sz w:val="20"/>
          <w:szCs w:val="20"/>
          <w:color w:val="auto"/>
        </w:rPr>
      </w:pPr>
    </w:p>
    <w:p>
      <w:pPr>
        <w:ind w:right="240" w:firstLine="324"/>
        <w:spacing w:after="0" w:line="284" w:lineRule="auto"/>
        <w:rPr>
          <w:sz w:val="20"/>
          <w:szCs w:val="20"/>
          <w:color w:val="auto"/>
        </w:rPr>
      </w:pPr>
      <w:r>
        <w:rPr>
          <w:rFonts w:ascii="Arial" w:cs="Arial" w:eastAsia="Arial" w:hAnsi="Arial"/>
          <w:sz w:val="16"/>
          <w:szCs w:val="16"/>
          <w:color w:val="auto"/>
        </w:rPr>
        <w:t>In July 2019, the FASB issued ASU 2019-07, "Codification Updates to SEC Sections", to codify the SEC releases that clarify and improve the disclosure and presentation requirements of a variety of codification topics, thereby eliminating certain disclosure requirements that were redundant, duplicative, overlapping, outdated, or superseded. For public companies, the amendments are effective upon issuance. The Company determined that the adoption of this new accounting guidance did not have a material impact on its consolidated financial statements and footnote disclosures.</w:t>
      </w:r>
    </w:p>
    <w:p>
      <w:pPr>
        <w:spacing w:after="0" w:line="18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October 2019, the FASB issued ASU 2019-12, which affects general principles within Topic 740, Income Taxes. The amendments of ASU 2019-12 are meant to simplify and reduce the cost of accounting for income taxes. For public business entities, the amendments in this Update are effective for fiscal years, and interim periods within those fiscal years, beginning after December 15, 2020. The Company believes that the adoption of this new accounting guidance will not have a material impact on its financial statements and footnote disclosures.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Available-for-Sale-Securities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is a summary of available-for-sale securities recorded in cash and cash equivalents or marketable securities in our Consolidated Balance Sheets (in thousands):</w:t>
      </w:r>
    </w:p>
    <w:p>
      <w:pPr>
        <w:spacing w:after="0" w:line="130" w:lineRule="exact"/>
        <w:rPr>
          <w:sz w:val="20"/>
          <w:szCs w:val="20"/>
          <w:color w:val="auto"/>
        </w:rPr>
      </w:pPr>
    </w:p>
    <w:tbl>
      <w:tblPr>
        <w:tblLayout w:type="fixed"/>
        <w:tblInd w:w="1060" w:type="dxa"/>
        <w:tblCellMar>
          <w:top w:w="0" w:type="dxa"/>
          <w:left w:w="0" w:type="dxa"/>
          <w:bottom w:w="0" w:type="dxa"/>
          <w:right w:w="0" w:type="dxa"/>
        </w:tblCellMar>
      </w:tblPr>
      <w:tr>
        <w:trPr>
          <w:trHeight w:val="213"/>
        </w:trPr>
        <w:tc>
          <w:tcPr>
            <w:tcW w:w="1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September 30, 2020</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0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Gross</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Cost</w:t>
            </w:r>
          </w:p>
        </w:tc>
        <w:tc>
          <w:tcPr>
            <w:tcW w:w="1020" w:type="dxa"/>
            <w:vAlign w:val="bottom"/>
            <w:gridSpan w:val="3"/>
          </w:tcPr>
          <w:p>
            <w:pPr>
              <w:ind w:left="80"/>
              <w:spacing w:after="0" w:line="162" w:lineRule="exact"/>
              <w:rPr>
                <w:sz w:val="20"/>
                <w:szCs w:val="20"/>
                <w:color w:val="auto"/>
              </w:rPr>
            </w:pPr>
            <w:r>
              <w:rPr>
                <w:rFonts w:ascii="Arial" w:cs="Arial" w:eastAsia="Arial" w:hAnsi="Arial"/>
                <w:sz w:val="16"/>
                <w:szCs w:val="16"/>
                <w:b w:val="1"/>
                <w:bCs w:val="1"/>
                <w:color w:val="auto"/>
              </w:rPr>
              <w:t>Unrealized</w:t>
            </w:r>
          </w:p>
        </w:tc>
        <w:tc>
          <w:tcPr>
            <w:tcW w:w="1020" w:type="dxa"/>
            <w:vAlign w:val="bottom"/>
            <w:gridSpan w:val="3"/>
          </w:tcPr>
          <w:p>
            <w:pPr>
              <w:jc w:val="right"/>
              <w:ind w:right="200"/>
              <w:spacing w:after="0" w:line="162" w:lineRule="exact"/>
              <w:rPr>
                <w:sz w:val="20"/>
                <w:szCs w:val="20"/>
                <w:color w:val="auto"/>
              </w:rPr>
            </w:pPr>
            <w:r>
              <w:rPr>
                <w:rFonts w:ascii="Arial" w:cs="Arial" w:eastAsia="Arial" w:hAnsi="Arial"/>
                <w:sz w:val="16"/>
                <w:szCs w:val="16"/>
                <w:b w:val="1"/>
                <w:bCs w:val="1"/>
                <w:color w:val="auto"/>
                <w:w w:val="98"/>
              </w:rPr>
              <w:t>Unrealized</w:t>
            </w:r>
          </w:p>
        </w:tc>
        <w:tc>
          <w:tcPr>
            <w:tcW w:w="10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Cost</w:t>
            </w:r>
          </w:p>
        </w:tc>
        <w:tc>
          <w:tcPr>
            <w:tcW w:w="1040" w:type="dxa"/>
            <w:vAlign w:val="bottom"/>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Unrealized</w:t>
            </w:r>
          </w:p>
        </w:tc>
        <w:tc>
          <w:tcPr>
            <w:tcW w:w="1040" w:type="dxa"/>
            <w:vAlign w:val="bottom"/>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Unrealized</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1000" w:type="dxa"/>
            <w:vAlign w:val="bottom"/>
            <w:gridSpan w:val="3"/>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Gains</w:t>
            </w:r>
          </w:p>
        </w:tc>
        <w:tc>
          <w:tcPr>
            <w:tcW w:w="16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Losses</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68"/>
        </w:trPr>
        <w:tc>
          <w:tcPr>
            <w:tcW w:w="12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Corporate debt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13,506</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13,495</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11,673</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11,675</w:t>
            </w:r>
          </w:p>
        </w:tc>
        <w:tc>
          <w:tcPr>
            <w:tcW w:w="0" w:type="dxa"/>
            <w:vAlign w:val="bottom"/>
          </w:tcPr>
          <w:p>
            <w:pPr>
              <w:spacing w:after="0"/>
              <w:rPr>
                <w:sz w:val="1"/>
                <w:szCs w:val="1"/>
                <w:color w:val="auto"/>
              </w:rPr>
            </w:pPr>
          </w:p>
        </w:tc>
      </w:tr>
      <w:tr>
        <w:trPr>
          <w:trHeight w:val="212"/>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18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240" w:type="dxa"/>
            <w:vAlign w:val="bottom"/>
          </w:tcPr>
          <w:p>
            <w:pPr>
              <w:ind w:left="20"/>
              <w:spacing w:after="0" w:line="166" w:lineRule="exact"/>
              <w:rPr>
                <w:sz w:val="20"/>
                <w:szCs w:val="20"/>
                <w:color w:val="auto"/>
              </w:rPr>
            </w:pPr>
            <w:r>
              <w:rPr>
                <w:rFonts w:ascii="Arial" w:cs="Arial" w:eastAsia="Arial" w:hAnsi="Arial"/>
                <w:sz w:val="16"/>
                <w:szCs w:val="16"/>
                <w:color w:val="auto"/>
              </w:rPr>
              <w:t>Money market</w:t>
            </w: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15,481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15,481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11,093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11,093</w:t>
            </w: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6"/>
                <w:szCs w:val="16"/>
                <w:color w:val="auto"/>
              </w:rPr>
              <w:t>funds</w:t>
            </w: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Municipal debt</w:t>
            </w: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8,613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8,612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240" w:type="dxa"/>
            <w:vAlign w:val="bottom"/>
          </w:tcPr>
          <w:p>
            <w:pPr>
              <w:ind w:left="20"/>
              <w:spacing w:after="0" w:line="166" w:lineRule="exact"/>
              <w:rPr>
                <w:sz w:val="20"/>
                <w:szCs w:val="20"/>
                <w:color w:val="auto"/>
              </w:rPr>
            </w:pPr>
            <w:r>
              <w:rPr>
                <w:rFonts w:ascii="Arial" w:cs="Arial" w:eastAsia="Arial" w:hAnsi="Arial"/>
                <w:sz w:val="16"/>
                <w:szCs w:val="16"/>
                <w:color w:val="auto"/>
              </w:rPr>
              <w:t>Sovereign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line="162" w:lineRule="exact"/>
              <w:rPr>
                <w:sz w:val="20"/>
                <w:szCs w:val="20"/>
                <w:color w:val="auto"/>
              </w:rPr>
            </w:pPr>
            <w:r>
              <w:rPr>
                <w:rFonts w:ascii="Arial" w:cs="Arial" w:eastAsia="Arial" w:hAnsi="Arial"/>
                <w:sz w:val="16"/>
                <w:szCs w:val="16"/>
                <w:color w:val="auto"/>
              </w:rPr>
              <w:t>government</w:t>
            </w: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ind w:left="4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ind w:left="50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securities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37,796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22,768</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Estimated fair values of available-for-sale securities are generally based on prices obtained from commercial pricing services. The following table summarizes the classification of the available-for-sale securities in our Consolidated Balance Sheets (in thousands):</w:t>
      </w:r>
    </w:p>
    <w:p>
      <w:pPr>
        <w:spacing w:after="0" w:line="108"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5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6"/>
                <w:szCs w:val="16"/>
                <w:color w:val="auto"/>
              </w:rPr>
            </w:pPr>
          </w:p>
        </w:tc>
        <w:tc>
          <w:tcPr>
            <w:tcW w:w="128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December 31, 2019</w:t>
            </w:r>
          </w:p>
        </w:tc>
      </w:tr>
      <w:tr>
        <w:trPr>
          <w:trHeight w:val="256"/>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8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18,671</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w:t>
            </w:r>
          </w:p>
        </w:tc>
      </w:tr>
      <w:tr>
        <w:trPr>
          <w:trHeight w:val="27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Marketable securities</w:t>
            </w: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11,125</w:t>
            </w:r>
          </w:p>
        </w:tc>
      </w:tr>
      <w:tr>
        <w:trPr>
          <w:trHeight w:val="248"/>
        </w:trPr>
        <w:tc>
          <w:tcPr>
            <w:tcW w:w="6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portfolio of available-for-sale securities by contractual maturity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September 30, 2020</w:t>
            </w:r>
          </w:p>
        </w:tc>
        <w:tc>
          <w:tcPr>
            <w:tcW w:w="720" w:type="dxa"/>
            <w:vAlign w:val="bottom"/>
            <w:tcBorders>
              <w:bottom w:val="single" w:sz="8" w:color="auto"/>
            </w:tcBorders>
          </w:tcPr>
          <w:p>
            <w:pPr>
              <w:spacing w:after="0"/>
              <w:rPr>
                <w:sz w:val="16"/>
                <w:szCs w:val="16"/>
                <w:color w:val="auto"/>
              </w:rPr>
            </w:pPr>
          </w:p>
        </w:tc>
      </w:tr>
      <w:tr>
        <w:trPr>
          <w:trHeight w:val="358"/>
        </w:trPr>
        <w:tc>
          <w:tcPr>
            <w:tcW w:w="6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Estimated Fair Value</w:t>
            </w:r>
          </w:p>
        </w:tc>
      </w:tr>
      <w:tr>
        <w:trPr>
          <w:trHeight w:val="256"/>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37,796</w:t>
            </w: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37,784</w:t>
            </w:r>
          </w:p>
        </w:tc>
      </w:tr>
      <w:tr>
        <w:trPr>
          <w:trHeight w:val="270"/>
        </w:trPr>
        <w:tc>
          <w:tcPr>
            <w:tcW w:w="6260" w:type="dxa"/>
            <w:vAlign w:val="bottom"/>
          </w:tcPr>
          <w:p>
            <w:pPr>
              <w:ind w:left="20"/>
              <w:spacing w:after="0"/>
              <w:rPr>
                <w:sz w:val="20"/>
                <w:szCs w:val="20"/>
                <w:color w:val="auto"/>
              </w:rPr>
            </w:pPr>
            <w:r>
              <w:rPr>
                <w:rFonts w:ascii="Arial" w:cs="Arial" w:eastAsia="Arial" w:hAnsi="Arial"/>
                <w:sz w:val="18"/>
                <w:szCs w:val="18"/>
                <w:color w:val="auto"/>
              </w:rPr>
              <w:t>Greater than one year</w:t>
            </w:r>
          </w:p>
        </w:tc>
        <w:tc>
          <w:tcPr>
            <w:tcW w:w="16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Income (Loss) Per Share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and nine months ended September 30, 2020 and 2019, the Company incurred net losses and therefore no common stock equivalents were utilized in the calculation of diluted loss per share as they are anti-dilutive. At September 30, 2020 and 2019, the Company excluded the following potentially dilutive securities (in thousands):</w:t>
      </w:r>
    </w:p>
    <w:p>
      <w:pPr>
        <w:spacing w:after="0" w:line="135"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23495</wp:posOffset>
            </wp:positionV>
            <wp:extent cx="2314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right"/>
              <w:ind w:right="675"/>
              <w:spacing w:after="0"/>
              <w:rPr>
                <w:sz w:val="20"/>
                <w:szCs w:val="20"/>
                <w:color w:val="auto"/>
              </w:rPr>
            </w:pPr>
            <w:r>
              <w:rPr>
                <w:rFonts w:ascii="Arial" w:cs="Arial" w:eastAsia="Arial" w:hAnsi="Arial"/>
                <w:sz w:val="14"/>
                <w:szCs w:val="14"/>
                <w:b w:val="1"/>
                <w:bCs w:val="1"/>
                <w:color w:val="auto"/>
              </w:rPr>
              <w:t>2019</w:t>
            </w:r>
          </w:p>
        </w:tc>
      </w:tr>
      <w:tr>
        <w:trPr>
          <w:trHeight w:val="229"/>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600" w:type="dxa"/>
            <w:vAlign w:val="bottom"/>
          </w:tcPr>
          <w:p>
            <w:pPr>
              <w:jc w:val="right"/>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Fair Value Measurements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Level 1 inputs are defined as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2 inputs are defined as inputs other than quoted prices included within Level 1 that are observable for the assets or liabilities, either directly or indirectly.</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as of September 30, 2020, and December 31, 2019 (in thousands).</w:t>
      </w:r>
    </w:p>
    <w:p>
      <w:pPr>
        <w:spacing w:after="0" w:line="162"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1"/>
                <w:szCs w:val="21"/>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1"/>
                <w:szCs w:val="21"/>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1"/>
                <w:szCs w:val="21"/>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1"/>
                <w:szCs w:val="21"/>
                <w:color w:val="auto"/>
              </w:rPr>
            </w:pPr>
          </w:p>
        </w:tc>
        <w:tc>
          <w:tcPr>
            <w:tcW w:w="680" w:type="dxa"/>
            <w:vAlign w:val="bottom"/>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760" w:type="dxa"/>
            <w:vAlign w:val="bottom"/>
          </w:tcPr>
          <w:p>
            <w:pPr>
              <w:ind w:left="20"/>
              <w:spacing w:after="0"/>
              <w:rPr>
                <w:sz w:val="20"/>
                <w:szCs w:val="20"/>
                <w:color w:val="auto"/>
              </w:rPr>
            </w:pPr>
            <w:r>
              <w:rPr>
                <w:rFonts w:ascii="Arial" w:cs="Arial" w:eastAsia="Arial" w:hAnsi="Arial"/>
                <w:sz w:val="16"/>
                <w:szCs w:val="16"/>
                <w:color w:val="auto"/>
              </w:rPr>
              <w:t>Marketable securities -</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ind w:left="180"/>
              <w:spacing w:after="0"/>
              <w:rPr>
                <w:sz w:val="20"/>
                <w:szCs w:val="20"/>
                <w:color w:val="auto"/>
              </w:rPr>
            </w:pPr>
            <w:r>
              <w:rPr>
                <w:rFonts w:ascii="Arial" w:cs="Arial" w:eastAsia="Arial" w:hAnsi="Arial"/>
                <w:sz w:val="16"/>
                <w:szCs w:val="16"/>
                <w:color w:val="auto"/>
              </w:rPr>
              <w:t>19,113</w:t>
            </w:r>
          </w:p>
        </w:tc>
        <w:tc>
          <w:tcPr>
            <w:tcW w:w="14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ind w:right="2"/>
              <w:spacing w:after="0"/>
              <w:rPr>
                <w:sz w:val="20"/>
                <w:szCs w:val="20"/>
                <w:color w:val="auto"/>
              </w:rPr>
            </w:pPr>
            <w:r>
              <w:rPr>
                <w:rFonts w:ascii="Arial" w:cs="Arial" w:eastAsia="Arial" w:hAnsi="Arial"/>
                <w:sz w:val="16"/>
                <w:szCs w:val="16"/>
                <w:color w:val="auto"/>
              </w:rPr>
              <w:t>19,113</w:t>
            </w:r>
          </w:p>
        </w:tc>
        <w:tc>
          <w:tcPr>
            <w:tcW w:w="2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ind w:right="24"/>
              <w:spacing w:after="0"/>
              <w:rPr>
                <w:sz w:val="20"/>
                <w:szCs w:val="20"/>
                <w:color w:val="auto"/>
              </w:rPr>
            </w:pPr>
            <w:r>
              <w:rPr>
                <w:rFonts w:ascii="Arial" w:cs="Arial" w:eastAsia="Arial" w:hAnsi="Arial"/>
                <w:sz w:val="16"/>
                <w:szCs w:val="16"/>
                <w:color w:val="auto"/>
              </w:rPr>
              <w:t>11,125</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17"/>
                <w:szCs w:val="17"/>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ind w:right="2"/>
              <w:spacing w:after="0"/>
              <w:rPr>
                <w:sz w:val="20"/>
                <w:szCs w:val="20"/>
                <w:color w:val="auto"/>
              </w:rPr>
            </w:pPr>
            <w:r>
              <w:rPr>
                <w:rFonts w:ascii="Arial" w:cs="Arial" w:eastAsia="Arial" w:hAnsi="Arial"/>
                <w:sz w:val="16"/>
                <w:szCs w:val="16"/>
                <w:color w:val="auto"/>
              </w:rPr>
              <w:t>11,125</w:t>
            </w:r>
          </w:p>
        </w:tc>
        <w:tc>
          <w:tcPr>
            <w:tcW w:w="0" w:type="dxa"/>
            <w:vAlign w:val="bottom"/>
          </w:tcPr>
          <w:p>
            <w:pPr>
              <w:spacing w:after="0"/>
              <w:rPr>
                <w:sz w:val="1"/>
                <w:szCs w:val="1"/>
                <w:color w:val="auto"/>
              </w:rPr>
            </w:pPr>
          </w:p>
        </w:tc>
      </w:tr>
      <w:tr>
        <w:trPr>
          <w:trHeight w:val="209"/>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available for sale</w:t>
            </w:r>
          </w:p>
        </w:tc>
        <w:tc>
          <w:tcPr>
            <w:tcW w:w="1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19,113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19,113</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11,125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11,125</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Accrued Liabilities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as of September 30, 2020 and December 31, 2019 were as follows (in thousands):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 2019</w:t>
            </w:r>
          </w:p>
        </w:tc>
      </w:tr>
      <w:tr>
        <w:trPr>
          <w:trHeight w:val="256"/>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employee benefits and related taxes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1,834</w:t>
            </w:r>
          </w:p>
        </w:tc>
      </w:tr>
      <w:tr>
        <w:trPr>
          <w:trHeight w:val="270"/>
        </w:trPr>
        <w:tc>
          <w:tcPr>
            <w:tcW w:w="546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354</w:t>
            </w:r>
          </w:p>
        </w:tc>
      </w:tr>
      <w:tr>
        <w:trPr>
          <w:trHeight w:val="27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CIRM upfront funding -- current</w:t>
            </w:r>
          </w:p>
        </w:tc>
        <w:tc>
          <w:tcPr>
            <w:tcW w:w="20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1,600</w:t>
            </w:r>
          </w:p>
        </w:tc>
      </w:tr>
      <w:tr>
        <w:trPr>
          <w:trHeight w:val="27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698</w:t>
            </w: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4,486</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Operating Leases</w:t>
      </w:r>
    </w:p>
    <w:p>
      <w:pPr>
        <w:spacing w:after="0" w:line="256" w:lineRule="exact"/>
        <w:rPr>
          <w:sz w:val="20"/>
          <w:szCs w:val="20"/>
          <w:color w:val="auto"/>
        </w:rPr>
      </w:pPr>
    </w:p>
    <w:p>
      <w:pPr>
        <w:jc w:val="both"/>
        <w:ind w:firstLine="215"/>
        <w:spacing w:after="0" w:line="259" w:lineRule="auto"/>
        <w:rPr>
          <w:sz w:val="20"/>
          <w:szCs w:val="20"/>
          <w:color w:val="auto"/>
        </w:rPr>
      </w:pPr>
      <w:r>
        <w:rPr>
          <w:rFonts w:ascii="Arial" w:cs="Arial" w:eastAsia="Arial" w:hAnsi="Arial"/>
          <w:sz w:val="18"/>
          <w:szCs w:val="18"/>
          <w:color w:val="auto"/>
        </w:rPr>
        <w:t>The Company has operating leases for two offices with terms that expire in 2022 and 2023. The Company estimates its incremental borrowing rate, at lease commencement, to determine the present value of lease payments, since most of the Company's leases do not provide an implicit rate of return. The Company recognizes lease expense on a straight-line basis over the lease term. For lease agreements entered into or reassessed after the adoption of Topic 842, the Company elected to account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non-lease components associated with its leases and lease components as a single lease component. Each of the Company's leases include options for the Company to extend the lease term and/or sub-lease space in whole or in part.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Operating lease liabilities and right-of-use assets were recorded in the following captions of our balance sheet were as follows (in thousands):</w:t>
      </w:r>
    </w:p>
    <w:p>
      <w:pPr>
        <w:spacing w:after="0" w:line="215"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2019</w:t>
            </w:r>
          </w:p>
        </w:tc>
      </w:tr>
      <w:tr>
        <w:trPr>
          <w:trHeight w:val="243"/>
        </w:trPr>
        <w:tc>
          <w:tcPr>
            <w:tcW w:w="568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Right-of Use Assets:</w:t>
            </w:r>
          </w:p>
        </w:tc>
        <w:tc>
          <w:tcPr>
            <w:tcW w:w="160" w:type="dxa"/>
            <w:vAlign w:val="bottom"/>
            <w:tcBorders>
              <w:top w:val="single" w:sz="8" w:color="auto"/>
            </w:tcBorders>
            <w:shd w:val="clear" w:color="auto" w:fill="BFE4FF"/>
          </w:tcPr>
          <w:p>
            <w:pPr>
              <w:spacing w:after="0"/>
              <w:rPr>
                <w:sz w:val="21"/>
                <w:szCs w:val="21"/>
                <w:color w:val="auto"/>
              </w:rPr>
            </w:pPr>
          </w:p>
        </w:tc>
        <w:tc>
          <w:tcPr>
            <w:tcW w:w="1540" w:type="dxa"/>
            <w:vAlign w:val="bottom"/>
            <w:tcBorders>
              <w:top w:val="single" w:sz="8" w:color="auto"/>
            </w:tcBorders>
            <w:shd w:val="clear" w:color="auto" w:fill="BFE4FF"/>
          </w:tcPr>
          <w:p>
            <w:pPr>
              <w:spacing w:after="0"/>
              <w:rPr>
                <w:sz w:val="21"/>
                <w:szCs w:val="21"/>
                <w:color w:val="auto"/>
              </w:rPr>
            </w:pPr>
          </w:p>
        </w:tc>
        <w:tc>
          <w:tcPr>
            <w:tcW w:w="120" w:type="dxa"/>
            <w:vAlign w:val="bottom"/>
            <w:tcBorders>
              <w:top w:val="single" w:sz="8" w:color="BFE4FF"/>
            </w:tcBorders>
            <w:shd w:val="clear" w:color="auto" w:fill="BFE4FF"/>
          </w:tcPr>
          <w:p>
            <w:pPr>
              <w:spacing w:after="0"/>
              <w:rPr>
                <w:sz w:val="21"/>
                <w:szCs w:val="21"/>
                <w:color w:val="auto"/>
              </w:rPr>
            </w:pPr>
          </w:p>
        </w:tc>
        <w:tc>
          <w:tcPr>
            <w:tcW w:w="200" w:type="dxa"/>
            <w:vAlign w:val="bottom"/>
            <w:tcBorders>
              <w:top w:val="single" w:sz="8" w:color="auto"/>
            </w:tcBorders>
            <w:shd w:val="clear" w:color="auto" w:fill="BFE4FF"/>
          </w:tcPr>
          <w:p>
            <w:pPr>
              <w:spacing w:after="0"/>
              <w:rPr>
                <w:sz w:val="21"/>
                <w:szCs w:val="21"/>
                <w:color w:val="auto"/>
              </w:rPr>
            </w:pPr>
          </w:p>
        </w:tc>
        <w:tc>
          <w:tcPr>
            <w:tcW w:w="1500" w:type="dxa"/>
            <w:vAlign w:val="bottom"/>
            <w:tcBorders>
              <w:top w:val="single" w:sz="8" w:color="auto"/>
            </w:tcBorders>
            <w:shd w:val="clear" w:color="auto" w:fill="BFE4FF"/>
          </w:tcPr>
          <w:p>
            <w:pPr>
              <w:spacing w:after="0"/>
              <w:rPr>
                <w:sz w:val="21"/>
                <w:szCs w:val="21"/>
                <w:color w:val="auto"/>
              </w:rPr>
            </w:pPr>
          </w:p>
        </w:tc>
      </w:tr>
      <w:tr>
        <w:trPr>
          <w:trHeight w:val="257"/>
        </w:trPr>
        <w:tc>
          <w:tcPr>
            <w:tcW w:w="56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BFE4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r>
      <w:tr>
        <w:trPr>
          <w:trHeight w:val="248"/>
        </w:trPr>
        <w:tc>
          <w:tcPr>
            <w:tcW w:w="56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Right-of-Use Asset</w:t>
            </w: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BFE4FF"/>
          </w:tcPr>
          <w:p>
            <w:pPr>
              <w:jc w:val="right"/>
              <w:ind w:right="13"/>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906</w:t>
            </w:r>
          </w:p>
        </w:tc>
      </w:tr>
      <w:tr>
        <w:trPr>
          <w:trHeight w:val="20"/>
        </w:trPr>
        <w:tc>
          <w:tcPr>
            <w:tcW w:w="568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5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1500" w:type="dxa"/>
            <w:vAlign w:val="bottom"/>
            <w:tcBorders>
              <w:top w:val="single" w:sz="8" w:color="BFE4FF"/>
              <w:bottom w:val="single" w:sz="8" w:color="auto"/>
            </w:tcBorders>
          </w:tcPr>
          <w:p>
            <w:pPr>
              <w:spacing w:after="0" w:line="20" w:lineRule="exact"/>
              <w:rPr>
                <w:sz w:val="1"/>
                <w:szCs w:val="1"/>
                <w:color w:val="auto"/>
              </w:rPr>
            </w:pPr>
          </w:p>
        </w:tc>
      </w:tr>
      <w:tr>
        <w:trPr>
          <w:trHeight w:val="203"/>
        </w:trPr>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57"/>
        </w:trPr>
        <w:tc>
          <w:tcPr>
            <w:tcW w:w="5680" w:type="dxa"/>
            <w:vAlign w:val="bottom"/>
            <w:shd w:val="clear" w:color="auto" w:fill="BFE4FF"/>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BFE4FF"/>
          </w:tcPr>
          <w:p>
            <w:pPr>
              <w:spacing w:after="0"/>
              <w:rPr>
                <w:sz w:val="22"/>
                <w:szCs w:val="22"/>
                <w:color w:val="auto"/>
              </w:rPr>
            </w:pPr>
          </w:p>
        </w:tc>
        <w:tc>
          <w:tcPr>
            <w:tcW w:w="154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200" w:type="dxa"/>
            <w:vAlign w:val="bottom"/>
            <w:shd w:val="clear" w:color="auto" w:fill="BFE4FF"/>
          </w:tcPr>
          <w:p>
            <w:pPr>
              <w:spacing w:after="0"/>
              <w:rPr>
                <w:sz w:val="22"/>
                <w:szCs w:val="22"/>
                <w:color w:val="auto"/>
              </w:rPr>
            </w:pPr>
          </w:p>
        </w:tc>
        <w:tc>
          <w:tcPr>
            <w:tcW w:w="1500" w:type="dxa"/>
            <w:vAlign w:val="bottom"/>
            <w:shd w:val="clear" w:color="auto" w:fill="BFE4FF"/>
          </w:tcPr>
          <w:p>
            <w:pPr>
              <w:spacing w:after="0"/>
              <w:rPr>
                <w:sz w:val="22"/>
                <w:szCs w:val="22"/>
                <w:color w:val="auto"/>
              </w:rPr>
            </w:pPr>
          </w:p>
        </w:tc>
      </w:tr>
      <w:tr>
        <w:trPr>
          <w:trHeight w:val="257"/>
        </w:trPr>
        <w:tc>
          <w:tcPr>
            <w:tcW w:w="56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57"/>
        </w:trPr>
        <w:tc>
          <w:tcPr>
            <w:tcW w:w="5680" w:type="dxa"/>
            <w:vAlign w:val="bottom"/>
            <w:shd w:val="clear" w:color="auto" w:fill="BFE4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BFE4FF"/>
          </w:tcPr>
          <w:p>
            <w:pPr>
              <w:spacing w:after="0"/>
              <w:rPr>
                <w:sz w:val="22"/>
                <w:szCs w:val="22"/>
                <w:color w:val="auto"/>
              </w:rPr>
            </w:pPr>
          </w:p>
        </w:tc>
        <w:tc>
          <w:tcPr>
            <w:tcW w:w="1540" w:type="dxa"/>
            <w:vAlign w:val="bottom"/>
            <w:tcBorders>
              <w:bottom w:val="single" w:sz="8" w:color="auto"/>
            </w:tcBorders>
            <w:shd w:val="clear" w:color="auto" w:fill="BFE4FF"/>
          </w:tcPr>
          <w:p>
            <w:pPr>
              <w:jc w:val="right"/>
              <w:ind w:right="13"/>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BFE4FF"/>
          </w:tcPr>
          <w:p>
            <w:pPr>
              <w:spacing w:after="0"/>
              <w:rPr>
                <w:sz w:val="22"/>
                <w:szCs w:val="22"/>
                <w:color w:val="auto"/>
              </w:rPr>
            </w:pPr>
          </w:p>
        </w:tc>
        <w:tc>
          <w:tcPr>
            <w:tcW w:w="200" w:type="dxa"/>
            <w:vAlign w:val="bottom"/>
            <w:tcBorders>
              <w:bottom w:val="single" w:sz="8" w:color="auto"/>
            </w:tcBorders>
            <w:shd w:val="clear" w:color="auto" w:fill="BFE4FF"/>
          </w:tcPr>
          <w:p>
            <w:pPr>
              <w:spacing w:after="0"/>
              <w:rPr>
                <w:sz w:val="22"/>
                <w:szCs w:val="22"/>
                <w:color w:val="auto"/>
              </w:rPr>
            </w:pPr>
          </w:p>
        </w:tc>
        <w:tc>
          <w:tcPr>
            <w:tcW w:w="15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624</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r>
      <w:tr>
        <w:trPr>
          <w:trHeight w:val="21"/>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184"/>
        <w:spacing w:after="0" w:line="342" w:lineRule="auto"/>
        <w:rPr>
          <w:sz w:val="20"/>
          <w:szCs w:val="20"/>
          <w:color w:val="auto"/>
        </w:rPr>
      </w:pPr>
      <w:r>
        <w:rPr>
          <w:rFonts w:ascii="Arial" w:cs="Arial" w:eastAsia="Arial" w:hAnsi="Arial"/>
          <w:sz w:val="16"/>
          <w:szCs w:val="16"/>
          <w:color w:val="auto"/>
        </w:rPr>
        <w:t>As of September 30, 2020, the weighted average remaining lease term for our operating leases was 2.1 years, and the weighted average discount rate for our operating leases was 9.625%. Future minimum lease payments under the lease agreements as of September 30, 2020 were as follows (in thousands):</w:t>
      </w:r>
    </w:p>
    <w:p>
      <w:pPr>
        <w:spacing w:after="0" w:line="246" w:lineRule="exact"/>
        <w:rPr>
          <w:sz w:val="20"/>
          <w:szCs w:val="20"/>
          <w:color w:val="auto"/>
        </w:rPr>
      </w:pPr>
    </w:p>
    <w:tbl>
      <w:tblPr>
        <w:tblLayout w:type="fixed"/>
        <w:tblInd w:w="1020" w:type="dxa"/>
        <w:tblCellMar>
          <w:top w:w="0" w:type="dxa"/>
          <w:left w:w="0" w:type="dxa"/>
          <w:bottom w:w="0" w:type="dxa"/>
          <w:right w:w="0" w:type="dxa"/>
        </w:tblCellMar>
      </w:tblPr>
      <w:tr>
        <w:trPr>
          <w:trHeight w:val="213"/>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Years ended</w:t>
            </w: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Operating Leases</w:t>
            </w:r>
          </w:p>
        </w:tc>
      </w:tr>
      <w:tr>
        <w:trPr>
          <w:trHeight w:val="239"/>
        </w:trPr>
        <w:tc>
          <w:tcPr>
            <w:tcW w:w="796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2020</w:t>
            </w:r>
          </w:p>
        </w:tc>
        <w:tc>
          <w:tcPr>
            <w:tcW w:w="500" w:type="dxa"/>
            <w:vAlign w:val="bottom"/>
            <w:shd w:val="clear" w:color="auto" w:fill="BFE4FF"/>
          </w:tcPr>
          <w:p>
            <w:pPr>
              <w:spacing w:after="0"/>
              <w:rPr>
                <w:sz w:val="20"/>
                <w:szCs w:val="20"/>
                <w:color w:val="auto"/>
              </w:rPr>
            </w:pPr>
          </w:p>
        </w:tc>
        <w:tc>
          <w:tcPr>
            <w:tcW w:w="76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103</w:t>
            </w:r>
          </w:p>
        </w:tc>
      </w:tr>
      <w:tr>
        <w:trPr>
          <w:trHeight w:val="256"/>
        </w:trPr>
        <w:tc>
          <w:tcPr>
            <w:tcW w:w="7960" w:type="dxa"/>
            <w:vAlign w:val="bottom"/>
          </w:tcPr>
          <w:p>
            <w:pPr>
              <w:ind w:left="2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57"/>
        </w:trPr>
        <w:tc>
          <w:tcPr>
            <w:tcW w:w="796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2022</w:t>
            </w:r>
          </w:p>
        </w:tc>
        <w:tc>
          <w:tcPr>
            <w:tcW w:w="500" w:type="dxa"/>
            <w:vAlign w:val="bottom"/>
            <w:shd w:val="clear" w:color="auto" w:fill="BFE4FF"/>
          </w:tcPr>
          <w:p>
            <w:pPr>
              <w:spacing w:after="0"/>
              <w:rPr>
                <w:sz w:val="22"/>
                <w:szCs w:val="22"/>
                <w:color w:val="auto"/>
              </w:rPr>
            </w:pPr>
          </w:p>
        </w:tc>
        <w:tc>
          <w:tcPr>
            <w:tcW w:w="76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239</w:t>
            </w:r>
          </w:p>
        </w:tc>
      </w:tr>
      <w:tr>
        <w:trPr>
          <w:trHeight w:val="257"/>
        </w:trPr>
        <w:tc>
          <w:tcPr>
            <w:tcW w:w="796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r>
      <w:tr>
        <w:trPr>
          <w:trHeight w:val="236"/>
        </w:trPr>
        <w:tc>
          <w:tcPr>
            <w:tcW w:w="796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 lease payments</w:t>
            </w:r>
          </w:p>
        </w:tc>
        <w:tc>
          <w:tcPr>
            <w:tcW w:w="500" w:type="dxa"/>
            <w:vAlign w:val="bottom"/>
            <w:shd w:val="clear" w:color="auto" w:fill="BFE4FF"/>
          </w:tcPr>
          <w:p>
            <w:pPr>
              <w:spacing w:after="0"/>
              <w:rPr>
                <w:sz w:val="20"/>
                <w:szCs w:val="20"/>
                <w:color w:val="auto"/>
              </w:rPr>
            </w:pPr>
          </w:p>
        </w:tc>
        <w:tc>
          <w:tcPr>
            <w:tcW w:w="76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783</w:t>
            </w:r>
          </w:p>
        </w:tc>
      </w:tr>
      <w:tr>
        <w:trPr>
          <w:trHeight w:val="257"/>
        </w:trPr>
        <w:tc>
          <w:tcPr>
            <w:tcW w:w="796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48"/>
        </w:trPr>
        <w:tc>
          <w:tcPr>
            <w:tcW w:w="7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Present value of lease liabilities</w:t>
            </w:r>
          </w:p>
        </w:tc>
        <w:tc>
          <w:tcPr>
            <w:tcW w:w="50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710</w:t>
            </w:r>
          </w:p>
        </w:tc>
      </w:tr>
      <w:tr>
        <w:trPr>
          <w:trHeight w:val="20"/>
        </w:trPr>
        <w:tc>
          <w:tcPr>
            <w:tcW w:w="796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760" w:type="dxa"/>
            <w:vAlign w:val="bottom"/>
            <w:tcBorders>
              <w:top w:val="single" w:sz="8" w:color="BFE4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Agreement</w:t>
      </w:r>
    </w:p>
    <w:p>
      <w:pPr>
        <w:spacing w:after="0" w:line="252"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8"/>
          <w:szCs w:val="18"/>
          <w:color w:val="auto"/>
        </w:rPr>
        <w:t>In March 2019, the Company and Lincoln Park Capital Fund, LLC (“Lincoln Park”) entered into a purchase agreement (the “Purchase Agreement”) and a registration rights agreement (the “Registration Rights Agreement”), pursuant to which the Company has the right to sell to Lincoln Park shares of the Company’s common stock having an aggregate value of up to $26.0 million, subject to certain limitations and conditions set forth in the Purchase Agreement (the “Offering”). As consideration for entering into the Purchase Agreement, the Company issued to Lincoln Park an additional 181,510 shares of common stock as commitment shares.</w:t>
      </w:r>
    </w:p>
    <w:p>
      <w:pPr>
        <w:spacing w:after="0" w:line="215" w:lineRule="exact"/>
        <w:rPr>
          <w:sz w:val="20"/>
          <w:szCs w:val="20"/>
          <w:color w:val="auto"/>
        </w:rPr>
      </w:pPr>
    </w:p>
    <w:p>
      <w:pPr>
        <w:jc w:val="both"/>
        <w:ind w:firstLine="211"/>
        <w:spacing w:after="0" w:line="287" w:lineRule="auto"/>
        <w:rPr>
          <w:sz w:val="20"/>
          <w:szCs w:val="20"/>
          <w:color w:val="auto"/>
        </w:rPr>
      </w:pPr>
      <w:r>
        <w:rPr>
          <w:rFonts w:ascii="Arial" w:cs="Arial" w:eastAsia="Arial" w:hAnsi="Arial"/>
          <w:sz w:val="16"/>
          <w:szCs w:val="16"/>
          <w:color w:val="auto"/>
        </w:rPr>
        <w:t>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the Company has the right, from time to time, at its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 million, unless the Company and Lincoln Park mutually agree to increase the maximum amount of such single purchase (each, a “Regular Purchase”). If the Company directs Lincoln Park to purchase the maximum number of shares of common stock it then may sell in a Regular Purchase, then in addition to such Regular Purchase, and subject to certain conditions and limitations in the Purchase Agreement, the Company may direct Lincoln Park in an “accelerated purchase” to purchase an additional amount of common stock that may not exceed the lesser of (i) 300% the number of shares purchased pursuant to the corresponding Regular Purchase or (ii) 30% of the total number of shares of the Company’s common stock traded during a specified period on the applicable purchase date as set forth in the Purchase Agreement. Under certain circumstances and in accordance with the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Purchase Agreement, the Company may direct Lincoln Park to purchase shares in multiple accelerated purchases on the same trading day.</w:t>
      </w:r>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controls the timing and amount of any sales of its common stock to Lincoln Park. There is no upper limit on the price per share that Lincoln Park must pay for its common stock under the Purchase Agreement, but in no event will shares be sold to Lincoln Park on a day the closing price is less than the floor price specified in the Purchase Agreement. In all instances, the Company may not sell shares of its common stock to Lincoln Park under the purchase agreement if it would result in Lincoln Park beneficially owning more than 9.99% of its common stock.</w:t>
      </w:r>
    </w:p>
    <w:p>
      <w:pPr>
        <w:spacing w:after="0" w:line="198" w:lineRule="exact"/>
        <w:rPr>
          <w:sz w:val="20"/>
          <w:szCs w:val="20"/>
          <w:color w:val="auto"/>
        </w:rPr>
      </w:pPr>
    </w:p>
    <w:p>
      <w:pPr>
        <w:jc w:val="both"/>
        <w:ind w:firstLine="177"/>
        <w:spacing w:after="0" w:line="259" w:lineRule="auto"/>
        <w:rPr>
          <w:sz w:val="20"/>
          <w:szCs w:val="20"/>
          <w:color w:val="auto"/>
        </w:rPr>
      </w:pPr>
      <w:r>
        <w:rPr>
          <w:rFonts w:ascii="Arial" w:cs="Arial" w:eastAsia="Arial" w:hAnsi="Arial"/>
          <w:sz w:val="18"/>
          <w:szCs w:val="18"/>
          <w:color w:val="auto"/>
        </w:rPr>
        <w:t>The Purchase Agreement does not limit the Company’s ability to raise capital from other sources at the Company’s sole discretion, except that (subject to certain exceptions) the Company may not enter into any Variable Rate Transaction (as defined in the Purchase Agreement, including the issuance of any floating conversion rate or variable priced equity-like securities) during the 36 months after the date of the Purchase Agreement. The Company has the right to terminate the Purchase Agreement at any time, at no cost to the Company.</w:t>
      </w:r>
    </w:p>
    <w:p>
      <w:pPr>
        <w:spacing w:after="0" w:line="214" w:lineRule="exact"/>
        <w:rPr>
          <w:sz w:val="20"/>
          <w:szCs w:val="20"/>
          <w:color w:val="auto"/>
        </w:rPr>
      </w:pPr>
    </w:p>
    <w:p>
      <w:pPr>
        <w:jc w:val="both"/>
        <w:ind w:firstLine="194"/>
        <w:spacing w:after="0" w:line="277" w:lineRule="auto"/>
        <w:rPr>
          <w:sz w:val="20"/>
          <w:szCs w:val="20"/>
          <w:color w:val="auto"/>
        </w:rPr>
      </w:pPr>
      <w:r>
        <w:rPr>
          <w:rFonts w:ascii="Arial" w:cs="Arial" w:eastAsia="Arial" w:hAnsi="Arial"/>
          <w:sz w:val="18"/>
          <w:szCs w:val="18"/>
          <w:color w:val="auto"/>
        </w:rPr>
        <w:t>As of September 30, 2020, the Company had not made any sales of common stock to Lincoln Park under the Purchase Agreement other than the Initial Purchase.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Sales Agreement</w:t>
      </w:r>
    </w:p>
    <w:p>
      <w:pPr>
        <w:spacing w:after="0" w:line="252" w:lineRule="exact"/>
        <w:rPr>
          <w:sz w:val="20"/>
          <w:szCs w:val="20"/>
          <w:color w:val="auto"/>
        </w:rPr>
      </w:pPr>
    </w:p>
    <w:p>
      <w:pPr>
        <w:jc w:val="both"/>
        <w:ind w:firstLine="220"/>
        <w:spacing w:after="0" w:line="271" w:lineRule="auto"/>
        <w:rPr>
          <w:sz w:val="20"/>
          <w:szCs w:val="20"/>
          <w:color w:val="auto"/>
        </w:rPr>
      </w:pPr>
      <w:r>
        <w:rPr>
          <w:rFonts w:ascii="Arial" w:cs="Arial" w:eastAsia="Arial" w:hAnsi="Arial"/>
          <w:sz w:val="17"/>
          <w:szCs w:val="17"/>
          <w:color w:val="auto"/>
        </w:rPr>
        <w:t>In February 2018, the Company entered into a common stock sales agreement with H.C. Wainwright &amp; Co., LLC ("HCW") as sales agent, which was subsequently amended in August 2018 (the "Sales Agreement"), in connection with an “at the market offering” under which the Company from time to time may offer and sell shares of its common stock having an aggregate offering price of not more than $25.0 million. In March 2019, subsequent to the filing of our Annual Report on Form 10-K for the fiscal year ended December 31, 2018 (the "2018 Form 10-K"), the aggregate market value of our outstanding common stock held by non-affiliates was approximately $52.8 million. Pursuant to General Instruction I.B.6 of Form S-3, since the aggregate market value of our outstanding common stock held by non-affiliates was below $75.0 million at the time of our 2018 Form 10-K filing, the aggregate amount of securities that we were permitted to offer and sell at such time was reduced to $17.6 million, which was equal to one-third of the aggregate market value of our common stock held by non-affiliates at such time.</w:t>
      </w:r>
    </w:p>
    <w:p>
      <w:pPr>
        <w:spacing w:after="0" w:line="205"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Subject to the terms and conditions of the Sales Agreement, HCW will use its commercially reasonable efforts consistent with its normal trading and sales practices to sell the shares from time to time, based upon the Company's instructions, including any price, time or size limits specified by the Company. The Company has provided HCW with customary indemnification rights, and HCW will be entitled to a commission at a fixed commission rate equal to 3.0% of the gross proceeds per share sold. The Company has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w:t>
      </w:r>
    </w:p>
    <w:p>
      <w:pPr>
        <w:spacing w:after="0" w:line="205" w:lineRule="exact"/>
        <w:rPr>
          <w:sz w:val="20"/>
          <w:szCs w:val="20"/>
          <w:color w:val="auto"/>
        </w:rPr>
      </w:pPr>
    </w:p>
    <w:p>
      <w:pPr>
        <w:jc w:val="both"/>
        <w:ind w:firstLine="192"/>
        <w:spacing w:after="0" w:line="263" w:lineRule="auto"/>
        <w:rPr>
          <w:sz w:val="20"/>
          <w:szCs w:val="20"/>
          <w:color w:val="auto"/>
        </w:rPr>
      </w:pPr>
      <w:r>
        <w:rPr>
          <w:rFonts w:ascii="Arial" w:cs="Arial" w:eastAsia="Arial" w:hAnsi="Arial"/>
          <w:sz w:val="18"/>
          <w:szCs w:val="18"/>
          <w:color w:val="auto"/>
        </w:rPr>
        <w:t>During the nine months ended September 30, 2020, the Company issued 3,558,778 shares of common stock under the Sales Agreement for net proceeds of $8.5 million. As of September 30, 2020, the Company has issued 3,784,912 shares of common stock under the Sales Agreement for net proceeds of $9.5 million since inception.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Registered Direct Offerings</w:t>
      </w:r>
    </w:p>
    <w:p>
      <w:pPr>
        <w:spacing w:after="0" w:line="252" w:lineRule="exact"/>
        <w:rPr>
          <w:sz w:val="20"/>
          <w:szCs w:val="20"/>
          <w:color w:val="auto"/>
        </w:rPr>
      </w:pPr>
    </w:p>
    <w:p>
      <w:pPr>
        <w:jc w:val="both"/>
        <w:ind w:firstLine="328"/>
        <w:spacing w:after="0" w:line="293" w:lineRule="auto"/>
        <w:rPr>
          <w:sz w:val="20"/>
          <w:szCs w:val="20"/>
          <w:color w:val="auto"/>
        </w:rPr>
      </w:pPr>
      <w:r>
        <w:rPr>
          <w:rFonts w:ascii="Arial" w:cs="Arial" w:eastAsia="Arial" w:hAnsi="Arial"/>
          <w:sz w:val="16"/>
          <w:szCs w:val="16"/>
          <w:color w:val="auto"/>
        </w:rPr>
        <w:t>In April 2020, the Company entered into a securities purchase agreement (the “April Purchase Agreement”) with certain investors (the “April Purchasers”). Pursuant to the terms of the April Purchase Agreement, the Company agreed to sell to the Purchasers an aggregate of 2,162,166 shares of its common stock at a purchase price equal to $2.3125 per share. In a concurrent private placement, the Company issued to the April Purchasers warrants to purchase an aggregate of 1,081,083 shares of its common stock. In connection with the registered direct offering and concurrent private placement, the Company received gross proceeds of $5.0 million. Each warrant is exercisable for one share of common stock and features an exercise price equal to $2.2500 per share. The warrants are exercisable immediately upon issuance and will expire five and one-half years from the issuance date.</w:t>
      </w:r>
    </w:p>
    <w:p>
      <w:pPr>
        <w:spacing w:after="0" w:line="191"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color w:val="auto"/>
        </w:rPr>
        <w:t>In May 2020, the Company entered into a securities purchase agreement (the “May Purchase Agreement”) with certain investors (the “May Purchasers”). Pursuant to the terms of the May Purchase Agreement, the Company agreed to sell to the May Purchasers an aggregate of 2,084,850 shares of its common stock at a purchase price equal to $2.0625 per share. In a concurrent private placement, the Company issued to the Purchasers warrants to purchase an aggregate of 1,042,425 shares of its common stock. In connection with the registered direct offering and concurrent private placement, the Company received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proceeds of $4.3 million. Each warrant is exercisable for one share of common stock and features an exercise price equal to $2.0625 per share. The warrants are exercisable immediately upon issuance and will expire five and one-half years from the issuance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Placement</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10, 2020, the Company entered into a securities purchase agreement (the “Private Placement”) with certain investors (the “Private Placement Purchasers”). Pursuant to the terms of the Private Placement, the Company agreed to sell to the Private Placement Purchasers an aggregate of 969,694 shares of its common stock at a purchase price equal to $2.0625 per share, along with warrants to purchase an aggregate of 484,847 shares of its common stock. In connection with the Private Placement, the Company received gross proceeds of $2.0 million. Each warrant is exercisable for one share of common stock and features an exercise price equal to $2.0625 per share. The warrants are exercisable immediately upon issuance and will expire five and one-half years from the issuance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for stock options and warrants for the nine months ended September 30, 2020:</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480"/>
              <w:spacing w:after="0"/>
              <w:rPr>
                <w:sz w:val="20"/>
                <w:szCs w:val="20"/>
                <w:color w:val="auto"/>
              </w:rPr>
            </w:pPr>
            <w:r>
              <w:rPr>
                <w:rFonts w:ascii="Arial" w:cs="Arial" w:eastAsia="Arial" w:hAnsi="Arial"/>
                <w:sz w:val="13"/>
                <w:szCs w:val="13"/>
                <w:color w:val="auto"/>
              </w:rPr>
              <w:t>Stock Options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680"/>
              <w:spacing w:after="0"/>
              <w:rPr>
                <w:sz w:val="20"/>
                <w:szCs w:val="20"/>
                <w:color w:val="auto"/>
              </w:rPr>
            </w:pPr>
            <w:r>
              <w:rPr>
                <w:rFonts w:ascii="Arial" w:cs="Arial" w:eastAsia="Arial" w:hAnsi="Arial"/>
                <w:sz w:val="13"/>
                <w:szCs w:val="13"/>
                <w:color w:val="auto"/>
              </w:rPr>
              <w:t>Warrants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Weighted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Weighted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3"/>
                <w:szCs w:val="13"/>
                <w:color w:val="auto"/>
                <w:w w:val="87"/>
              </w:rPr>
              <w:t>Weighted</w:t>
            </w:r>
          </w:p>
        </w:tc>
        <w:tc>
          <w:tcPr>
            <w:tcW w:w="106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Average</w:t>
            </w:r>
          </w:p>
        </w:tc>
        <w:tc>
          <w:tcPr>
            <w:tcW w:w="1140" w:type="dxa"/>
            <w:vAlign w:val="bottom"/>
            <w:gridSpan w:val="3"/>
            <w:vMerge w:val="restart"/>
          </w:tcPr>
          <w:p>
            <w:pPr>
              <w:ind w:left="20"/>
              <w:spacing w:after="0"/>
              <w:rPr>
                <w:sz w:val="20"/>
                <w:szCs w:val="20"/>
                <w:color w:val="auto"/>
              </w:rPr>
            </w:pPr>
            <w:r>
              <w:rPr>
                <w:rFonts w:ascii="Arial" w:cs="Arial" w:eastAsia="Arial" w:hAnsi="Arial"/>
                <w:sz w:val="13"/>
                <w:szCs w:val="13"/>
                <w:color w:val="auto"/>
              </w:rPr>
              <w:t>Aggregate Intrinsic</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3"/>
                <w:szCs w:val="13"/>
                <w:color w:val="auto"/>
                <w:w w:val="87"/>
              </w:rPr>
              <w:t>Weighted</w:t>
            </w:r>
          </w:p>
        </w:tc>
        <w:tc>
          <w:tcPr>
            <w:tcW w:w="106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Average</w:t>
            </w: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w w:val="90"/>
              </w:rPr>
              <w:t>Aggregate Intrinsic</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6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90"/>
              </w:rPr>
              <w:t>Remaining</w:t>
            </w:r>
          </w:p>
        </w:tc>
        <w:tc>
          <w:tcPr>
            <w:tcW w:w="114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6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86"/>
              </w:rPr>
              <w:t>Remaining</w:t>
            </w: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120" w:type="dxa"/>
            <w:vAlign w:val="bottom"/>
            <w:gridSpan w:val="2"/>
            <w:vMerge w:val="restart"/>
          </w:tcPr>
          <w:p>
            <w:pPr>
              <w:ind w:left="340"/>
              <w:spacing w:after="0"/>
              <w:rPr>
                <w:sz w:val="20"/>
                <w:szCs w:val="20"/>
                <w:color w:val="auto"/>
              </w:rPr>
            </w:pPr>
            <w:r>
              <w:rPr>
                <w:rFonts w:ascii="Arial" w:cs="Arial" w:eastAsia="Arial" w:hAnsi="Arial"/>
                <w:sz w:val="13"/>
                <w:szCs w:val="13"/>
                <w:color w:val="auto"/>
              </w:rPr>
              <w:t>Shares</w:t>
            </w:r>
          </w:p>
        </w:tc>
        <w:tc>
          <w:tcPr>
            <w:tcW w:w="1080" w:type="dxa"/>
            <w:vAlign w:val="bottom"/>
            <w:gridSpan w:val="3"/>
          </w:tcPr>
          <w:p>
            <w:pPr>
              <w:jc w:val="center"/>
              <w:ind w:right="120"/>
              <w:spacing w:after="0" w:line="122" w:lineRule="exact"/>
              <w:rPr>
                <w:sz w:val="20"/>
                <w:szCs w:val="20"/>
                <w:color w:val="auto"/>
              </w:rPr>
            </w:pPr>
            <w:r>
              <w:rPr>
                <w:rFonts w:ascii="Arial" w:cs="Arial" w:eastAsia="Arial" w:hAnsi="Arial"/>
                <w:sz w:val="13"/>
                <w:szCs w:val="13"/>
                <w:color w:val="auto"/>
                <w:w w:val="86"/>
              </w:rPr>
              <w:t>Average Exercise</w:t>
            </w:r>
          </w:p>
        </w:tc>
        <w:tc>
          <w:tcPr>
            <w:tcW w:w="106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Contractual Term</w:t>
            </w:r>
          </w:p>
        </w:tc>
        <w:tc>
          <w:tcPr>
            <w:tcW w:w="160" w:type="dxa"/>
            <w:vAlign w:val="bottom"/>
          </w:tcPr>
          <w:p>
            <w:pPr>
              <w:spacing w:after="0"/>
              <w:rPr>
                <w:sz w:val="10"/>
                <w:szCs w:val="10"/>
                <w:color w:val="auto"/>
              </w:rPr>
            </w:pPr>
          </w:p>
        </w:tc>
        <w:tc>
          <w:tcPr>
            <w:tcW w:w="980" w:type="dxa"/>
            <w:vAlign w:val="bottom"/>
            <w:gridSpan w:val="2"/>
          </w:tcPr>
          <w:p>
            <w:pPr>
              <w:ind w:left="120"/>
              <w:spacing w:after="0" w:line="122" w:lineRule="exact"/>
              <w:rPr>
                <w:sz w:val="20"/>
                <w:szCs w:val="20"/>
                <w:color w:val="auto"/>
              </w:rPr>
            </w:pPr>
            <w:r>
              <w:rPr>
                <w:rFonts w:ascii="Arial" w:cs="Arial" w:eastAsia="Arial" w:hAnsi="Arial"/>
                <w:sz w:val="13"/>
                <w:szCs w:val="13"/>
                <w:color w:val="auto"/>
              </w:rPr>
              <w:t>Value (In</w:t>
            </w:r>
          </w:p>
        </w:tc>
        <w:tc>
          <w:tcPr>
            <w:tcW w:w="1000" w:type="dxa"/>
            <w:vAlign w:val="bottom"/>
            <w:gridSpan w:val="2"/>
            <w:vMerge w:val="restart"/>
          </w:tcPr>
          <w:p>
            <w:pPr>
              <w:ind w:left="280"/>
              <w:spacing w:after="0"/>
              <w:rPr>
                <w:sz w:val="20"/>
                <w:szCs w:val="20"/>
                <w:color w:val="auto"/>
              </w:rPr>
            </w:pPr>
            <w:r>
              <w:rPr>
                <w:rFonts w:ascii="Arial" w:cs="Arial" w:eastAsia="Arial" w:hAnsi="Arial"/>
                <w:sz w:val="13"/>
                <w:szCs w:val="13"/>
                <w:color w:val="auto"/>
              </w:rPr>
              <w:t>Shares</w:t>
            </w:r>
          </w:p>
        </w:tc>
        <w:tc>
          <w:tcPr>
            <w:tcW w:w="1080" w:type="dxa"/>
            <w:vAlign w:val="bottom"/>
            <w:gridSpan w:val="3"/>
          </w:tcPr>
          <w:p>
            <w:pPr>
              <w:jc w:val="center"/>
              <w:ind w:right="120"/>
              <w:spacing w:after="0" w:line="122" w:lineRule="exact"/>
              <w:rPr>
                <w:sz w:val="20"/>
                <w:szCs w:val="20"/>
                <w:color w:val="auto"/>
              </w:rPr>
            </w:pPr>
            <w:r>
              <w:rPr>
                <w:rFonts w:ascii="Arial" w:cs="Arial" w:eastAsia="Arial" w:hAnsi="Arial"/>
                <w:sz w:val="13"/>
                <w:szCs w:val="13"/>
                <w:color w:val="auto"/>
                <w:w w:val="86"/>
              </w:rPr>
              <w:t>Average Exercise</w:t>
            </w:r>
          </w:p>
        </w:tc>
        <w:tc>
          <w:tcPr>
            <w:tcW w:w="106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87"/>
              </w:rPr>
              <w:t>Contractual Term</w:t>
            </w:r>
          </w:p>
        </w:tc>
        <w:tc>
          <w:tcPr>
            <w:tcW w:w="160" w:type="dxa"/>
            <w:vAlign w:val="bottom"/>
          </w:tcPr>
          <w:p>
            <w:pPr>
              <w:spacing w:after="0"/>
              <w:rPr>
                <w:sz w:val="10"/>
                <w:szCs w:val="10"/>
                <w:color w:val="auto"/>
              </w:rPr>
            </w:pPr>
          </w:p>
        </w:tc>
        <w:tc>
          <w:tcPr>
            <w:tcW w:w="860" w:type="dxa"/>
            <w:vAlign w:val="bottom"/>
          </w:tcPr>
          <w:p>
            <w:pPr>
              <w:ind w:left="120"/>
              <w:spacing w:after="0" w:line="122" w:lineRule="exact"/>
              <w:rPr>
                <w:sz w:val="20"/>
                <w:szCs w:val="20"/>
                <w:color w:val="auto"/>
              </w:rPr>
            </w:pPr>
            <w:r>
              <w:rPr>
                <w:rFonts w:ascii="Arial" w:cs="Arial" w:eastAsia="Arial" w:hAnsi="Arial"/>
                <w:sz w:val="13"/>
                <w:szCs w:val="13"/>
                <w:color w:val="auto"/>
              </w:rPr>
              <w:t>Value (In</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color w:val="auto"/>
                <w:w w:val="87"/>
              </w:rPr>
              <w:t>Price</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color w:val="auto"/>
                <w:w w:val="84"/>
              </w:rPr>
              <w:t>(Years)</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color w:val="auto"/>
              </w:rPr>
              <w:t>Thousands)</w:t>
            </w: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color w:val="auto"/>
                <w:w w:val="87"/>
              </w:rPr>
              <w:t>Price</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color w:val="auto"/>
                <w:w w:val="84"/>
              </w:rPr>
              <w:t>(Years)</w:t>
            </w:r>
          </w:p>
        </w:tc>
        <w:tc>
          <w:tcPr>
            <w:tcW w:w="16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auto"/>
              </w:rPr>
              <w:t>Thousands)</w:t>
            </w:r>
          </w:p>
        </w:tc>
        <w:tc>
          <w:tcPr>
            <w:tcW w:w="0" w:type="dxa"/>
            <w:vAlign w:val="bottom"/>
          </w:tcPr>
          <w:p>
            <w:pPr>
              <w:spacing w:after="0"/>
              <w:rPr>
                <w:sz w:val="1"/>
                <w:szCs w:val="1"/>
                <w:color w:val="auto"/>
              </w:rPr>
            </w:pPr>
          </w:p>
        </w:tc>
      </w:tr>
      <w:tr>
        <w:trPr>
          <w:trHeight w:val="189"/>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1,044,417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18.31</w:t>
            </w: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during the period:</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40" w:type="dxa"/>
            <w:vAlign w:val="bottom"/>
          </w:tcPr>
          <w:p>
            <w:pPr>
              <w:ind w:left="120"/>
              <w:spacing w:after="0"/>
              <w:rPr>
                <w:sz w:val="20"/>
                <w:szCs w:val="20"/>
                <w:color w:val="auto"/>
              </w:rPr>
            </w:pPr>
            <w:r>
              <w:rPr>
                <w:rFonts w:ascii="Arial" w:cs="Arial" w:eastAsia="Arial" w:hAnsi="Arial"/>
                <w:sz w:val="14"/>
                <w:szCs w:val="14"/>
                <w:color w:val="auto"/>
              </w:rPr>
              <w:t>Granted</w:t>
            </w:r>
          </w:p>
        </w:tc>
        <w:tc>
          <w:tcPr>
            <w:tcW w:w="1020" w:type="dxa"/>
            <w:vAlign w:val="bottom"/>
          </w:tcPr>
          <w:p>
            <w:pPr>
              <w:jc w:val="right"/>
              <w:spacing w:after="0"/>
              <w:rPr>
                <w:sz w:val="20"/>
                <w:szCs w:val="20"/>
                <w:color w:val="auto"/>
              </w:rPr>
            </w:pPr>
            <w:r>
              <w:rPr>
                <w:rFonts w:ascii="Arial" w:cs="Arial" w:eastAsia="Arial" w:hAnsi="Arial"/>
                <w:sz w:val="14"/>
                <w:szCs w:val="14"/>
                <w:color w:val="auto"/>
              </w:rPr>
              <w:t>245,776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2,608,355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4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020" w:type="dxa"/>
            <w:vAlign w:val="bottom"/>
          </w:tcPr>
          <w:p>
            <w:pPr>
              <w:jc w:val="right"/>
              <w:spacing w:after="0"/>
              <w:rPr>
                <w:sz w:val="20"/>
                <w:szCs w:val="20"/>
                <w:color w:val="auto"/>
              </w:rPr>
            </w:pPr>
            <w:r>
              <w:rPr>
                <w:rFonts w:ascii="Arial" w:cs="Arial" w:eastAsia="Arial" w:hAnsi="Arial"/>
                <w:sz w:val="14"/>
                <w:szCs w:val="14"/>
                <w:color w:val="auto"/>
              </w:rPr>
              <w:t>(44,150)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Expired</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40" w:type="dxa"/>
            <w:vAlign w:val="bottom"/>
          </w:tcPr>
          <w:p>
            <w:pPr>
              <w:ind w:left="20"/>
              <w:spacing w:after="0"/>
              <w:rPr>
                <w:sz w:val="20"/>
                <w:szCs w:val="20"/>
                <w:color w:val="auto"/>
              </w:rPr>
            </w:pPr>
            <w:r>
              <w:rPr>
                <w:rFonts w:ascii="Arial" w:cs="Arial" w:eastAsia="Arial" w:hAnsi="Arial"/>
                <w:sz w:val="14"/>
                <w:szCs w:val="14"/>
                <w:color w:val="auto"/>
              </w:rPr>
              <w:t>Outstanding at September 30,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1,105,408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14.39</w:t>
            </w:r>
          </w:p>
        </w:tc>
        <w:tc>
          <w:tcPr>
            <w:tcW w:w="1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2,638,355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6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Vested at September 30, 2020</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1,083,355</w:t>
            </w:r>
          </w:p>
        </w:tc>
        <w:tc>
          <w:tcPr>
            <w:tcW w:w="10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12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2,638,355</w:t>
            </w:r>
          </w:p>
        </w:tc>
        <w:tc>
          <w:tcPr>
            <w:tcW w:w="10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 expected to vest in the future</w:t>
            </w: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40" w:type="dxa"/>
            <w:vAlign w:val="bottom"/>
          </w:tcPr>
          <w:p>
            <w:pPr>
              <w:ind w:left="20"/>
              <w:spacing w:after="0"/>
              <w:rPr>
                <w:sz w:val="20"/>
                <w:szCs w:val="20"/>
                <w:color w:val="auto"/>
              </w:rPr>
            </w:pPr>
            <w:r>
              <w:rPr>
                <w:rFonts w:ascii="Arial" w:cs="Arial" w:eastAsia="Arial" w:hAnsi="Arial"/>
                <w:sz w:val="14"/>
                <w:szCs w:val="14"/>
                <w:color w:val="auto"/>
              </w:rPr>
              <w:t>Vested at September 30,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816,133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18.13</w:t>
            </w:r>
          </w:p>
        </w:tc>
        <w:tc>
          <w:tcPr>
            <w:tcW w:w="1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2,638,355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nine months ended September 30, 2020 and 2019, the Company issued restricted stock for services as follows ($ in thousands):</w:t>
      </w:r>
    </w:p>
    <w:p>
      <w:pPr>
        <w:spacing w:after="0" w:line="156" w:lineRule="exact"/>
        <w:rPr>
          <w:sz w:val="20"/>
          <w:szCs w:val="20"/>
          <w:color w:val="auto"/>
        </w:rPr>
      </w:pPr>
    </w:p>
    <w:tbl>
      <w:tblPr>
        <w:tblLayout w:type="fixed"/>
        <w:tblInd w:w="128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5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51"/>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Number of restricted stock issued</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156,184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123,564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660" w:type="dxa"/>
            <w:vAlign w:val="bottom"/>
          </w:tcPr>
          <w:p>
            <w:pPr>
              <w:spacing w:after="0"/>
              <w:rPr>
                <w:sz w:val="20"/>
                <w:szCs w:val="20"/>
                <w:color w:val="auto"/>
              </w:rPr>
            </w:pPr>
            <w:r>
              <w:rPr>
                <w:rFonts w:ascii="Arial" w:cs="Arial" w:eastAsia="Arial" w:hAnsi="Arial"/>
                <w:sz w:val="16"/>
                <w:szCs w:val="16"/>
                <w:color w:val="auto"/>
              </w:rPr>
              <w:t>Value of restricted stock issued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200" w:type="dxa"/>
            <w:vAlign w:val="bottom"/>
          </w:tcPr>
          <w:p>
            <w:pPr>
              <w:spacing w:after="0"/>
              <w:rPr>
                <w:sz w:val="16"/>
                <w:szCs w:val="16"/>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nine months ended September 30, 2020 and 2019, the Company issued restricted stock units for services as follows ($ in thousands, except share data):</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213"/>
        </w:trPr>
        <w:tc>
          <w:tcPr>
            <w:tcW w:w="5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5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51"/>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restricted stock units issued</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246,383</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184,454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960" w:type="dxa"/>
            <w:vAlign w:val="bottom"/>
          </w:tcPr>
          <w:p>
            <w:pPr>
              <w:ind w:left="20"/>
              <w:spacing w:after="0"/>
              <w:rPr>
                <w:sz w:val="20"/>
                <w:szCs w:val="20"/>
                <w:color w:val="auto"/>
              </w:rPr>
            </w:pPr>
            <w:r>
              <w:rPr>
                <w:rFonts w:ascii="Arial" w:cs="Arial" w:eastAsia="Arial" w:hAnsi="Arial"/>
                <w:sz w:val="16"/>
                <w:szCs w:val="16"/>
                <w:color w:val="auto"/>
              </w:rPr>
              <w:t>Value of restricted stock units issued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w:t>
            </w:r>
          </w:p>
        </w:tc>
        <w:tc>
          <w:tcPr>
            <w:tcW w:w="14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weighted average estimated fair value of restricted stock issued for services in the nine months ended September 30, 2020 and 2019 was $3.02 and $4.93 per share, respectively. The fair value of the restricted stock units was determined using the Company’s closing stock price on the date of issuance. The vesting terms of restricted stock unit issuances are generally one year, or upon the achievement of performance-based milestones.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Share-Based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utilize share-based compensation in the form of stock options, restricted stock, and restricted stock units. The following table summarizes the components of share-based compensation expense for the three and nine months ended September 30, 2020 and 2019 (in thousands):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24"/>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r>
      <w:tr>
        <w:trPr>
          <w:trHeight w:val="248"/>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compensation cost related to non-vested awards not yet recognized and the weighted-average periods over which the awards were expected to be recognized at September 30, 2020 were as follows (in thousands):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Restricted Stock</w:t>
            </w: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Restricted Stock</w:t>
            </w:r>
          </w:p>
        </w:tc>
        <w:tc>
          <w:tcPr>
            <w:tcW w:w="0" w:type="dxa"/>
            <w:vAlign w:val="bottom"/>
          </w:tcPr>
          <w:p>
            <w:pPr>
              <w:spacing w:after="0"/>
              <w:rPr>
                <w:sz w:val="1"/>
                <w:szCs w:val="1"/>
                <w:color w:val="auto"/>
              </w:rPr>
            </w:pPr>
          </w:p>
        </w:tc>
      </w:tr>
      <w:tr>
        <w:trPr>
          <w:trHeight w:val="188"/>
        </w:trPr>
        <w:tc>
          <w:tcPr>
            <w:tcW w:w="7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Units</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530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Expected weighted-average period in years of compensation cost to be recognized</w:t>
            </w:r>
          </w:p>
        </w:tc>
        <w:tc>
          <w:tcPr>
            <w:tcW w:w="120" w:type="dxa"/>
            <w:vAlign w:val="bottom"/>
          </w:tcPr>
          <w:p>
            <w:pPr>
              <w:spacing w:after="0"/>
              <w:rPr>
                <w:sz w:val="20"/>
                <w:szCs w:val="20"/>
                <w:color w:val="auto"/>
              </w:rPr>
            </w:pPr>
          </w:p>
        </w:tc>
        <w:tc>
          <w:tcPr>
            <w:tcW w:w="1000" w:type="dxa"/>
            <w:vAlign w:val="bottom"/>
          </w:tcPr>
          <w:p>
            <w:pPr>
              <w:ind w:left="660"/>
              <w:spacing w:after="0"/>
              <w:rPr>
                <w:sz w:val="20"/>
                <w:szCs w:val="20"/>
                <w:color w:val="auto"/>
              </w:rPr>
            </w:pPr>
            <w:r>
              <w:rPr>
                <w:rFonts w:ascii="Arial" w:cs="Arial" w:eastAsia="Arial" w:hAnsi="Arial"/>
                <w:sz w:val="18"/>
                <w:szCs w:val="18"/>
                <w:color w:val="auto"/>
                <w:w w:val="91"/>
              </w:rPr>
              <w:t>1.69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540"/>
              <w:spacing w:after="0"/>
              <w:rPr>
                <w:sz w:val="20"/>
                <w:szCs w:val="20"/>
                <w:color w:val="auto"/>
              </w:rPr>
            </w:pPr>
            <w:r>
              <w:rPr>
                <w:rFonts w:ascii="Arial" w:cs="Arial" w:eastAsia="Arial" w:hAnsi="Arial"/>
                <w:sz w:val="18"/>
                <w:szCs w:val="18"/>
                <w:color w:val="auto"/>
                <w:w w:val="91"/>
              </w:rPr>
              <w:t>1.67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Total fair value of shares vested and the weighted average estimated fair values of shares granted for the nine months ended September 30, 2020 and 2019 were as follows (in thousands):</w:t>
      </w:r>
    </w:p>
    <w:p>
      <w:pPr>
        <w:spacing w:after="0" w:line="94"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Options</w:t>
            </w:r>
          </w:p>
        </w:tc>
        <w:tc>
          <w:tcPr>
            <w:tcW w:w="840" w:type="dxa"/>
            <w:vAlign w:val="bottom"/>
            <w:tcBorders>
              <w:bottom w:val="single" w:sz="8" w:color="auto"/>
            </w:tcBorders>
          </w:tcPr>
          <w:p>
            <w:pPr>
              <w:spacing w:after="0"/>
              <w:rPr>
                <w:sz w:val="16"/>
                <w:szCs w:val="16"/>
                <w:color w:val="auto"/>
              </w:rPr>
            </w:pPr>
          </w:p>
        </w:tc>
      </w:tr>
      <w:tr>
        <w:trPr>
          <w:trHeight w:val="196"/>
        </w:trPr>
        <w:tc>
          <w:tcPr>
            <w:tcW w:w="6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96"/>
        </w:trPr>
        <w:tc>
          <w:tcPr>
            <w:tcW w:w="65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r>
      <w:tr>
        <w:trPr>
          <w:trHeight w:val="25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shares vested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70"/>
        </w:trPr>
        <w:tc>
          <w:tcPr>
            <w:tcW w:w="6580" w:type="dxa"/>
            <w:vAlign w:val="bottom"/>
          </w:tcPr>
          <w:p>
            <w:pPr>
              <w:ind w:left="20"/>
              <w:spacing w:after="0"/>
              <w:rPr>
                <w:sz w:val="20"/>
                <w:szCs w:val="20"/>
                <w:color w:val="auto"/>
              </w:rPr>
            </w:pPr>
            <w:r>
              <w:rPr>
                <w:rFonts w:ascii="Arial" w:cs="Arial" w:eastAsia="Arial" w:hAnsi="Arial"/>
                <w:sz w:val="18"/>
                <w:szCs w:val="18"/>
                <w:color w:val="auto"/>
              </w:rPr>
              <w:t>Weighted average estimated fair value of shares granted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fair value of stock options and warrants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Research Funding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Institute of Regenerative Medicine Grant Award</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February 2017, the California Institute for Regenerative Medicine ("CIRM") awarded the Company funds of up to $12.2 million to support the T-Rex Study. The funding is based upon the achievement of certain milestones related to the proportion of subjects enrolled in California, as well as manufacturing and development costs incurred in California. Based on the actual number of subjects enrolled in California, the total amount of funding was revised to $8.6 million, of which $8.2 million has been received through the grant project period completion. The Company received $5.7 million in initial funding in May 2017, a $1.9 million milestone payment in December 2017, a $0.3 million progress payment in March 2018, and a $0.2 million progress payment in May 2019, of which the total was amortized over the estimated award period through July 2020 as a reduction to the related research and development expenses, with the final true up payment of $46 thousand received in September 2020 and recorded as a reduction to the related research and development expenses. During the three and nine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months ended September 30, 2020, the Company amortized and recognized $0.3 million and $1.6 million in credits, respectively, to research and development related to CIRM funds received. During the three and nine months ended September 30, 2019, the Company amortized and recognized $0.7 million and $2.0 million in credits, respectively, to research and development related to CIRM funds received.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Income Taxes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2019, the Company had approximately $246 million of federal NOLs available to offset future taxable income expiring from 2030 through 2036. In accordance with Section 382 of the Internal Revenue code, the usage of the Company’s NOLs could be limited in the event of a change in ownership. The ultimate realization of deferred tax assets is dependent upon the generation of future taxable income during the period when those temporary differences become deductible.</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performed an analysis and determined that it has had ownership changes of greater than 50% over a 3-year testing period. The last ownership change was determined to be in 2015. Based on a market capitalization of $124.5 million and using an applicable federal rate of 2.5%, the annual limitation would be approximately $3.0 million. Post change losses generated after June 2, 2015 would not be subject to 382 limitations.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applies the FASB’s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 authority. The Company recognizes interest and penalties associated with certain tax positions as a component of income tax expense.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2020, management does not believe the Company has any material uncertain tax positions that would require it to measure and reflect the potential lack of sustainability of a position on audit in its financial statements. The Company will continue to evaluate its uncertain tax positions in future periods to determine if measurement and recognition in its financial statements is necessary. The Company does not believe there will be any material changes in its unrecognized tax positions over the next year.</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years prior to 2016, the federal statute of limitations is closed for assessing tax. The Company’s state tax returns remain open to examination for a period of three to four years from date of filing.</w:t>
      </w:r>
    </w:p>
    <w:p>
      <w:pPr>
        <w:spacing w:after="0" w:line="197" w:lineRule="exact"/>
        <w:rPr>
          <w:sz w:val="20"/>
          <w:szCs w:val="20"/>
          <w:color w:val="auto"/>
        </w:rPr>
      </w:pPr>
    </w:p>
    <w:p>
      <w:pPr>
        <w:jc w:val="both"/>
        <w:ind w:firstLine="187"/>
        <w:spacing w:after="0" w:line="275" w:lineRule="auto"/>
        <w:rPr>
          <w:sz w:val="20"/>
          <w:szCs w:val="20"/>
          <w:color w:val="auto"/>
        </w:rPr>
      </w:pPr>
      <w:r>
        <w:rPr>
          <w:rFonts w:ascii="Arial" w:cs="Arial" w:eastAsia="Arial" w:hAnsi="Arial"/>
          <w:sz w:val="17"/>
          <w:szCs w:val="17"/>
          <w:color w:val="auto"/>
        </w:rPr>
        <w:t>In December 2019, the Company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April 21, 2020, the Company received final approval from NJEDA to sell $11.5 million of its NJ NOLs, which was subsequently sold to a qualifying and approved buyer pursuant to the Program for net proceeds of $10.9 million. The net proceeds have been recorded as a benefit from income taxes in the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November 1, 2020 Anne Whitaker became a member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285"/>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and under “Risk Factors” in our 2019 Form 10-K. The following discussion should be read in conjunction with our consolidated financial statements and related notes thereto included elsewhere in this Quarterly Report and in our 2019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34"/>
        <w:spacing w:after="0" w:line="301" w:lineRule="auto"/>
        <w:rPr>
          <w:sz w:val="20"/>
          <w:szCs w:val="20"/>
          <w:color w:val="auto"/>
        </w:rPr>
      </w:pPr>
      <w:r>
        <w:rPr>
          <w:rFonts w:ascii="Arial" w:cs="Arial" w:eastAsia="Arial" w:hAnsi="Arial"/>
          <w:sz w:val="16"/>
          <w:szCs w:val="16"/>
          <w:color w:val="auto"/>
        </w:rPr>
        <w:t>Caladrius Biosciences, Inc. (“we,” “us,” "our," “Caladrius” or the “Company”) is a clinical-stage biopharmaceutical company dedicated to the development and commercialization of cellular therapies designed to reverse disease and/or promote the regeneration of damaged tissue. We are developing first-in-class therapeutics based on the characteristics of naturally occurring CD34+ cells and their ability to stimulate the growth of new microvasculature. Our technology leverages these cells to enable the body's natural repair mechanisms using formulations unique to each medical indication.</w:t>
      </w:r>
    </w:p>
    <w:p>
      <w:pPr>
        <w:spacing w:after="0" w:line="184" w:lineRule="exact"/>
        <w:rPr>
          <w:sz w:val="20"/>
          <w:szCs w:val="20"/>
          <w:color w:val="auto"/>
        </w:rPr>
      </w:pPr>
    </w:p>
    <w:p>
      <w:pPr>
        <w:jc w:val="both"/>
        <w:ind w:firstLine="234"/>
        <w:spacing w:after="0" w:line="253" w:lineRule="auto"/>
        <w:rPr>
          <w:sz w:val="20"/>
          <w:szCs w:val="20"/>
          <w:color w:val="auto"/>
        </w:rPr>
      </w:pPr>
      <w:r>
        <w:rPr>
          <w:rFonts w:ascii="Arial" w:cs="Arial" w:eastAsia="Arial" w:hAnsi="Arial"/>
          <w:sz w:val="18"/>
          <w:szCs w:val="18"/>
          <w:color w:val="auto"/>
        </w:rPr>
        <w:t>Our leadership team has decades of collective biopharmaceutical development experience and world-recognized scientific achievement in the field of cardiovascular disease, among other therapeutic areas. Our goal is to develop and commercialize products that address important unmet medical needs based on a broad and versatile portfolio of candidates. Our current product candidates include HONEDRA ® (formerly known as CLBS12), recipient of SAKIGAKE designation and eligible for early conditional approval in Japan for the treatment of critical limb ischemia ("CLI") based on the results of an ongoing clinical trial; CLBS14, a Regenerative Medicine Advanced Therapy ("RMAT") designated therapy for which we have finalized with the U.S. Food and Drug Administration (the "FDA") a protocol for a Phase 3 confirmatory trial in subjects with no-option refractory disabling angina ("NORDA"); CLBS16, the subject of a recently completed positive Phase 2 clinical trial in the U.S. for the treatment of coronary microvascular dysfunction ("CMD") and CLBS119, an emergent CD34+ stem cell therapy responding to the COVID-19 pandemic and the potentially permanent damage the virus inflicts on the lungs of many patients.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CD34+ cell was discovered as a result of the deliberate search for a stem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 stem cell that has the ability to stimulate new blood vessel formation. No other native cell discovered to date has demonstrated this same capability.</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proprietary CD34+ cell technology has led to the development of therapeutic product candidates designed to address diseases and conditions caused by ischemia. Ischemia occurs when the supply of oxygenated blood to healthy tissue is restricted. Through the administration of CD34+ cells, we seek to promote the development and formation of new microvasculature and thereby increase blood flow to the impacted area. We believe that a number of conditions caused by underlying ischemic injury can be improved through our CD34+ cell technology, including but not limited to, CLI, CMD, NORDA and COVID-19 induced lung damage.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HONEDRA ® for Treatment of Critical Limb Ischemia</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open-label, registration-eligible study of HONEDRA ® in Japan for the treatment of critical limb ischemia ("CLI"), a disease with no currently available approved therapy and a higher combined incidence and mortality rate than all cancers but lung cancer, has shown strong results to date. The initial responses observed in the subjects who have reached an endpoint in this open label study are consistent with a positive therapeutic effect and safety profile as reported by previously published clinical trials in Japan. Although the study's enrollment, which is targeted for completion this year, has been slowed by the pandemic's impact in Japan, we are encouraged by the patient pre-screening pipeline that has been identified and hope to conclude trial enrollment during the first quarter of 2021. While the final outcome of the trial will depend on all data from all subjects, data, to date, remain very encouraging.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CLBS14 for Treatment of No Option Refractory Disabling Angina (NORDA)</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acquired the rights to data and regulatory filings for a CD34+ cell therapy program for refractory angina that had been advanced to Phase 3 by a previous sponsor.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Based on the clinical evidence from the completed studies that a single administration of CLBS14 reduces mortality, improves angina and increases exercise capacity in patients with otherwise untreatable angina, this product received Regenerative Medicine Advanced Therapy (“RMAT”) designation from the FDA. We, working closely with the FDA, have finalized the design of a confirmatory Phase 3 trial which, in combination with previously filed Phase 1, 2 and 3 data, will be considered for the registration of CLBS14. Notably, this study design includes a 6-month primary endpoint and, with the benefit of the RMAT designation, the biologics license application ("BLA"), once submitted, is expected to receive a 6-month review. We have substantially completed the preparatory work for initiation of this trial. We will not, however, commence enrollment of patients until sufficient capital is acquired and dedicated to this program such that we have confidence that we can fund the trial uninterrupted through completion.</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CLBS16 for Treatment of Coronary Microvascular Dysfunction</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2017, with the assistance of a $1.9 million grant from the National Institutes of Health (Award Number R44HL135889), we initiated our program for CLBS16 for the treatment of coronary microvascular dysfunction ("CMD"), a disease that potentially afflicts millions of patients with no current targeted treatment options. That study, titled ESCaPE-CMD, was a Phase 2 proof-of-concept study that enrolled patients at the Mayo Clinic in Rochester, MN and Cedars-Sinai Medical Center in Los Angeles, CA. In June 2019, we announced the completion of enrollment in this study. Results of the first 17 of 20 patients enrolled in this trial who reached 6-month follow-up were presented as a rapid fire oral presentation on November 16, 2019 at the annual meeting of the American Heart Association in Philadelphia, PA by one of the principal investigators, Dr. Noel Bairey Merz, FACC, FAHA, FESC, the director of the Barbra Streisand Women's Heart Center at Cedars-Sinai in Los Angeles, CA. That data set showed a positive therapeutic effect with a statistically significant improvement in angina frequency, coronary flow reserve, Canadian Cardiovascular Society Angina Class and Seattle Questionnaire score, as well as an acceptable safety profile. The full data from that study was presented at the SCAI 2020 Scientific Sessions Virtual Conference on May 14, 2020 and we now expect to initiate the next CMD trial, a Phase 2b study, by the end of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CLBS119 for Treatment of COVID -19 Induced Lung Damage</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COVID-19 appears to damage the vasculature of the lungs and Caladrius believes that repair of that vasculature will prove necessary for patients to achieve a full recovery. Survivors of COVID-19 often remain debilitated even after leaving the hospital due to the damage caused to their lungs, and while many developmental therapies responding to the COVID-19 pandemic are appropriately targeting the SARS-CoV-2 virus itself or the manifestations of the acute phase of the illness, we are aware of no therapy that has demonstrated the ability to repair COVID-19 induced lung damage. With consistent clinical and pre-clinical evidence that CD34+ cells can repair multiple organs, including models of severe lung inflammation, we sought and received FDA authorization for its investigational new drug (“IND”) application for the study of CLBS119, a CD34+ cell therapy for repair of COVID-19 induced lung damage. The study began screening prospective patients for inclusion at NYU Langone Health. The planned 12-patient open-label clinical trial is designed to evaluate the safety and efficacy of a single administration of CLBS119 for the treatment and repair of COVID-19-induced lung damage in adults. The study will target patients who are experiencing hypoxia due to prior infection with SARS-CoV-2 and who require supplemental oxygen.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broad intellectual property portfolio of cell therapy assets includes notable programs available for out-licensing in order to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Considerations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December 2019, a novel strain of coronavirus (SARS-CoV-2), which causes COVID-19, was reported to have surfaced in China. In March 2020, the World Health Organization declared the outbreak of COVID-19 to be a pandemic, and the world's economies began to experience pronounced effects. There is uncertainty around the extent and duration of disruption, and any future related financial impact cannot be reasonably estimated at this time.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225" w:lineRule="exact"/>
        <w:rPr>
          <w:sz w:val="20"/>
          <w:szCs w:val="20"/>
          <w:color w:val="auto"/>
        </w:rPr>
      </w:pPr>
    </w:p>
    <w:p>
      <w:pPr>
        <w:ind w:right="20" w:firstLine="342"/>
        <w:spacing w:after="0" w:line="277" w:lineRule="auto"/>
        <w:rPr>
          <w:sz w:val="20"/>
          <w:szCs w:val="20"/>
          <w:color w:val="auto"/>
        </w:rPr>
      </w:pPr>
      <w:r>
        <w:rPr>
          <w:rFonts w:ascii="Arial" w:cs="Arial" w:eastAsia="Arial" w:hAnsi="Arial"/>
          <w:sz w:val="18"/>
          <w:szCs w:val="18"/>
          <w:color w:val="auto"/>
        </w:rPr>
        <w:t>Overall, net losses were $5.3 million for the three months ended September 30, 2020, compared to $4.9 million for the three months ended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months ended September 30, 2020, operating expenses totaled $5.4 million compared to $5.1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representing an increase of 5%. Operating expenses comprised the following:</w:t>
      </w:r>
    </w:p>
    <w:p>
      <w:pPr>
        <w:spacing w:after="0" w:line="211" w:lineRule="exact"/>
        <w:rPr>
          <w:sz w:val="20"/>
          <w:szCs w:val="20"/>
          <w:color w:val="auto"/>
        </w:rPr>
      </w:pPr>
    </w:p>
    <w:p>
      <w:pPr>
        <w:jc w:val="both"/>
        <w:ind w:left="66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Research and development expenses were approximately $3.0 million for both the three months ended September 30, 2020 and the three months ended September 30, 2019. Research and development in both periods focused on the advancement of our ischemic repair platform and related to:</w:t>
      </w:r>
    </w:p>
    <w:p>
      <w:pPr>
        <w:spacing w:after="0" w:line="150" w:lineRule="exact"/>
        <w:rPr>
          <w:rFonts w:ascii="Arial" w:cs="Arial" w:eastAsia="Arial" w:hAnsi="Arial"/>
          <w:sz w:val="16"/>
          <w:szCs w:val="16"/>
          <w:color w:val="auto"/>
        </w:rPr>
      </w:pPr>
    </w:p>
    <w:p>
      <w:pPr>
        <w:jc w:val="both"/>
        <w:ind w:left="1300" w:hanging="320"/>
        <w:spacing w:after="0" w:line="263" w:lineRule="auto"/>
        <w:tabs>
          <w:tab w:leader="none" w:pos="131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expenses associated with investigational new drug application and planning for commencement in the third quarter of 2020 of a pilot study of CLBS119, a CD34+ cell therapy for repair of COVID-19 induced lung damage targeting patients with severe SARS-CoV-2 infection that required ventilatory support due to respiratory failure;</w:t>
      </w:r>
    </w:p>
    <w:p>
      <w:pPr>
        <w:spacing w:after="0" w:line="210" w:lineRule="exact"/>
        <w:rPr>
          <w:rFonts w:ascii="Arial" w:cs="Arial" w:eastAsia="Arial" w:hAnsi="Arial"/>
          <w:sz w:val="18"/>
          <w:szCs w:val="18"/>
          <w:color w:val="auto"/>
        </w:rPr>
      </w:pPr>
    </w:p>
    <w:p>
      <w:pPr>
        <w:ind w:left="1300" w:right="20" w:hanging="320"/>
        <w:spacing w:after="0" w:line="277"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ongoing registration-eligible study expenses for HONEDRA ® in critical limb ischemia in Japan, whereby we continue to focus spending on our patient enrollment and anticipate completing enrollment during the first quarter of 2021;</w:t>
      </w:r>
    </w:p>
    <w:p>
      <w:pPr>
        <w:spacing w:after="0" w:line="197" w:lineRule="exact"/>
        <w:rPr>
          <w:rFonts w:ascii="Arial" w:cs="Arial" w:eastAsia="Arial" w:hAnsi="Arial"/>
          <w:sz w:val="18"/>
          <w:szCs w:val="18"/>
          <w:color w:val="auto"/>
        </w:rPr>
      </w:pPr>
    </w:p>
    <w:p>
      <w:pPr>
        <w:jc w:val="both"/>
        <w:ind w:left="1300" w:hanging="320"/>
        <w:spacing w:after="0" w:line="263"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expenses associated with the proof-of-concept study for CLBS16 in coronary microvascular dysfunction, whereby study enrollment was completed in the second quarter of 2019 and full results reported in May 2020 and continuing efforts to advance CLBS16 into a Phase 2b study in the third quarter of 2020; and</w:t>
      </w:r>
    </w:p>
    <w:p>
      <w:pPr>
        <w:spacing w:after="0" w:line="210" w:lineRule="exact"/>
        <w:rPr>
          <w:rFonts w:ascii="Arial" w:cs="Arial" w:eastAsia="Arial" w:hAnsi="Arial"/>
          <w:sz w:val="18"/>
          <w:szCs w:val="18"/>
          <w:color w:val="auto"/>
        </w:rPr>
      </w:pPr>
    </w:p>
    <w:p>
      <w:pPr>
        <w:jc w:val="both"/>
        <w:ind w:left="1300" w:hanging="320"/>
        <w:spacing w:after="0" w:line="259"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expenses associated with the preparation of our confirmatory Phase 3 study of CLBS14 in NORDA in the second quarter of 2019. In late 2019, we projected that the Phase 3 study would cost approximately $70 million in external expenses over the next several years, and as a result, we elected to postpone the initiation of the study until we have confidence that we can access sufficient capital to allow us to complete the study uninterrupted.</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were approximately $2.3 million for the three months ended September 30, 2020, compared to $2.1 million for the three months ended September 30, 2019, representing an increase of 12%. Our general and administrative expenses focus on general corporate-related activities.</w:t>
      </w:r>
    </w:p>
    <w:p>
      <w:pPr>
        <w:spacing w:after="0" w:line="21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Historically, to minimize our use of cash, we have used a variety of equity and equity-linked instruments to compensate employees, consultants and other service providers. The use of these instruments has resulted in charges to the results of operations, which have been significant in the past.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income is primarily comprised of investment income on cash,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225" w:lineRule="exact"/>
        <w:rPr>
          <w:sz w:val="20"/>
          <w:szCs w:val="20"/>
          <w:color w:val="auto"/>
        </w:rPr>
      </w:pPr>
    </w:p>
    <w:p>
      <w:pPr>
        <w:ind w:firstLine="193"/>
        <w:spacing w:after="0" w:line="277" w:lineRule="auto"/>
        <w:rPr>
          <w:sz w:val="20"/>
          <w:szCs w:val="20"/>
          <w:color w:val="auto"/>
        </w:rPr>
      </w:pPr>
      <w:r>
        <w:rPr>
          <w:rFonts w:ascii="Arial" w:cs="Arial" w:eastAsia="Arial" w:hAnsi="Arial"/>
          <w:sz w:val="18"/>
          <w:szCs w:val="18"/>
          <w:color w:val="auto"/>
        </w:rPr>
        <w:t>Overall, net losses were $2.7 million for the nine months ended September 30, 2020, which included a $10.9 million income tax benefit from the sale of New Jersey net operating losses, compared to net loss of $14.4 million for the nine months ended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nine months ended September 30, 2020, operating expenses totaled $13.7 million compared to $15.0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representing a decrease of 9%. Operating expenses comprised the following:</w:t>
      </w:r>
    </w:p>
    <w:p>
      <w:pPr>
        <w:spacing w:after="0" w:line="211" w:lineRule="exact"/>
        <w:rPr>
          <w:sz w:val="20"/>
          <w:szCs w:val="20"/>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expenses were approximately $6.3 million for the nine months ended September 30, 2020, compared to $8.0 million for the nine months ended September 30, 2019, representing a decrease of 21%. Research and development in both periods focused on the advancement of our ischemic repair platform and related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300" w:hanging="320"/>
        <w:spacing w:after="0" w:line="263" w:lineRule="auto"/>
        <w:tabs>
          <w:tab w:leader="none" w:pos="1310" w:val="left"/>
        </w:tabs>
        <w:numPr>
          <w:ilvl w:val="1"/>
          <w:numId w:val="6"/>
        </w:numPr>
        <w:rPr>
          <w:rFonts w:ascii="Arial" w:cs="Arial" w:eastAsia="Arial" w:hAnsi="Arial"/>
          <w:sz w:val="18"/>
          <w:szCs w:val="18"/>
          <w:color w:val="auto"/>
        </w:rPr>
      </w:pPr>
      <w:r>
        <w:rPr>
          <w:rFonts w:ascii="Arial" w:cs="Arial" w:eastAsia="Arial" w:hAnsi="Arial"/>
          <w:sz w:val="18"/>
          <w:szCs w:val="18"/>
          <w:color w:val="auto"/>
        </w:rPr>
        <w:t>expenses associated with investigational new drug application and planning for commencement in the third quarter of 2020 of a pilot study of CLBS119, a CD34+ cell therapy for repair of COVID-19 induced lung damage targeting patients with severe SARS-CoV-2 infection that required ventilatory support due to respiratory failure;</w:t>
      </w:r>
    </w:p>
    <w:p>
      <w:pPr>
        <w:spacing w:after="0" w:line="210" w:lineRule="exact"/>
        <w:rPr>
          <w:rFonts w:ascii="Arial" w:cs="Arial" w:eastAsia="Arial" w:hAnsi="Arial"/>
          <w:sz w:val="18"/>
          <w:szCs w:val="18"/>
          <w:color w:val="auto"/>
        </w:rPr>
      </w:pPr>
    </w:p>
    <w:p>
      <w:pPr>
        <w:ind w:left="1300" w:right="20" w:hanging="320"/>
        <w:spacing w:after="0" w:line="277"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ongoing registration-eligible study expenses for HONEDRA ® in critical limb ischemia in Japan, whereby we continue to focus spending on our patient enrollment and anticipate completing enrollment during the first quarter of 2021;</w:t>
      </w:r>
    </w:p>
    <w:p>
      <w:pPr>
        <w:spacing w:after="0" w:line="197" w:lineRule="exact"/>
        <w:rPr>
          <w:rFonts w:ascii="Arial" w:cs="Arial" w:eastAsia="Arial" w:hAnsi="Arial"/>
          <w:sz w:val="18"/>
          <w:szCs w:val="18"/>
          <w:color w:val="auto"/>
        </w:rPr>
      </w:pPr>
    </w:p>
    <w:p>
      <w:pPr>
        <w:jc w:val="both"/>
        <w:ind w:left="1300" w:hanging="320"/>
        <w:spacing w:after="0" w:line="263"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expenses associated with the proof-of-concept study for CLBS16 in coronary microvascular dysfunction, whereby study enrollment was completed in the second quarter of 2019 and full results reported in May 2020 and continuing efforts to advance CLBS16 into a Phase 2b study in the third quarter of 2020; and</w:t>
      </w:r>
    </w:p>
    <w:p>
      <w:pPr>
        <w:spacing w:after="0" w:line="210" w:lineRule="exact"/>
        <w:rPr>
          <w:rFonts w:ascii="Arial" w:cs="Arial" w:eastAsia="Arial" w:hAnsi="Arial"/>
          <w:sz w:val="18"/>
          <w:szCs w:val="18"/>
          <w:color w:val="auto"/>
        </w:rPr>
      </w:pPr>
    </w:p>
    <w:p>
      <w:pPr>
        <w:jc w:val="both"/>
        <w:ind w:left="1300" w:hanging="320"/>
        <w:spacing w:after="0" w:line="259"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expenses associated with the preparation of our confirmatory Phase 3 study of CLBS14 in NORDA in the second quarter of 2019. In late 2019, we projected that the Phase 3 study would cost approximately $70 million in external expenses over the next several years, and as a result, we elected to postpone the initiation of the study until we have confidence that we can access sufficient capital to allow us to complete the study uninterrupted.</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expenses were approximately $7.4 million for the nine months ended September 30, 2020, compared to $7.0 million for the nine months ended September 30, 2019, representing an increase of 5%. Our general and administrative expenses focus on general corporate-related activities.</w:t>
      </w:r>
    </w:p>
    <w:p>
      <w:pPr>
        <w:spacing w:after="0" w:line="21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Historically, to minimize our use of cash, we have used a variety of equity and equity-linked instruments to compensate employees, consultants and other service providers. The use of these instruments has resulted in charges to the results of operations, which have been significant in the past.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income is primarily comprised of investment income on cash, cash equivalents and marketable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25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In April 2020, we received approval from the NJEDA to participate in the Program, whereby we qualified to sell a percentage of our NJ NOLs. We subsequently sold a portion of our NJ NOLs to a qualifying and approved buyer pursuant to the Program for net proceeds of $10.9 million.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Liquidity and Capital Resources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September 30, 2020, we had cash, cash equivalents and marketable securities of approximately $40.3 million, working capital of approximately $37.1 million, and stockholders’ equity of approximately $37.7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nine months ended September 30, 2020, we met our immediate cash requirements through existing cash balances. Additionally, we used equity and equity-linked instruments to pay for services and compensation.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or used in operating, investing and financing activities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9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w w:val="94"/>
              </w:rPr>
              <w:t>Nine Months Ended September 30,</w:t>
            </w:r>
          </w:p>
        </w:tc>
        <w:tc>
          <w:tcPr>
            <w:tcW w:w="700" w:type="dxa"/>
            <w:vAlign w:val="bottom"/>
            <w:tcBorders>
              <w:bottom w:val="single" w:sz="8" w:color="auto"/>
            </w:tcBorders>
          </w:tcPr>
          <w:p>
            <w:pPr>
              <w:spacing w:after="0"/>
              <w:rPr>
                <w:sz w:val="16"/>
                <w:szCs w:val="16"/>
                <w:color w:val="auto"/>
              </w:rPr>
            </w:pPr>
          </w:p>
        </w:tc>
      </w:tr>
      <w:tr>
        <w:trPr>
          <w:trHeight w:val="210"/>
        </w:trPr>
        <w:tc>
          <w:tcPr>
            <w:tcW w:w="75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8"/>
                <w:szCs w:val="18"/>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(3,256)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(14,662)</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14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w w:val="91"/>
              </w:rPr>
              <w:t>(8,187)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16,129</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18,567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cash used in operating activities during the nine months ended September 30, 2020 was $3.3 million, which is comprised of (i) our net income of $2.7 million, adjusted for non-cash expenses totaling $1.3 million (which includes adjustments for equity-based compensation, depreciation and amortization, and amortization/accretion of marketable securities), and (ii) changes in operating assets and liabilities using approximately $1.9 million.</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cash used in operating activities during the nine months ended September 30, 2019 was $14.7 million, which is comprised of (i) our net loss of $14.4 million, adjusted for non-cash expenses totaling $1.3 million (which includes adjustments for equity-based compensation, depreciation and amortization, and amortization/accretion of marketable securities), and (ii) changes in operating assets and liabilities using approximately $1.5 million.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used in investing activities during the nine months ended September 30, 2020 totaled $8.2 million and was primarily due to net purchases of marketable securities (net of sales of marketable securities).</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cash provided by investing activities during the nine months ended September 30, 2019 totaled $16.1 million and was primarily due to net proceeds from sales of marketable securities (net of purchases of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cash provided by financing activities during the nine months ended September 30, 2020 primarily consisted of (i) net proceeds of $4.5 million through the issuance of common shares and warrants in our April 2020 registered direct offering, (ii) net proceeds of $3.8 million through the issuance of common shares and warrants in our May 2020 registered direct offering, (iii) net proceeds of $1.9 million through the issuance of common shares and warrants in our July 2020 private placement offering, and (iii) net proceeds of $8.4 million through the issuance of common shares under our common stock sales agreement with H.C. Wainwright, which was partially offset by tax withholding-related payments on net share settlement equity awards to employees.</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cash provided by financing activities during the nine months ended September 30, 2019 consisted of proceeds of $1.0 million through the issuance of 250,000 shares of our common stock under the provisions of our common stock purchase agreement with Lincoln Park Capital, which was partially offset by tax withholding-related payments on net share settlement equity awards to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Requirements Outlook</w:t>
      </w:r>
    </w:p>
    <w:p>
      <w:pPr>
        <w:spacing w:after="0" w:line="256" w:lineRule="exact"/>
        <w:rPr>
          <w:sz w:val="20"/>
          <w:szCs w:val="20"/>
          <w:color w:val="auto"/>
        </w:rPr>
      </w:pPr>
    </w:p>
    <w:p>
      <w:pPr>
        <w:jc w:val="both"/>
        <w:ind w:firstLine="206"/>
        <w:spacing w:after="0" w:line="301" w:lineRule="auto"/>
        <w:rPr>
          <w:sz w:val="20"/>
          <w:szCs w:val="20"/>
          <w:color w:val="auto"/>
        </w:rPr>
      </w:pPr>
      <w:r>
        <w:rPr>
          <w:rFonts w:ascii="Arial" w:cs="Arial" w:eastAsia="Arial" w:hAnsi="Arial"/>
          <w:sz w:val="16"/>
          <w:szCs w:val="16"/>
          <w:color w:val="auto"/>
        </w:rPr>
        <w:t>To meet our short and long-term liquidity needs, we expect to use existing cash balances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biopharmaceutical companies like ours is dependent upon many factors, including the general state of the financial markets. During times of</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will enable us to fund operating expenses for at least the next 12 months following the issuance of our financial statements considering the assumption that any initiation of a CLBS14 Phase 3 study is contingent on our acquisition of additional capital to fund such a study.</w:t>
      </w:r>
    </w:p>
    <w:p>
      <w:pPr>
        <w:spacing w:after="0" w:line="215"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In July 2020, we entered into a securities purchase agreement (the “Private Placement”) with certain investors (the “Private Placement Purchasers”). Pursuant to the terms of the Private Placement, we sold to the Private Placement Purchasers an aggregate of 969,694 shares of our common stock at a purchase price equal to $2.0625 per share, along with warrants to purchase an aggregate of 484,847 shares of our common stock. In connection with the Private Placement, we received gross proceeds of $2.0 million. Each warrant is exercisable for one share of common stock and features an exercise price equal to $2.0625 per share. The warrants are exercisable immediately upon issuance and will expire five and one-half years from the issuance date.</w:t>
      </w:r>
    </w:p>
    <w:p>
      <w:pPr>
        <w:spacing w:after="0" w:line="188" w:lineRule="exact"/>
        <w:rPr>
          <w:sz w:val="20"/>
          <w:szCs w:val="20"/>
          <w:color w:val="auto"/>
        </w:rPr>
      </w:pPr>
    </w:p>
    <w:p>
      <w:pPr>
        <w:jc w:val="both"/>
        <w:ind w:firstLine="191"/>
        <w:spacing w:after="0" w:line="273" w:lineRule="auto"/>
        <w:rPr>
          <w:sz w:val="20"/>
          <w:szCs w:val="20"/>
          <w:color w:val="auto"/>
        </w:rPr>
      </w:pPr>
      <w:r>
        <w:rPr>
          <w:rFonts w:ascii="Arial" w:cs="Arial" w:eastAsia="Arial" w:hAnsi="Arial"/>
          <w:sz w:val="17"/>
          <w:szCs w:val="17"/>
          <w:color w:val="auto"/>
        </w:rPr>
        <w:t>In May 2020, we entered into a securities purchase agreement (the “May Purchase Agreement”) with certain investors (the “May Purchasers”). Pursuant to the terms of the May Purchase Agreement, we sold to the May Purchasers an aggregate of 2,084,850 shares of our common stock at a purchase price equal to $2.0625 per share. In a concurrent private placement, we issued to the Purchasers warrants to purchase an aggregate of 1,042,425 shares of our common stock. In connection with the registered direct offering and concurrent private placement, we received gross proceeds of $4.3 million. Each warrant is exercisable for one share of common stock and features an exercise price equal to $2.0625 per share. The warrants are exercisable immediately upon issuance and will expire five and one-half years from the issuance date.</w:t>
      </w:r>
    </w:p>
    <w:p>
      <w:pPr>
        <w:spacing w:after="0" w:line="205" w:lineRule="exact"/>
        <w:rPr>
          <w:sz w:val="20"/>
          <w:szCs w:val="20"/>
          <w:color w:val="auto"/>
        </w:rPr>
      </w:pPr>
    </w:p>
    <w:p>
      <w:pPr>
        <w:jc w:val="both"/>
        <w:ind w:firstLine="283"/>
        <w:spacing w:after="0" w:line="273" w:lineRule="auto"/>
        <w:rPr>
          <w:sz w:val="20"/>
          <w:szCs w:val="20"/>
          <w:color w:val="auto"/>
        </w:rPr>
      </w:pPr>
      <w:r>
        <w:rPr>
          <w:rFonts w:ascii="Arial" w:cs="Arial" w:eastAsia="Arial" w:hAnsi="Arial"/>
          <w:sz w:val="17"/>
          <w:szCs w:val="17"/>
          <w:color w:val="auto"/>
        </w:rPr>
        <w:t>In April 2020, we entered into a securities purchase agreement (the “April Purchase Agreement”) with certain investors (the “April Purchasers”). Pursuant to the terms of the April Purchase Agreement, we sold to the Purchasers an aggregate of 2,162,166 shares of our common stock at a purchase price equal to $2.3125 per share. In a concurrent private placement, we issued to the April Purchasers warrants to purchase an aggregate of 1,081,083 shares of our common stock. In connection with the registered direct offering and concurrent private placement, we received gross proceeds of $5.0 million. Each warrant is exercisable for one share of common stock and features an exercise price equal to $2.2500 per share. The warrants are exercisable immediately upon issuance and will expire five and one-half years from the issuance date.</w:t>
      </w:r>
    </w:p>
    <w:p>
      <w:pPr>
        <w:spacing w:after="0" w:line="205" w:lineRule="exact"/>
        <w:rPr>
          <w:sz w:val="20"/>
          <w:szCs w:val="20"/>
          <w:color w:val="auto"/>
        </w:rPr>
      </w:pPr>
    </w:p>
    <w:p>
      <w:pPr>
        <w:jc w:val="both"/>
        <w:ind w:firstLine="325"/>
        <w:spacing w:after="0" w:line="279" w:lineRule="auto"/>
        <w:rPr>
          <w:sz w:val="20"/>
          <w:szCs w:val="20"/>
          <w:color w:val="auto"/>
        </w:rPr>
      </w:pPr>
      <w:r>
        <w:rPr>
          <w:rFonts w:ascii="Arial" w:cs="Arial" w:eastAsia="Arial" w:hAnsi="Arial"/>
          <w:sz w:val="17"/>
          <w:szCs w:val="17"/>
          <w:color w:val="auto"/>
        </w:rPr>
        <w:t>In December 2019, we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April 21, 2020, we received final approval from NJEDA, and it subsequently sold a portion of its NJ NOLs to a qualifying and approved buyer pursuant to the Program for net proceeds of $10.9 million.</w:t>
      </w:r>
    </w:p>
    <w:p>
      <w:pPr>
        <w:spacing w:after="0" w:line="19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In March 2019, we and Lincoln Park Capital Fund, LLC (“Lincoln Park”) entered into a purchase agreement (the “Purchase Agreement”) and a registration rights agreement (the “Registration Rights Agreement”), pursuant to which we have the right to sell to Lincoln Park shares of our common stock having an aggregate value of up to $26 million, subject to certain limitations and conditions set forth in the Purchase Agreement (the “Offering”). As consideration for entering into the Purchase Agreement, we issued to Lincoln Park an additional 181,510 shares of common stock as commitment shares. 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we have the right, from time to time, at our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$2,500,000, unless we and Lincoln Park mutually agree to increase the maximum amount of such single purchase (each, a “Regular Purchase”). If we direct Lincoln Park to purchase the maximum number of shares of common stock it then may sell in a Regular Purchase, then in addition to such Regular Purchase, and subject to certain conditions and limitations in the Purchase Agreement, we may direct Lincoln Park in an “accelerated purchase” to purchase an additional amount of common stock that may not exceed the lesser of (i) 300% the number of shares purchased pursuant to the corresponding Regular Purchase or (ii) 30% of the total number of shares of our common stock traded during a specified period on the applicable purchase date as set forth in the Purchase Agreement. Under certain circumstances and in accordance with the Purchase Agreement, we may direct Lincoln Park to purchase shares in multiple accelerated purchases on the same trading day. As of September 30, 2020, we had not made any sales of common stock to Lincoln Park under the Purchase Agreement other than the Initial Purchase.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251"/>
        <w:spacing w:after="0" w:line="268" w:lineRule="auto"/>
        <w:rPr>
          <w:sz w:val="20"/>
          <w:szCs w:val="20"/>
          <w:color w:val="auto"/>
        </w:rPr>
      </w:pPr>
      <w:r>
        <w:rPr>
          <w:rFonts w:ascii="Arial" w:cs="Arial" w:eastAsia="Arial" w:hAnsi="Arial"/>
          <w:sz w:val="17"/>
          <w:szCs w:val="17"/>
          <w:color w:val="auto"/>
        </w:rPr>
        <w:t>In February 2018, we entered into a common stock sales agreement (the "Sales Agreement") with H.C. Wainwright &amp; Co., LLC ("HCW"), as sales agent, in connection with an “at the market offering” under which we from time to time may offer and sell shares of our common stock, which was further amended in August 2018, having an aggregate offering price of up to $25 million. In March 2019, subsequent to the filing of our 2018 Form 10-K, the aggregate market value of our outstanding common stock held by non-affiliates was approximately $52.8 million. Pursuant to General Instruction I.B.6 of Form S-3, since the aggregate market value of our outstanding common stock held by non-affiliates was below $75.0 million at the time of our 2018 Form 10-K filing, the aggregate amount of securities that we were permitted to offer and sell at such time was reduced to $17.6 million (or a maximum of 4.8 million shares), which was equal to one-third of the aggregate market value of our common stock held by non-affiliates at such time. Subject to the terms and conditions of the Sales Agreement, HCW will use its commercially reasonable efforts consistent with its normal trading and sales practices to sell the shares from time to time, based upon our instructions, including any price, time or size limits specified by us. We have provided HCW with customary indemnification rights, and HCW will be entitled to a commission at a fixed commission rate equal to 3.0% of the gross proceeds per share sold. We have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 During the nine months ended September 30, 2020, the Company issued 3,558,778 shares of common stock under the Sales Agreement for net proceeds of $8.5 million. As of September 30, 2020, we issued 3,784,912 shares of common stock under the Sales Agreement for net proceeds of $9.5 million.</w:t>
      </w:r>
    </w:p>
    <w:p>
      <w:pPr>
        <w:spacing w:after="0" w:line="209" w:lineRule="exact"/>
        <w:rPr>
          <w:sz w:val="20"/>
          <w:szCs w:val="20"/>
          <w:color w:val="auto"/>
        </w:rPr>
      </w:pPr>
    </w:p>
    <w:p>
      <w:pPr>
        <w:jc w:val="both"/>
        <w:ind w:firstLine="192"/>
        <w:spacing w:after="0" w:line="273" w:lineRule="auto"/>
        <w:rPr>
          <w:sz w:val="20"/>
          <w:szCs w:val="20"/>
          <w:color w:val="auto"/>
        </w:rPr>
      </w:pPr>
      <w:r>
        <w:rPr>
          <w:rFonts w:ascii="Arial" w:cs="Arial" w:eastAsia="Arial" w:hAnsi="Arial"/>
          <w:sz w:val="17"/>
          <w:szCs w:val="17"/>
          <w:color w:val="auto"/>
        </w:rPr>
        <w:t>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believe that our operations are seasonal in nature.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There have been no material changes in our critical accounting policies and estimates during the three and nine months ended September 30, 2020, compared to those reported in our 2019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Disclosure controls and procedures are the controls and other procedures we have designed to ensure that information required to be disclosed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collusion of two or more people, or by management override of the control. Controls and procedures can only provide reasonable, not absolute, assurance that the above objectives have been met.</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September 30, 2020, we carried out an evaluation, with the participation of our management, including our principal executive officer and principal financial officer, of the effectiveness of our disclosure controls and procedures pursuant to Rule 13a-15(e) and 15d-15(e) of the Exchange Act. Based on that evaluation, our principal executive officer and principal financial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principal executive officer and principal financial officer, as appropriate to allow timely decisions regarding required disclosure.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the disclosures previously reported in our 2019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as set forth below, there have been no material changes to the risk factors previously reported in our 2019 Form 10-K. See the risk factors set forth in our 2019 Annual Report on Form 10-K under the caption "Item 1 A - Risk Factors."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Pandemics such as the coronavirus (COVID-19) could have an adverse impact on our developmental programs and our financial condition.</w:t>
      </w:r>
    </w:p>
    <w:p>
      <w:pPr>
        <w:spacing w:after="0" w:line="264" w:lineRule="exact"/>
        <w:rPr>
          <w:sz w:val="20"/>
          <w:szCs w:val="20"/>
          <w:color w:val="auto"/>
        </w:rPr>
      </w:pPr>
    </w:p>
    <w:p>
      <w:pPr>
        <w:jc w:val="both"/>
        <w:ind w:firstLine="363"/>
        <w:spacing w:after="0" w:line="285" w:lineRule="auto"/>
        <w:rPr>
          <w:sz w:val="20"/>
          <w:szCs w:val="20"/>
          <w:color w:val="auto"/>
        </w:rPr>
      </w:pPr>
      <w:r>
        <w:rPr>
          <w:rFonts w:ascii="Arial" w:cs="Arial" w:eastAsia="Arial" w:hAnsi="Arial"/>
          <w:sz w:val="16"/>
          <w:szCs w:val="16"/>
          <w:color w:val="auto"/>
        </w:rPr>
        <w:t>In December 2019, a novel strain of coronavirus (COVID-19) was first identified in Wuhan, Hubei Province, China, which has since spread throughout the world and has become a formal pandemic. The COVID-19 pandemic has affected our operations and may materially affect our business. In response to the pandemic, we have limited operations, including implemented work from home and social distancing policies. For instance, our clinical trials may suffer from lower than anticipated patient recruitment or enrollment and we may be forced to temporarily delay ongoing trials. In addition, we risk a delay, default and/or nonperformance under our existing agreements arising from force majeure. The extent to which COVID-19 impacts our results will depend on future developments, which are highly uncertain and cannot be predicted, including new information which may emerge concerning the severity of COVID-19 and the actions to contain it or treat its impact, among others. In addition, COVID-19 has resulted in significant governmental measures being implemented to control the spread of the virus, including quarantines, travel restrictions, social distancing and business shutdowns. We have taken temporary precautionary measures intended to help minimize the risk of the virus to our employees, including temporarily requiring all employees to work remotely. We suspended non-essential travel worldwide for our employees and are discouraging employee attendance at other gatherings. These measures could negatively affect our business. For instance, temporarily requiring all employees to work remotely may induce absenteeism, disrupt our operations or increase the risk of a cybersecurity incident. COVID-19 has also caused volatility in the global financial markets and threatened a slowdown in the global economy, which may negatively affect our ability to raise additional capital on attractive terms or at all. The extent to which COVID-19 may impact our business will depend on future developments, which are highly uncertain and cannot be predicted with confidence, such as the duration of the pandemic, the severity of COVID-19 or the effectiveness of actions to contain and treat COVID-19, particularly in the geographies where we or our third party suppliers, contract manufacturers, or contract research organizations operate. We cannot presently predict the scope and severity of any potential business shutdowns or disruptions. If we or any of the third parties with whom we engage, however,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July 2020, we entered into a securities purchase agreement (the “Private Placement”) with certain investors (the “Private Placement Purchasers”). Pursuant to the terms of the Private Placement, we sold to the Private Placement Purchasers an aggregate of 969,694 unregistered shares of our common stock at a purchase price equal to $2.0625 per share, along with unregistered warrants to purchase an aggregate of 484,847 shares of our common stock. In connection with the Private Placement, we received gross proceeds of $2.0 million. Each warrant is exercisable for one share of common stock and features an exercise price equal to $2.0625 per share. The warrants are exercisable immediately upon issuance and will expire five and one-half years from the issuance date. Those shares and warrant shares were subsequently registered with the SEC pursuant to a resale registration statement made effective on August 27,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previously disclosed, on July 31, 2020, Mr. Joseph Talamo, the Company’s Senior Vice President and Chief Financial Officer, notified the Company of his intent to resign to pursue other career opportunities. Mr. Talamo provided transitional assistance through August 21, 2020, the effective date of his resignation. The Board of Directors of the Company appointed Dr. David J. Mazzo, Ph.D., who currently serves as the Company’s President and Chief Executive Officer, as the Company’s Principal Financial Officer, effective as of November 4, 2020. The Company expects that Dr. Mazzo will serve as the Company’s Principal Financial Officer until such time as the Company appoints a permanent Chief Financial Officer to replace Mr. Talamo.</w:t>
      </w:r>
    </w:p>
    <w:p>
      <w:pPr>
        <w:spacing w:after="0" w:line="18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Dr. Mazzo was appointed as the Company’s President and Chief Executive Officer on March 28, 2017. Dr. Mazzo was previously appointed as the Company’s Chief Executive Officer and as a member of the Company’s Board of Directors on January 5, 2015. Dr. Mazzo brings to the Company over 35 years of experience in the pharmaceutical industry. Prior to joining the Company, Dr. Mazzo served from August 2008 to October 2014 as Chief Executive Officer and as a member of the Board of Directors of Regado Biosciences, Inc. (Nasdaq: RGDO), a biopharmaceutical company focused on the development of novel antithrombotic drug systems for acute and sub-acute cardiovascular indications. Prior to his leading Regado, from March 2007 to April 2008, Dr. Mazzo was President, Chief Executive Officer and a director of Æterna Zentaris, Inc. (Nasdaq: AEZS), a publicly held international biopharmaceutical company. From 2003 until 2007, Dr. Mazzo served as President, Chief Executive Officer and a director of Chugai Pharma USA, LLC, a biopharmaceutical company which was the U.S. subsidiary of Chugai Pharmaceutical Co., Ltd. of Japan. Dr. Mazzo has also held senior management and executive positions in research and development and was a director of the Essex Chimie European subsidiary at Schering-Plough Corporation, a publicly held pharmaceutical company that was subsequently acquired by Merck &amp; Co., Inc.; Hoechst Marion Roussel, Inc., the US subsidiary of Hoechst AG, which was subsequently acquired by Sanofi, a multinational pharmaceuticals company; and Rhone-Poulenc Rorer, Inc., a subsidiary of Rhone-Poulenc SA, a French pharmaceuticals company, which was subsequently acquired by Hoechst AG. He also previously served on the board of directors of Avanir Pharmaceuticals, Inc., from October 2005 through January 2015, a biotechnology company which was sold to Otsuka Holdings in 2015. He currently serves on the board of directors of VTI, Inc., a developer and seller of therapeutic contact lenses, where he has served as Chairman of the Board since February 2020, and Seneca Biopharmaceuticals, Inc., a therapeutics development company focused on CNS applications, where he has served on the board since April 2019. Dr. Mazzo served on the board ofEyePoint Pharmaceuticals, Inc. (formerly known as pSivida Corp.), a publicly held biopharmaceutical company, from October 2005 until his recent retirement from that board in June 2020. Dr. Mazzo earned a B.A. in the Honors Program (Interdisciplinary Humanities) and a B.S. in Chemistry from Villanova University. In addition, Dr. Mazzo received his M.S. in chemistry and his Ph.D. degree in Analytical Chemistry from the University of Massachusetts, Amherst. He was also a research fellow at the Ecole Polytechnique Federale de Lausanne, Switzerland.</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Aside from the employment agreement pursuant to which Dr. Mazzo serves as Chief Executive Officer of the Company, there are no arrangements or understandings between Dr. Mazzo and any other persons pursuant to which he was selected as a director or officer of the Company, he has no direct or indirect material interest in any transaction required to be disclosed pursuant to Item 404(a) of Regulation S-K and there are no family relationships between Dr. Mazzo and any director or executive officer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Exhibit Index appearing immediately after the signature page to this Form 10-Q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left="120" w:firstLine="26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CALADRIUS BIOSCIENCES, INC.</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J. Mazzo, PhD</w:t>
      </w:r>
    </w:p>
    <w:p>
      <w:pPr>
        <w:ind w:left="2140"/>
        <w:spacing w:after="0" w:line="228" w:lineRule="auto"/>
        <w:tabs>
          <w:tab w:leader="none" w:pos="5700" w:val="left"/>
        </w:tabs>
        <w:rPr>
          <w:sz w:val="20"/>
          <w:szCs w:val="20"/>
          <w:color w:val="auto"/>
        </w:rPr>
      </w:pPr>
      <w:r>
        <w:rPr>
          <w:rFonts w:ascii="Arial" w:cs="Arial" w:eastAsia="Arial" w:hAnsi="Arial"/>
          <w:sz w:val="20"/>
          <w:szCs w:val="20"/>
          <w:color w:val="auto"/>
          <w:vertAlign w:val="subscript"/>
        </w:rPr>
        <w:t>November 5, 2020</w:t>
      </w:r>
      <w:r>
        <w:rPr>
          <w:sz w:val="20"/>
          <w:szCs w:val="20"/>
          <w:color w:val="auto"/>
        </w:rPr>
        <w:tab/>
      </w:r>
      <w:r>
        <w:rPr>
          <w:rFonts w:ascii="Arial" w:cs="Arial" w:eastAsia="Arial" w:hAnsi="Arial"/>
          <w:sz w:val="16"/>
          <w:szCs w:val="16"/>
          <w:color w:val="auto"/>
        </w:rPr>
        <w:t>Name: David J. Mazzo, PhD</w:t>
      </w:r>
    </w:p>
    <w:p>
      <w:pPr>
        <w:ind w:left="5720"/>
        <w:spacing w:after="0" w:line="203" w:lineRule="auto"/>
        <w:rPr>
          <w:sz w:val="20"/>
          <w:szCs w:val="20"/>
          <w:color w:val="auto"/>
        </w:rPr>
      </w:pPr>
      <w:r>
        <w:rPr>
          <w:rFonts w:ascii="Arial" w:cs="Arial" w:eastAsia="Arial" w:hAnsi="Arial"/>
          <w:sz w:val="18"/>
          <w:szCs w:val="18"/>
          <w:color w:val="auto"/>
        </w:rPr>
        <w:t>Title: President and Chief Executive Officer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40" w:type="dxa"/>
            <w:vAlign w:val="bottom"/>
          </w:tcPr>
          <w:p>
            <w:pPr>
              <w:jc w:val="center"/>
              <w:ind w:right="1077"/>
              <w:spacing w:after="0"/>
              <w:rPr>
                <w:sz w:val="20"/>
                <w:szCs w:val="20"/>
                <w:color w:val="auto"/>
              </w:rPr>
            </w:pPr>
            <w:r>
              <w:rPr>
                <w:rFonts w:ascii="Arial" w:cs="Arial" w:eastAsia="Arial" w:hAnsi="Arial"/>
                <w:sz w:val="18"/>
                <w:szCs w:val="18"/>
                <w:b w:val="1"/>
                <w:bCs w:val="1"/>
                <w:color w:val="auto"/>
                <w:w w:val="99"/>
              </w:rPr>
              <w:t>CALADRIUS BIOSCIENCES, INC.</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40" w:type="dxa"/>
            <w:vAlign w:val="bottom"/>
          </w:tcPr>
          <w:p>
            <w:pPr>
              <w:jc w:val="center"/>
              <w:ind w:right="1057"/>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40" w:type="dxa"/>
            <w:vAlign w:val="bottom"/>
          </w:tcPr>
          <w:p>
            <w:pPr>
              <w:jc w:val="center"/>
              <w:ind w:right="1057"/>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4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w w:val="94"/>
              </w:rPr>
              <w:t>Form of Securities Purchase Agreement, dated as of July 10, 2020, by and between Caladrius Biosciences, Inc. and each</w:t>
            </w: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jc w:val="right"/>
              <w:ind w:right="99"/>
              <w:spacing w:after="0" w:line="176" w:lineRule="exact"/>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10.1</w:t>
              </w:r>
            </w:hyperlink>
          </w:p>
        </w:tc>
        <w:tc>
          <w:tcPr>
            <w:tcW w:w="380" w:type="dxa"/>
            <w:vAlign w:val="bottom"/>
            <w:shd w:val="clear" w:color="auto" w:fill="CCEEFF"/>
          </w:tcPr>
          <w:p>
            <w:pPr>
              <w:spacing w:after="0"/>
              <w:rPr>
                <w:sz w:val="15"/>
                <w:szCs w:val="15"/>
                <w:color w:val="auto"/>
              </w:rPr>
            </w:pPr>
          </w:p>
        </w:tc>
        <w:tc>
          <w:tcPr>
            <w:tcW w:w="8240" w:type="dxa"/>
            <w:vAlign w:val="bottom"/>
            <w:shd w:val="clear" w:color="auto" w:fill="CCEEFF"/>
          </w:tcPr>
          <w:p>
            <w:pPr>
              <w:ind w:left="120"/>
              <w:spacing w:after="0" w:line="176" w:lineRule="exact"/>
              <w:rPr>
                <w:sz w:val="20"/>
                <w:szCs w:val="20"/>
                <w:color w:val="auto"/>
              </w:rPr>
            </w:pPr>
            <w:r>
              <w:rPr>
                <w:rFonts w:ascii="Arial" w:cs="Arial" w:eastAsia="Arial" w:hAnsi="Arial"/>
                <w:sz w:val="16"/>
                <w:szCs w:val="16"/>
                <w:color w:val="auto"/>
                <w:w w:val="93"/>
              </w:rPr>
              <w:t>purchaser identified on the signature pages thereto (incorporated by reference to Exhibit 10.1 of the Registrant’s Form 8-K</w:t>
            </w:r>
          </w:p>
        </w:tc>
        <w:tc>
          <w:tcPr>
            <w:tcW w:w="0" w:type="dxa"/>
            <w:vAlign w:val="bottom"/>
          </w:tcPr>
          <w:p>
            <w:pPr>
              <w:spacing w:after="0"/>
              <w:rPr>
                <w:sz w:val="1"/>
                <w:szCs w:val="1"/>
                <w:color w:val="auto"/>
              </w:rPr>
            </w:pPr>
          </w:p>
        </w:tc>
      </w:tr>
      <w:tr>
        <w:trPr>
          <w:trHeight w:val="232"/>
        </w:trPr>
        <w:tc>
          <w:tcPr>
            <w:tcW w:w="7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filed on July 10, 2020).</w:t>
            </w:r>
          </w:p>
        </w:tc>
        <w:tc>
          <w:tcPr>
            <w:tcW w:w="0" w:type="dxa"/>
            <w:vAlign w:val="bottom"/>
          </w:tcPr>
          <w:p>
            <w:pPr>
              <w:spacing w:after="0"/>
              <w:rPr>
                <w:sz w:val="1"/>
                <w:szCs w:val="1"/>
                <w:color w:val="auto"/>
              </w:rPr>
            </w:pPr>
          </w:p>
        </w:tc>
      </w:tr>
      <w:tr>
        <w:trPr>
          <w:trHeight w:val="166"/>
        </w:trPr>
        <w:tc>
          <w:tcPr>
            <w:tcW w:w="780" w:type="dxa"/>
            <w:vAlign w:val="bottom"/>
            <w:vMerge w:val="restart"/>
          </w:tcPr>
          <w:p>
            <w:pPr>
              <w:jc w:val="right"/>
              <w:ind w:right="99"/>
              <w:spacing w:after="0"/>
              <w:rPr>
                <w:rFonts w:ascii="Arial" w:cs="Arial" w:eastAsia="Arial" w:hAnsi="Arial"/>
                <w:sz w:val="16"/>
                <w:szCs w:val="16"/>
                <w:u w:val="single" w:color="auto"/>
                <w:color w:val="0000FF"/>
              </w:rPr>
            </w:pPr>
            <w:hyperlink r:id="rId41">
              <w:r>
                <w:rPr>
                  <w:rFonts w:ascii="Arial" w:cs="Arial" w:eastAsia="Arial" w:hAnsi="Arial"/>
                  <w:sz w:val="16"/>
                  <w:szCs w:val="16"/>
                  <w:u w:val="single" w:color="auto"/>
                  <w:color w:val="0000FF"/>
                </w:rPr>
                <w:t>10.2</w:t>
              </w:r>
            </w:hyperlink>
          </w:p>
        </w:tc>
        <w:tc>
          <w:tcPr>
            <w:tcW w:w="380" w:type="dxa"/>
            <w:vAlign w:val="bottom"/>
          </w:tcPr>
          <w:p>
            <w:pPr>
              <w:spacing w:after="0"/>
              <w:rPr>
                <w:sz w:val="14"/>
                <w:szCs w:val="14"/>
                <w:color w:val="auto"/>
              </w:rPr>
            </w:pPr>
          </w:p>
        </w:tc>
        <w:tc>
          <w:tcPr>
            <w:tcW w:w="8240" w:type="dxa"/>
            <w:vAlign w:val="bottom"/>
          </w:tcPr>
          <w:p>
            <w:pPr>
              <w:ind w:left="120"/>
              <w:spacing w:after="0" w:line="166" w:lineRule="exact"/>
              <w:rPr>
                <w:sz w:val="20"/>
                <w:szCs w:val="20"/>
                <w:color w:val="auto"/>
              </w:rPr>
            </w:pPr>
            <w:r>
              <w:rPr>
                <w:rFonts w:ascii="Arial" w:cs="Arial" w:eastAsia="Arial" w:hAnsi="Arial"/>
                <w:sz w:val="16"/>
                <w:szCs w:val="16"/>
                <w:color w:val="auto"/>
                <w:w w:val="94"/>
              </w:rPr>
              <w:t>Form of Registration Rights Agreement, dated as of July 10, 2020, by and between Caladrius Biosciences, Inc. and each</w:t>
            </w:r>
          </w:p>
        </w:tc>
        <w:tc>
          <w:tcPr>
            <w:tcW w:w="0" w:type="dxa"/>
            <w:vAlign w:val="bottom"/>
          </w:tcPr>
          <w:p>
            <w:pPr>
              <w:spacing w:after="0"/>
              <w:rPr>
                <w:sz w:val="1"/>
                <w:szCs w:val="1"/>
                <w:color w:val="auto"/>
              </w:rPr>
            </w:pPr>
          </w:p>
        </w:tc>
      </w:tr>
      <w:tr>
        <w:trPr>
          <w:trHeight w:val="162"/>
        </w:trPr>
        <w:tc>
          <w:tcPr>
            <w:tcW w:w="7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40" w:type="dxa"/>
            <w:vAlign w:val="bottom"/>
          </w:tcPr>
          <w:p>
            <w:pPr>
              <w:ind w:left="120"/>
              <w:spacing w:after="0" w:line="162" w:lineRule="exact"/>
              <w:rPr>
                <w:sz w:val="20"/>
                <w:szCs w:val="20"/>
                <w:color w:val="auto"/>
              </w:rPr>
            </w:pPr>
            <w:r>
              <w:rPr>
                <w:rFonts w:ascii="Arial" w:cs="Arial" w:eastAsia="Arial" w:hAnsi="Arial"/>
                <w:sz w:val="16"/>
                <w:szCs w:val="16"/>
                <w:color w:val="auto"/>
                <w:w w:val="93"/>
              </w:rPr>
              <w:t>purchaser identified on the signature pages thereto (incorporated by reference to Exhibit 10.2 of the Registrant’s Form 8-K</w:t>
            </w: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6"/>
                <w:szCs w:val="16"/>
                <w:color w:val="auto"/>
              </w:rPr>
              <w:t>filed on July 10, 2020).</w:t>
            </w:r>
          </w:p>
        </w:tc>
        <w:tc>
          <w:tcPr>
            <w:tcW w:w="0" w:type="dxa"/>
            <w:vAlign w:val="bottom"/>
          </w:tcPr>
          <w:p>
            <w:pPr>
              <w:spacing w:after="0"/>
              <w:rPr>
                <w:sz w:val="1"/>
                <w:szCs w:val="1"/>
                <w:color w:val="auto"/>
              </w:rPr>
            </w:pPr>
          </w:p>
        </w:tc>
      </w:tr>
      <w:tr>
        <w:trPr>
          <w:trHeight w:val="169"/>
        </w:trPr>
        <w:tc>
          <w:tcPr>
            <w:tcW w:w="780" w:type="dxa"/>
            <w:vAlign w:val="bottom"/>
            <w:vMerge w:val="restart"/>
            <w:shd w:val="clear" w:color="auto" w:fill="CCEEFF"/>
          </w:tcPr>
          <w:p>
            <w:pPr>
              <w:jc w:val="right"/>
              <w:ind w:right="99"/>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31.1</w:t>
              </w:r>
            </w:hyperlink>
          </w:p>
        </w:tc>
        <w:tc>
          <w:tcPr>
            <w:tcW w:w="380" w:type="dxa"/>
            <w:vAlign w:val="bottom"/>
            <w:shd w:val="clear" w:color="auto" w:fill="CCEEFF"/>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824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5"/>
              </w:rPr>
              <w:t>Certification of Principal Executive Officer and Principal Financial Officer pursuant to Section 302 of the Sarbanes-Oxley</w:t>
            </w:r>
          </w:p>
        </w:tc>
        <w:tc>
          <w:tcPr>
            <w:tcW w:w="0" w:type="dxa"/>
            <w:vAlign w:val="bottom"/>
          </w:tcPr>
          <w:p>
            <w:pPr>
              <w:spacing w:after="0"/>
              <w:rPr>
                <w:sz w:val="1"/>
                <w:szCs w:val="1"/>
                <w:color w:val="auto"/>
              </w:rPr>
            </w:pPr>
          </w:p>
        </w:tc>
      </w:tr>
      <w:tr>
        <w:trPr>
          <w:trHeight w:val="125"/>
        </w:trPr>
        <w:tc>
          <w:tcPr>
            <w:tcW w:w="780" w:type="dxa"/>
            <w:vAlign w:val="bottom"/>
            <w:vMerge w:val="continue"/>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24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Act of 2002</w:t>
            </w:r>
          </w:p>
        </w:tc>
        <w:tc>
          <w:tcPr>
            <w:tcW w:w="0" w:type="dxa"/>
            <w:vAlign w:val="bottom"/>
          </w:tcPr>
          <w:p>
            <w:pPr>
              <w:spacing w:after="0"/>
              <w:rPr>
                <w:sz w:val="1"/>
                <w:szCs w:val="1"/>
                <w:color w:val="auto"/>
              </w:rPr>
            </w:pPr>
          </w:p>
        </w:tc>
      </w:tr>
      <w:tr>
        <w:trPr>
          <w:trHeight w:val="87"/>
        </w:trPr>
        <w:tc>
          <w:tcPr>
            <w:tcW w:w="7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2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ind w:left="2200" w:hanging="338"/>
        <w:spacing w:after="0" w:line="225" w:lineRule="auto"/>
        <w:tabs>
          <w:tab w:leader="none" w:pos="2200" w:val="left"/>
        </w:tabs>
        <w:numPr>
          <w:ilvl w:val="0"/>
          <w:numId w:val="7"/>
        </w:numPr>
        <w:rPr>
          <w:rFonts w:ascii="Arial" w:cs="Arial" w:eastAsia="Arial" w:hAnsi="Arial"/>
          <w:sz w:val="15"/>
          <w:szCs w:val="15"/>
          <w:color w:val="auto"/>
        </w:rPr>
      </w:pPr>
      <w:r>
        <w:rPr>
          <w:rFonts w:ascii="Arial" w:cs="Arial" w:eastAsia="Arial" w:hAnsi="Arial"/>
          <w:sz w:val="15"/>
          <w:szCs w:val="15"/>
          <w:color w:val="auto"/>
        </w:rPr>
        <w:t>Certification of Principal Executive Officer and Principal Financial Officer pursuant to 18 U.S.C. Section 1350, as adopted</w:t>
      </w:r>
    </w:p>
    <w:tbl>
      <w:tblPr>
        <w:tblLayout w:type="fixed"/>
        <w:tblInd w:w="920" w:type="dxa"/>
        <w:tblCellMar>
          <w:top w:w="0" w:type="dxa"/>
          <w:left w:w="0" w:type="dxa"/>
          <w:bottom w:w="0" w:type="dxa"/>
          <w:right w:w="0" w:type="dxa"/>
        </w:tblCellMar>
      </w:tblPr>
      <w:tr>
        <w:trPr>
          <w:trHeight w:val="210"/>
        </w:trPr>
        <w:tc>
          <w:tcPr>
            <w:tcW w:w="1020" w:type="dxa"/>
            <w:vAlign w:val="bottom"/>
          </w:tcPr>
          <w:p>
            <w:pPr>
              <w:jc w:val="center"/>
              <w:ind w:right="19"/>
              <w:spacing w:after="0" w:line="157" w:lineRule="exact"/>
              <w:rPr>
                <w:rFonts w:ascii="Arial" w:cs="Arial" w:eastAsia="Arial" w:hAnsi="Arial"/>
                <w:sz w:val="16"/>
                <w:szCs w:val="16"/>
                <w:u w:val="single" w:color="auto"/>
                <w:color w:val="0000FF"/>
                <w:w w:val="89"/>
              </w:rPr>
            </w:pPr>
            <w:hyperlink w:anchor="page33">
              <w:r>
                <w:rPr>
                  <w:rFonts w:ascii="Arial" w:cs="Arial" w:eastAsia="Arial" w:hAnsi="Arial"/>
                  <w:sz w:val="16"/>
                  <w:szCs w:val="16"/>
                  <w:u w:val="single" w:color="auto"/>
                  <w:color w:val="0000FF"/>
                  <w:w w:val="89"/>
                </w:rPr>
                <w:t>32.1</w:t>
              </w:r>
            </w:hyperlink>
          </w:p>
        </w:tc>
        <w:tc>
          <w:tcPr>
            <w:tcW w:w="8380" w:type="dxa"/>
            <w:vAlign w:val="bottom"/>
          </w:tcPr>
          <w:p>
            <w:pPr>
              <w:ind w:left="260"/>
              <w:spacing w:after="0"/>
              <w:rPr>
                <w:sz w:val="20"/>
                <w:szCs w:val="20"/>
                <w:color w:val="auto"/>
              </w:rPr>
            </w:pPr>
            <w:r>
              <w:rPr>
                <w:rFonts w:ascii="Arial" w:cs="Arial" w:eastAsia="Arial" w:hAnsi="Arial"/>
                <w:sz w:val="16"/>
                <w:szCs w:val="16"/>
                <w:color w:val="auto"/>
              </w:rPr>
              <w:t>pursuant to Section 906 of the Sarbanes-Oxley Act of 2002</w:t>
            </w:r>
          </w:p>
        </w:tc>
      </w:tr>
      <w:tr>
        <w:trPr>
          <w:trHeight w:val="47"/>
        </w:trPr>
        <w:tc>
          <w:tcPr>
            <w:tcW w:w="1020" w:type="dxa"/>
            <w:vAlign w:val="bottom"/>
          </w:tcPr>
          <w:p>
            <w:pPr>
              <w:spacing w:after="0"/>
              <w:rPr>
                <w:sz w:val="4"/>
                <w:szCs w:val="4"/>
                <w:color w:val="auto"/>
              </w:rPr>
            </w:pPr>
          </w:p>
        </w:tc>
        <w:tc>
          <w:tcPr>
            <w:tcW w:w="8380" w:type="dxa"/>
            <w:vAlign w:val="bottom"/>
          </w:tcPr>
          <w:p>
            <w:pPr>
              <w:spacing w:after="0"/>
              <w:rPr>
                <w:sz w:val="4"/>
                <w:szCs w:val="4"/>
                <w:color w:val="auto"/>
              </w:rPr>
            </w:pPr>
          </w:p>
        </w:tc>
      </w:tr>
      <w:tr>
        <w:trPr>
          <w:trHeight w:val="256"/>
        </w:trPr>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101.INS</w:t>
            </w:r>
          </w:p>
        </w:tc>
        <w:tc>
          <w:tcPr>
            <w:tcW w:w="8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XBRL Instance Document</w:t>
            </w:r>
          </w:p>
        </w:tc>
      </w:tr>
      <w:tr>
        <w:trPr>
          <w:trHeight w:val="253"/>
        </w:trPr>
        <w:tc>
          <w:tcPr>
            <w:tcW w:w="1020" w:type="dxa"/>
            <w:vAlign w:val="bottom"/>
          </w:tcPr>
          <w:p>
            <w:pPr>
              <w:jc w:val="center"/>
              <w:ind w:right="19"/>
              <w:spacing w:after="0"/>
              <w:rPr>
                <w:sz w:val="20"/>
                <w:szCs w:val="20"/>
                <w:color w:val="auto"/>
              </w:rPr>
            </w:pPr>
            <w:r>
              <w:rPr>
                <w:rFonts w:ascii="Arial" w:cs="Arial" w:eastAsia="Arial" w:hAnsi="Arial"/>
                <w:sz w:val="16"/>
                <w:szCs w:val="16"/>
                <w:color w:val="auto"/>
                <w:w w:val="92"/>
              </w:rPr>
              <w:t>101.SCH</w:t>
            </w:r>
          </w:p>
        </w:tc>
        <w:tc>
          <w:tcPr>
            <w:tcW w:w="8380" w:type="dxa"/>
            <w:vAlign w:val="bottom"/>
          </w:tcPr>
          <w:p>
            <w:pPr>
              <w:ind w:left="260"/>
              <w:spacing w:after="0"/>
              <w:rPr>
                <w:sz w:val="20"/>
                <w:szCs w:val="20"/>
                <w:color w:val="auto"/>
              </w:rPr>
            </w:pPr>
            <w:r>
              <w:rPr>
                <w:rFonts w:ascii="Arial" w:cs="Arial" w:eastAsia="Arial" w:hAnsi="Arial"/>
                <w:sz w:val="16"/>
                <w:szCs w:val="16"/>
                <w:color w:val="auto"/>
              </w:rPr>
              <w:t>XBRL Taxonomy Extension Schema</w:t>
            </w:r>
          </w:p>
        </w:tc>
      </w:tr>
      <w:tr>
        <w:trPr>
          <w:trHeight w:val="260"/>
        </w:trPr>
        <w:tc>
          <w:tcPr>
            <w:tcW w:w="102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6"/>
              </w:rPr>
              <w:t>101.CAL</w:t>
            </w:r>
          </w:p>
        </w:tc>
        <w:tc>
          <w:tcPr>
            <w:tcW w:w="8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XBRL Taxonomy Extension Calculation Linkbase</w:t>
            </w:r>
          </w:p>
        </w:tc>
      </w:tr>
      <w:tr>
        <w:trPr>
          <w:trHeight w:val="253"/>
        </w:trPr>
        <w:tc>
          <w:tcPr>
            <w:tcW w:w="1020" w:type="dxa"/>
            <w:vAlign w:val="bottom"/>
          </w:tcPr>
          <w:p>
            <w:pPr>
              <w:jc w:val="center"/>
              <w:spacing w:after="0"/>
              <w:rPr>
                <w:sz w:val="20"/>
                <w:szCs w:val="20"/>
                <w:color w:val="auto"/>
              </w:rPr>
            </w:pPr>
            <w:r>
              <w:rPr>
                <w:rFonts w:ascii="Arial" w:cs="Arial" w:eastAsia="Arial" w:hAnsi="Arial"/>
                <w:sz w:val="16"/>
                <w:szCs w:val="16"/>
                <w:color w:val="auto"/>
                <w:w w:val="91"/>
              </w:rPr>
              <w:t>101.DEF</w:t>
            </w:r>
          </w:p>
        </w:tc>
        <w:tc>
          <w:tcPr>
            <w:tcW w:w="8380" w:type="dxa"/>
            <w:vAlign w:val="bottom"/>
          </w:tcPr>
          <w:p>
            <w:pPr>
              <w:ind w:left="260"/>
              <w:spacing w:after="0"/>
              <w:rPr>
                <w:sz w:val="20"/>
                <w:szCs w:val="20"/>
                <w:color w:val="auto"/>
              </w:rPr>
            </w:pPr>
            <w:r>
              <w:rPr>
                <w:rFonts w:ascii="Arial" w:cs="Arial" w:eastAsia="Arial" w:hAnsi="Arial"/>
                <w:sz w:val="16"/>
                <w:szCs w:val="16"/>
                <w:color w:val="auto"/>
              </w:rPr>
              <w:t>XBRL Taxonomy Extension Definition Linkbase</w:t>
            </w:r>
          </w:p>
        </w:tc>
      </w:tr>
      <w:tr>
        <w:trPr>
          <w:trHeight w:val="260"/>
        </w:trPr>
        <w:tc>
          <w:tcPr>
            <w:tcW w:w="102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7"/>
              </w:rPr>
              <w:t>101.LAB</w:t>
            </w:r>
          </w:p>
        </w:tc>
        <w:tc>
          <w:tcPr>
            <w:tcW w:w="8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XBRL Taxonomy Extension Label Linkbase</w:t>
            </w:r>
          </w:p>
        </w:tc>
      </w:tr>
      <w:tr>
        <w:trPr>
          <w:trHeight w:val="251"/>
        </w:trPr>
        <w:tc>
          <w:tcPr>
            <w:tcW w:w="1020" w:type="dxa"/>
            <w:vAlign w:val="bottom"/>
          </w:tcPr>
          <w:p>
            <w:pPr>
              <w:jc w:val="center"/>
              <w:spacing w:after="0"/>
              <w:rPr>
                <w:sz w:val="20"/>
                <w:szCs w:val="20"/>
                <w:color w:val="auto"/>
              </w:rPr>
            </w:pPr>
            <w:r>
              <w:rPr>
                <w:rFonts w:ascii="Arial" w:cs="Arial" w:eastAsia="Arial" w:hAnsi="Arial"/>
                <w:sz w:val="16"/>
                <w:szCs w:val="16"/>
                <w:color w:val="auto"/>
                <w:w w:val="90"/>
              </w:rPr>
              <w:t>101.PRE</w:t>
            </w:r>
          </w:p>
        </w:tc>
        <w:tc>
          <w:tcPr>
            <w:tcW w:w="8380" w:type="dxa"/>
            <w:vAlign w:val="bottom"/>
          </w:tcPr>
          <w:p>
            <w:pPr>
              <w:ind w:left="26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159" w:lineRule="exact"/>
        <w:rPr>
          <w:sz w:val="20"/>
          <w:szCs w:val="20"/>
          <w:color w:val="auto"/>
        </w:rPr>
      </w:pPr>
    </w:p>
    <w:p>
      <w:pPr>
        <w:ind w:left="1320" w:hanging="37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1320" w:hanging="376"/>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320"/>
          </w:cols>
          <w:pgMar w:left="320" w:top="121" w:right="12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Mazzo, PhD, certify that:</w:t>
      </w:r>
    </w:p>
    <w:p>
      <w:pPr>
        <w:spacing w:after="0" w:line="225"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Caladrius Biosciences,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0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8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882"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8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6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8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312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J. Mazzo,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 (Principal Executive Officer)</w:t>
      </w:r>
    </w:p>
    <w:p>
      <w:pPr>
        <w:sectPr>
          <w:pgSz w:w="11900" w:h="16838" w:orient="portrait"/>
          <w:cols w:equalWidth="0" w:num="1">
            <w:col w:w="11240"/>
          </w:cols>
          <w:pgMar w:left="320" w:top="89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Caladrius Biosciences, Inc. (the “Company”) for the quarter ended September 30, 2020 filed with the Securities and Exchange Commission on the date hereof (the “Report”), I, David J. Mazzo, Chief Executive Officer of the Company, certify, pursuant to 18 U.S.C. Section 1350, as adopted pursuant to Section 906 of the Sarbanes-Oxley Act of 2002, to my knowledge that:</w:t>
      </w:r>
    </w:p>
    <w:p>
      <w:pPr>
        <w:spacing w:after="0" w:line="200" w:lineRule="exact"/>
        <w:rPr>
          <w:sz w:val="20"/>
          <w:szCs w:val="20"/>
          <w:color w:val="auto"/>
        </w:rPr>
      </w:pPr>
    </w:p>
    <w:p>
      <w:pPr>
        <w:spacing w:after="0" w:line="20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2020</w:t>
      </w:r>
    </w:p>
    <w:p>
      <w:pPr>
        <w:spacing w:after="0" w:line="374"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/s/ David J. Mazzo, PhD</w:t>
      </w:r>
    </w:p>
    <w:p>
      <w:pPr>
        <w:spacing w:after="0" w:line="6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David J. Mazzo, PhD</w:t>
      </w:r>
    </w:p>
    <w:p>
      <w:pPr>
        <w:spacing w:after="0" w:line="6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President and Chief Executive Officer (Principal Executive</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Officer)</w:t>
      </w:r>
    </w:p>
    <w:p>
      <w:pPr>
        <w:spacing w:after="0" w:line="31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0" Type="http://schemas.openxmlformats.org/officeDocument/2006/relationships/hyperlink" Target="http://www.sec.gov/Archives/edgar/data/320017/000032001720000060/pipe20200710ex101.htm" TargetMode="External"/><Relationship Id="rId41" Type="http://schemas.openxmlformats.org/officeDocument/2006/relationships/hyperlink" Target="http://www.sec.gov/Archives/edgar/data/320017/000032001720000060/pipe20200710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2020-11-05T16:30:25Z</dcterms:created>
  <dcterms:modified xsi:type="dcterms:W3CDTF">2020-11-05T16:30:25Z</dcterms:modified>
</cp:coreProperties>
</file>