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   to 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001-33650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LISATA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22-2343568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P.O. Box 173, Liberty Corner, New Jersey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07938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908-842-0100</w:t>
      </w:r>
    </w:p>
    <w:p>
      <w:pPr>
        <w:pStyle w:val="TextBody"/>
        <w:bidi w:val="0"/>
        <w:spacing w:lineRule="auto" w:line="288"/>
        <w:jc w:val="center"/>
        <w:rPr>
          <w:rFonts w:ascii="Times New Roman;serif" w:hAnsi="Times New Roman;serif"/>
          <w:b w:val="false"/>
          <w:color w:val="000000"/>
          <w:sz w:val="20"/>
          <w:u w:val="single"/>
          <w:shd w:fill="FFFF00" w:val="clear"/>
        </w:rPr>
      </w:pPr>
      <w:r>
        <w:rPr>
          <w:rFonts w:ascii="Times New Roman;serif" w:hAnsi="Times New Roman;serif"/>
          <w:b w:val="false"/>
          <w:color w:val="000000"/>
          <w:sz w:val="20"/>
          <w:u w:val="single"/>
          <w:shd w:fill="FFFF00" w:val="clear"/>
        </w:rPr>
      </w:r>
    </w:p>
    <w:tbl>
      <w:tblPr>
        <w:tblW w:w="9118" w:type="dxa"/>
        <w:jc w:val="center"/>
        <w:tblInd w:w="0" w:type="dxa"/>
        <w:tblLayout w:type="fixed"/>
        <w:tblCellMar>
          <w:top w:w="28" w:type="dxa"/>
          <w:left w:w="28" w:type="dxa"/>
          <w:bottom w:w="28" w:type="dxa"/>
          <w:right w:w="28" w:type="dxa"/>
        </w:tblCellMar>
      </w:tblPr>
      <w:tblGrid>
        <w:gridCol w:w="1305"/>
        <w:gridCol w:w="1147"/>
        <w:gridCol w:w="1147"/>
        <w:gridCol w:w="565"/>
        <w:gridCol w:w="565"/>
        <w:gridCol w:w="565"/>
        <w:gridCol w:w="1120"/>
        <w:gridCol w:w="1120"/>
        <w:gridCol w:w="1584"/>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LSTA</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6"/>
        <w:ind w:left="0" w:right="0" w:firstLine="27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66"/>
        <w:ind w:left="0" w:right="0" w:firstLine="27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66"/>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03"/>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before="0" w:after="66"/>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6550" w:type="dxa"/>
        <w:jc w:val="center"/>
        <w:tblInd w:w="0" w:type="dxa"/>
        <w:tblLayout w:type="fixed"/>
        <w:tblCellMar>
          <w:top w:w="28" w:type="dxa"/>
          <w:left w:w="28" w:type="dxa"/>
          <w:bottom w:w="28" w:type="dxa"/>
          <w:right w:w="28" w:type="dxa"/>
        </w:tblCellMar>
      </w:tblPr>
      <w:tblGrid>
        <w:gridCol w:w="1291"/>
        <w:gridCol w:w="1131"/>
        <w:gridCol w:w="1147"/>
        <w:gridCol w:w="488"/>
        <w:gridCol w:w="488"/>
        <w:gridCol w:w="451"/>
        <w:gridCol w:w="451"/>
        <w:gridCol w:w="451"/>
        <w:gridCol w:w="652"/>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w:t>
            </w:r>
          </w:p>
        </w:tc>
        <w:tc>
          <w:tcPr>
            <w:tcW w:w="29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as of August 6, 2026</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9,010,937 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r>
    </w:tbl>
    <w:p>
      <w:pPr>
        <w:pStyle w:val="TextBody"/>
        <w:bidi w:val="0"/>
        <w:spacing w:before="0" w:after="0"/>
        <w:ind w:left="0" w:right="0" w:firstLine="360"/>
        <w:jc w:val="left"/>
        <w:rPr/>
      </w:pPr>
      <w:r>
        <w:rPr/>
      </w:r>
    </w:p>
    <w:p>
      <w:pPr>
        <w:pStyle w:val="TextBody"/>
        <w:bidi w:val="0"/>
        <w:spacing w:before="0" w:after="66"/>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66"/>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ind w:left="0" w:right="0" w:firstLine="360"/>
        <w:jc w:val="both"/>
        <w:rPr/>
      </w:pPr>
      <w:r>
        <w:rPr/>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evaluation of potential strategic alternatives with a goal to enhance stockholder value, including the possibility of an acquisition, merger, reverse merger, other business combination, sales of assets, liquidation and dissolution or other strategic transactions;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outcome of our litigation against Kuva Labs, Inc. (“Kuva”) and Kuva Acquisition Corp. (“Purchaser”) relating to their failure to accept and pay for the shares tendered by our stockholders and the breach of our merger agreement with Kuva and Purchaser (the “Merger Agreement”);</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continue as a going concern;</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obtain sufficient capital or strategic business arrangements to fund our operations,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whether a market is established for our products and our ability to capture a meaningful share of this market;</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scientific, regulatory and medical developments beyond our control;</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whether any potential strategic or financial benefits of various licensing agreements will be realized;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results of our development activities;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complete our other planned clinical trials (or initiate other trials) in accordance with our estimated timelines due to lack of funding or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extent to which any future public health crisis and their long-term effects may impact, directly or indirectly, our business, including our clinical trials and financial condition;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factors discussed in “Risk Factors” herein and in our Annual Report on Form 10-K filed with the Securities and Exchange Commission (the “SEC”) on March 12, 2026 (our “2025 Form 10-K”).</w:t>
      </w:r>
    </w:p>
    <w:p>
      <w:pPr>
        <w:pStyle w:val="TextBody"/>
        <w:bidi w:val="0"/>
        <w:spacing w:lineRule="auto" w:line="288" w:before="0" w:after="160"/>
        <w:jc w:val="both"/>
        <w:rPr/>
      </w:pPr>
      <w:r>
        <w:rPr>
          <w:rFonts w:ascii="Times New Roman;serif" w:hAnsi="Times New Roman;serif"/>
          <w:b w:val="false"/>
          <w:color w:val="000000"/>
          <w:sz w:val="20"/>
        </w:rPr>
        <w:t xml:space="preserve">The factors discussed herein, including those risks described in “Item 1A. Risk Factors” and elsewhere in our 2025 Form 10-K and in our other periodic filings with the SEC, which are available for review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bidi w:val="0"/>
        <w:spacing w:before="0" w:after="6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66"/>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7"/>
        <w:gridCol w:w="243"/>
        <w:gridCol w:w="244"/>
        <w:gridCol w:w="2880"/>
        <w:gridCol w:w="2880"/>
        <w:gridCol w:w="2885"/>
        <w:gridCol w:w="231"/>
        <w:gridCol w:w="231"/>
        <w:gridCol w:w="334"/>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PART I- FINANCIAL INFORMATION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051F2"/>
                <w:sz w:val="18"/>
              </w:rPr>
            </w:pPr>
            <w:r>
              <w:rPr>
                <w:rFonts w:ascii="Times New Roman;serif" w:hAnsi="Times New Roman;serif"/>
                <w:b/>
                <w:color w:val="3051F2"/>
                <w:sz w:val="18"/>
              </w:rPr>
              <w:t>Page No.</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1.</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7ab8b83783e46cca4462b88c1721eab_10">
              <w:r>
                <w:rPr>
                  <w:rStyle w:val="InternetLink"/>
                  <w:rFonts w:ascii="Times New Roman;serif" w:hAnsi="Times New Roman;serif"/>
                  <w:b/>
                  <w:color w:val="0000FF"/>
                  <w:sz w:val="18"/>
                  <w:u w:val="single"/>
                </w:rPr>
                <w:t>Financial Statements: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3">
              <w:r>
                <w:rPr>
                  <w:rStyle w:val="InternetLink"/>
                  <w:rFonts w:ascii="Times New Roman;serif" w:hAnsi="Times New Roman;serif"/>
                  <w:b w:val="false"/>
                  <w:strike w:val="false"/>
                  <w:dstrike w:val="false"/>
                  <w:color w:val="0000FF"/>
                  <w:sz w:val="18"/>
                  <w:u w:val="none"/>
                  <w:effect w:val="none"/>
                </w:rPr>
                <w:t>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7ab8b83783e46cca4462b88c1721eab_16">
              <w:r>
                <w:rPr>
                  <w:rStyle w:val="InternetLink"/>
                  <w:rFonts w:ascii="Times New Roman;serif" w:hAnsi="Times New Roman;serif"/>
                  <w:b/>
                  <w:strike w:val="false"/>
                  <w:dstrike w:val="false"/>
                  <w:color w:val="000080"/>
                  <w:sz w:val="18"/>
                  <w:u w:val="single"/>
                  <w:effect w:val="none"/>
                </w:rPr>
                <w:t>Consolidated Balance Sheets at</w:t>
              </w:r>
            </w:hyperlink>
            <w:hyperlink w:anchor="i47ab8b83783e46cca4462b88c1721eab_16">
              <w:r>
                <w:rPr>
                  <w:rStyle w:val="InternetLink"/>
                  <w:rFonts w:ascii="Times New Roman;serif" w:hAnsi="Times New Roman;serif"/>
                  <w:b/>
                  <w:strike w:val="false"/>
                  <w:dstrike w:val="false"/>
                  <w:color w:val="000080"/>
                  <w:sz w:val="18"/>
                  <w:u w:val="single"/>
                  <w:effect w:val="none"/>
                </w:rPr>
                <w:t xml:space="preserve"> </w:t>
              </w:r>
            </w:hyperlink>
            <w:hyperlink w:anchor="i47ab8b83783e46cca4462b88c1721eab_16">
              <w:r>
                <w:rPr>
                  <w:rStyle w:val="InternetLink"/>
                  <w:rFonts w:ascii="Times New Roman;serif" w:hAnsi="Times New Roman;serif"/>
                  <w:b/>
                  <w:strike w:val="false"/>
                  <w:dstrike w:val="false"/>
                  <w:color w:val="000080"/>
                  <w:sz w:val="18"/>
                  <w:u w:val="single"/>
                  <w:effect w:val="none"/>
                </w:rPr>
                <w:t>June</w:t>
              </w:r>
            </w:hyperlink>
            <w:hyperlink w:anchor="i47ab8b83783e46cca4462b88c1721eab_16">
              <w:r>
                <w:rPr>
                  <w:rStyle w:val="InternetLink"/>
                  <w:rFonts w:ascii="Times New Roman;serif" w:hAnsi="Times New Roman;serif"/>
                  <w:b/>
                  <w:strike w:val="false"/>
                  <w:dstrike w:val="false"/>
                  <w:color w:val="000080"/>
                  <w:sz w:val="18"/>
                  <w:u w:val="single"/>
                  <w:effect w:val="none"/>
                </w:rPr>
                <w:t xml:space="preserve"> 30</w:t>
              </w:r>
            </w:hyperlink>
            <w:hyperlink w:anchor="i47ab8b83783e46cca4462b88c1721eab_16">
              <w:r>
                <w:rPr>
                  <w:rStyle w:val="InternetLink"/>
                  <w:rFonts w:ascii="Times New Roman;serif" w:hAnsi="Times New Roman;serif"/>
                  <w:b/>
                  <w:strike w:val="false"/>
                  <w:dstrike w:val="false"/>
                  <w:color w:val="000080"/>
                  <w:sz w:val="18"/>
                  <w:u w:val="single"/>
                  <w:effect w:val="none"/>
                </w:rPr>
                <w:t>, 2026 (unaudited) and December 31, 2025</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6">
              <w:r>
                <w:rPr>
                  <w:rStyle w:val="InternetLink"/>
                  <w:rFonts w:ascii="Times New Roman;serif" w:hAnsi="Times New Roman;serif"/>
                  <w:b w:val="false"/>
                  <w:strike w:val="false"/>
                  <w:dstrike w:val="false"/>
                  <w:color w:val="0000FF"/>
                  <w:sz w:val="18"/>
                  <w:u w:val="none"/>
                  <w:effect w:val="none"/>
                </w:rPr>
                <w:t>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47ab8b83783e46cca4462b88c1721eab_19">
              <w:r>
                <w:rPr>
                  <w:rStyle w:val="InternetLink"/>
                  <w:rFonts w:ascii="Times New Roman;serif" w:hAnsi="Times New Roman;serif"/>
                  <w:b/>
                  <w:strike w:val="false"/>
                  <w:dstrike w:val="false"/>
                  <w:color w:val="000080"/>
                  <w:sz w:val="18"/>
                  <w:u w:val="single"/>
                  <w:effect w:val="none"/>
                </w:rPr>
                <w:t>Consolidated Statements of Operations for the three</w:t>
              </w:r>
            </w:hyperlink>
            <w:hyperlink w:anchor="i47ab8b83783e46cca4462b88c1721eab_19">
              <w:r>
                <w:rPr>
                  <w:rStyle w:val="InternetLink"/>
                  <w:rFonts w:ascii="Times New Roman;serif" w:hAnsi="Times New Roman;serif"/>
                  <w:b/>
                  <w:strike w:val="false"/>
                  <w:dstrike w:val="false"/>
                  <w:color w:val="000080"/>
                  <w:sz w:val="18"/>
                  <w:u w:val="single"/>
                  <w:effect w:val="none"/>
                </w:rPr>
                <w:t xml:space="preserve"> and six </w:t>
              </w:r>
            </w:hyperlink>
            <w:hyperlink w:anchor="i47ab8b83783e46cca4462b88c1721eab_19">
              <w:r>
                <w:rPr>
                  <w:rStyle w:val="InternetLink"/>
                  <w:rFonts w:ascii="Times New Roman;serif" w:hAnsi="Times New Roman;serif"/>
                  <w:b/>
                  <w:strike w:val="false"/>
                  <w:dstrike w:val="false"/>
                  <w:color w:val="000080"/>
                  <w:sz w:val="18"/>
                  <w:u w:val="single"/>
                  <w:effect w:val="none"/>
                </w:rPr>
                <w:t xml:space="preserve">months ended </w:t>
              </w:r>
            </w:hyperlink>
            <w:hyperlink w:anchor="i47ab8b83783e46cca4462b88c1721eab_19">
              <w:r>
                <w:rPr>
                  <w:rStyle w:val="InternetLink"/>
                  <w:rFonts w:ascii="Times New Roman;serif" w:hAnsi="Times New Roman;serif"/>
                  <w:b/>
                  <w:strike w:val="false"/>
                  <w:dstrike w:val="false"/>
                  <w:color w:val="000080"/>
                  <w:sz w:val="18"/>
                  <w:u w:val="single"/>
                  <w:effect w:val="none"/>
                </w:rPr>
                <w:t>June</w:t>
              </w:r>
            </w:hyperlink>
            <w:hyperlink w:anchor="i47ab8b83783e46cca4462b88c1721eab_19">
              <w:r>
                <w:rPr>
                  <w:rStyle w:val="InternetLink"/>
                  <w:rFonts w:ascii="Times New Roman;serif" w:hAnsi="Times New Roman;serif"/>
                  <w:b/>
                  <w:strike w:val="false"/>
                  <w:dstrike w:val="false"/>
                  <w:color w:val="000080"/>
                  <w:sz w:val="18"/>
                  <w:u w:val="single"/>
                  <w:effect w:val="none"/>
                </w:rPr>
                <w:t xml:space="preserve"> 3</w:t>
              </w:r>
            </w:hyperlink>
            <w:hyperlink w:anchor="i47ab8b83783e46cca4462b88c1721eab_19">
              <w:r>
                <w:rPr>
                  <w:rStyle w:val="InternetLink"/>
                  <w:rFonts w:ascii="Times New Roman;serif" w:hAnsi="Times New Roman;serif"/>
                  <w:b/>
                  <w:strike w:val="false"/>
                  <w:dstrike w:val="false"/>
                  <w:color w:val="000080"/>
                  <w:sz w:val="18"/>
                  <w:u w:val="single"/>
                  <w:effect w:val="none"/>
                </w:rPr>
                <w:t>0</w:t>
              </w:r>
            </w:hyperlink>
            <w:hyperlink w:anchor="i47ab8b83783e46cca4462b88c1721eab_19">
              <w:r>
                <w:rPr>
                  <w:rStyle w:val="InternetLink"/>
                  <w:rFonts w:ascii="Times New Roman;serif" w:hAnsi="Times New Roman;serif"/>
                  <w:b/>
                  <w:strike w:val="false"/>
                  <w:dstrike w:val="false"/>
                  <w:color w:val="000080"/>
                  <w:sz w:val="18"/>
                  <w:u w:val="single"/>
                  <w:effect w:val="none"/>
                </w:rPr>
                <w:t>, 2026 and 2025 (unaudited)</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9">
              <w:r>
                <w:rPr>
                  <w:rStyle w:val="InternetLink"/>
                  <w:rFonts w:ascii="Times New Roman;serif" w:hAnsi="Times New Roman;serif"/>
                  <w:b w:val="false"/>
                  <w:strike w:val="false"/>
                  <w:dstrike w:val="false"/>
                  <w:color w:val="0000FF"/>
                  <w:sz w:val="18"/>
                  <w:u w:val="none"/>
                  <w:effect w:val="none"/>
                </w:rPr>
                <w:t>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7ab8b83783e46cca4462b88c1721eab_22">
              <w:r>
                <w:rPr>
                  <w:rStyle w:val="InternetLink"/>
                  <w:rFonts w:ascii="Times New Roman;serif" w:hAnsi="Times New Roman;serif"/>
                  <w:b/>
                  <w:strike w:val="false"/>
                  <w:dstrike w:val="false"/>
                  <w:color w:val="000080"/>
                  <w:sz w:val="18"/>
                  <w:u w:val="single"/>
                  <w:effect w:val="none"/>
                </w:rPr>
                <w:t>Consolidated Statements of Comprehensive Loss for the three</w:t>
              </w:r>
            </w:hyperlink>
            <w:hyperlink w:anchor="i47ab8b83783e46cca4462b88c1721eab_22">
              <w:r>
                <w:rPr>
                  <w:rStyle w:val="InternetLink"/>
                  <w:rFonts w:ascii="Times New Roman;serif" w:hAnsi="Times New Roman;serif"/>
                  <w:b/>
                  <w:strike w:val="false"/>
                  <w:dstrike w:val="false"/>
                  <w:color w:val="000080"/>
                  <w:sz w:val="18"/>
                  <w:u w:val="single"/>
                  <w:effect w:val="none"/>
                </w:rPr>
                <w:t xml:space="preserve"> and six</w:t>
              </w:r>
            </w:hyperlink>
            <w:hyperlink w:anchor="i47ab8b83783e46cca4462b88c1721eab_22">
              <w:r>
                <w:rPr>
                  <w:rStyle w:val="InternetLink"/>
                  <w:rFonts w:ascii="Times New Roman;serif" w:hAnsi="Times New Roman;serif"/>
                  <w:b/>
                  <w:strike w:val="false"/>
                  <w:dstrike w:val="false"/>
                  <w:color w:val="000080"/>
                  <w:sz w:val="18"/>
                  <w:u w:val="single"/>
                  <w:effect w:val="none"/>
                </w:rPr>
                <w:t xml:space="preserve"> months ended </w:t>
              </w:r>
            </w:hyperlink>
            <w:hyperlink w:anchor="i47ab8b83783e46cca4462b88c1721eab_22">
              <w:r>
                <w:rPr>
                  <w:rStyle w:val="InternetLink"/>
                  <w:rFonts w:ascii="Times New Roman;serif" w:hAnsi="Times New Roman;serif"/>
                  <w:b/>
                  <w:strike w:val="false"/>
                  <w:dstrike w:val="false"/>
                  <w:color w:val="000080"/>
                  <w:sz w:val="18"/>
                  <w:u w:val="single"/>
                  <w:effect w:val="none"/>
                </w:rPr>
                <w:t>June 30</w:t>
              </w:r>
            </w:hyperlink>
            <w:hyperlink w:anchor="i47ab8b83783e46cca4462b88c1721eab_22">
              <w:r>
                <w:rPr>
                  <w:rStyle w:val="InternetLink"/>
                  <w:rFonts w:ascii="Times New Roman;serif" w:hAnsi="Times New Roman;serif"/>
                  <w:b/>
                  <w:strike w:val="false"/>
                  <w:dstrike w:val="false"/>
                  <w:color w:val="000080"/>
                  <w:sz w:val="18"/>
                  <w:u w:val="single"/>
                  <w:effect w:val="none"/>
                </w:rPr>
                <w:t>, 2026 and 2025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22">
              <w:r>
                <w:rPr>
                  <w:rStyle w:val="InternetLink"/>
                  <w:rFonts w:ascii="Times New Roman;serif" w:hAnsi="Times New Roman;serif"/>
                  <w:b w:val="false"/>
                  <w:strike w:val="false"/>
                  <w:dstrike w:val="false"/>
                  <w:color w:val="0000FF"/>
                  <w:sz w:val="18"/>
                  <w:u w:val="none"/>
                  <w:effect w:val="none"/>
                </w:rPr>
                <w:t>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7ab8b83783e46cca4462b88c1721eab_25">
              <w:r>
                <w:rPr>
                  <w:rStyle w:val="InternetLink"/>
                  <w:rFonts w:ascii="Times New Roman;serif" w:hAnsi="Times New Roman;serif"/>
                  <w:b/>
                  <w:strike w:val="false"/>
                  <w:dstrike w:val="false"/>
                  <w:color w:val="000080"/>
                  <w:sz w:val="18"/>
                  <w:u w:val="single"/>
                  <w:effect w:val="none"/>
                </w:rPr>
                <w:t>Consolidated Statements of Equity for the three</w:t>
              </w:r>
            </w:hyperlink>
            <w:hyperlink w:anchor="i47ab8b83783e46cca4462b88c1721eab_25">
              <w:r>
                <w:rPr>
                  <w:rStyle w:val="InternetLink"/>
                  <w:rFonts w:ascii="Times New Roman;serif" w:hAnsi="Times New Roman;serif"/>
                  <w:b/>
                  <w:strike w:val="false"/>
                  <w:dstrike w:val="false"/>
                  <w:color w:val="000080"/>
                  <w:sz w:val="18"/>
                  <w:u w:val="single"/>
                  <w:effect w:val="none"/>
                </w:rPr>
                <w:t xml:space="preserve"> and six</w:t>
              </w:r>
            </w:hyperlink>
            <w:hyperlink w:anchor="i47ab8b83783e46cca4462b88c1721eab_25">
              <w:r>
                <w:rPr>
                  <w:rStyle w:val="InternetLink"/>
                  <w:rFonts w:ascii="Times New Roman;serif" w:hAnsi="Times New Roman;serif"/>
                  <w:b/>
                  <w:strike w:val="false"/>
                  <w:dstrike w:val="false"/>
                  <w:color w:val="000080"/>
                  <w:sz w:val="18"/>
                  <w:u w:val="single"/>
                  <w:effect w:val="none"/>
                </w:rPr>
                <w:t xml:space="preserve"> months ended </w:t>
              </w:r>
            </w:hyperlink>
            <w:hyperlink w:anchor="i47ab8b83783e46cca4462b88c1721eab_25">
              <w:r>
                <w:rPr>
                  <w:rStyle w:val="InternetLink"/>
                  <w:rFonts w:ascii="Times New Roman;serif" w:hAnsi="Times New Roman;serif"/>
                  <w:b/>
                  <w:strike w:val="false"/>
                  <w:dstrike w:val="false"/>
                  <w:color w:val="000080"/>
                  <w:sz w:val="18"/>
                  <w:u w:val="single"/>
                  <w:effect w:val="none"/>
                </w:rPr>
                <w:t>June 30</w:t>
              </w:r>
            </w:hyperlink>
            <w:hyperlink w:anchor="i47ab8b83783e46cca4462b88c1721eab_25">
              <w:r>
                <w:rPr>
                  <w:rStyle w:val="InternetLink"/>
                  <w:rFonts w:ascii="Times New Roman;serif" w:hAnsi="Times New Roman;serif"/>
                  <w:b/>
                  <w:strike w:val="false"/>
                  <w:dstrike w:val="false"/>
                  <w:color w:val="000080"/>
                  <w:sz w:val="18"/>
                  <w:u w:val="single"/>
                  <w:effect w:val="none"/>
                </w:rPr>
                <w:t xml:space="preserve">, 2026 and 2025 (unaudited) </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25">
              <w:r>
                <w:rPr>
                  <w:rStyle w:val="InternetLink"/>
                  <w:rFonts w:ascii="Times New Roman;serif" w:hAnsi="Times New Roman;serif"/>
                  <w:b w:val="false"/>
                  <w:strike w:val="false"/>
                  <w:dstrike w:val="false"/>
                  <w:color w:val="0000FF"/>
                  <w:sz w:val="18"/>
                  <w:u w:val="none"/>
                  <w:effect w:val="none"/>
                </w:rPr>
                <w:t>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47ab8b83783e46cca4462b88c1721eab_31">
              <w:r>
                <w:rPr>
                  <w:rStyle w:val="InternetLink"/>
                  <w:rFonts w:ascii="Times New Roman;serif" w:hAnsi="Times New Roman;serif"/>
                  <w:b/>
                  <w:strike w:val="false"/>
                  <w:dstrike w:val="false"/>
                  <w:color w:val="000080"/>
                  <w:sz w:val="18"/>
                  <w:u w:val="single"/>
                  <w:effect w:val="none"/>
                </w:rPr>
                <w:t xml:space="preserve">Consolidated Statements of Cash Flows for the </w:t>
              </w:r>
            </w:hyperlink>
            <w:hyperlink w:anchor="i47ab8b83783e46cca4462b88c1721eab_31">
              <w:r>
                <w:rPr>
                  <w:rStyle w:val="InternetLink"/>
                  <w:rFonts w:ascii="Times New Roman;serif" w:hAnsi="Times New Roman;serif"/>
                  <w:b/>
                  <w:strike w:val="false"/>
                  <w:dstrike w:val="false"/>
                  <w:color w:val="000080"/>
                  <w:sz w:val="18"/>
                  <w:u w:val="single"/>
                  <w:effect w:val="none"/>
                </w:rPr>
                <w:t>six</w:t>
              </w:r>
            </w:hyperlink>
            <w:hyperlink w:anchor="i47ab8b83783e46cca4462b88c1721eab_31">
              <w:r>
                <w:rPr>
                  <w:rStyle w:val="InternetLink"/>
                  <w:rFonts w:ascii="Times New Roman;serif" w:hAnsi="Times New Roman;serif"/>
                  <w:b/>
                  <w:strike w:val="false"/>
                  <w:dstrike w:val="false"/>
                  <w:color w:val="000080"/>
                  <w:sz w:val="18"/>
                  <w:u w:val="single"/>
                  <w:effect w:val="none"/>
                </w:rPr>
                <w:t xml:space="preserve"> months ended </w:t>
              </w:r>
            </w:hyperlink>
            <w:hyperlink w:anchor="i47ab8b83783e46cca4462b88c1721eab_31">
              <w:r>
                <w:rPr>
                  <w:rStyle w:val="InternetLink"/>
                  <w:rFonts w:ascii="Times New Roman;serif" w:hAnsi="Times New Roman;serif"/>
                  <w:b/>
                  <w:strike w:val="false"/>
                  <w:dstrike w:val="false"/>
                  <w:color w:val="000080"/>
                  <w:sz w:val="18"/>
                  <w:u w:val="single"/>
                  <w:effect w:val="none"/>
                </w:rPr>
                <w:t>June 30</w:t>
              </w:r>
            </w:hyperlink>
            <w:hyperlink w:anchor="i47ab8b83783e46cca4462b88c1721eab_31">
              <w:r>
                <w:rPr>
                  <w:rStyle w:val="InternetLink"/>
                  <w:rFonts w:ascii="Times New Roman;serif" w:hAnsi="Times New Roman;serif"/>
                  <w:b/>
                  <w:strike w:val="false"/>
                  <w:dstrike w:val="false"/>
                  <w:color w:val="000080"/>
                  <w:sz w:val="18"/>
                  <w:u w:val="single"/>
                  <w:effect w:val="none"/>
                </w:rPr>
                <w:t>, 2026 and 2025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31">
              <w:r>
                <w:rPr>
                  <w:rStyle w:val="InternetLink"/>
                  <w:rFonts w:ascii="Times New Roman;serif" w:hAnsi="Times New Roman;serif"/>
                  <w:b w:val="false"/>
                  <w:strike w:val="false"/>
                  <w:dstrike w:val="false"/>
                  <w:color w:val="0000FF"/>
                  <w:sz w:val="18"/>
                  <w:u w:val="none"/>
                  <w:effect w:val="none"/>
                </w:rPr>
                <w:t>10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Notes to Unaudited Consolidated Financial Statements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34">
              <w:r>
                <w:rPr>
                  <w:rStyle w:val="InternetLink"/>
                  <w:rFonts w:ascii="Times New Roman;serif" w:hAnsi="Times New Roman;serif"/>
                  <w:b w:val="false"/>
                  <w:strike w:val="false"/>
                  <w:dstrike w:val="false"/>
                  <w:color w:val="0000FF"/>
                  <w:sz w:val="18"/>
                  <w:u w:val="none"/>
                  <w:effect w:val="none"/>
                </w:rPr>
                <w:t>11</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Management’s Discussion and Analysis of Financial Condition and Results of Operations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97">
              <w:r>
                <w:rPr>
                  <w:rStyle w:val="InternetLink"/>
                  <w:rFonts w:ascii="Times New Roman;serif" w:hAnsi="Times New Roman;serif"/>
                  <w:b w:val="false"/>
                  <w:strike w:val="false"/>
                  <w:dstrike w:val="false"/>
                  <w:color w:val="0000FF"/>
                  <w:sz w:val="18"/>
                  <w:u w:val="none"/>
                  <w:effect w:val="none"/>
                </w:rPr>
                <w:t>27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Quantitative and Qualitative Disclosures About Market Risk</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09">
              <w:r>
                <w:rPr>
                  <w:rStyle w:val="InternetLink"/>
                  <w:rFonts w:ascii="Times New Roman;serif" w:hAnsi="Times New Roman;serif"/>
                  <w:b w:val="false"/>
                  <w:strike w:val="false"/>
                  <w:dstrike w:val="false"/>
                  <w:color w:val="0000FF"/>
                  <w:sz w:val="18"/>
                  <w:u w:val="none"/>
                  <w:effect w:val="none"/>
                </w:rPr>
                <w:t>34</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Controls and Procedures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12">
              <w:r>
                <w:rPr>
                  <w:rStyle w:val="InternetLink"/>
                  <w:rFonts w:ascii="Times New Roman;serif" w:hAnsi="Times New Roman;serif"/>
                  <w:b w:val="false"/>
                  <w:strike w:val="false"/>
                  <w:dstrike w:val="false"/>
                  <w:color w:val="0000FF"/>
                  <w:sz w:val="18"/>
                  <w:u w:val="none"/>
                  <w:effect w:val="none"/>
                </w:rPr>
                <w:t>34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PART II- 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1.</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Legal Proceedings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18">
              <w:r>
                <w:rPr>
                  <w:rStyle w:val="InternetLink"/>
                  <w:rFonts w:ascii="Times New Roman;serif" w:hAnsi="Times New Roman;serif"/>
                  <w:b w:val="false"/>
                  <w:strike w:val="false"/>
                  <w:dstrike w:val="false"/>
                  <w:color w:val="0000FF"/>
                  <w:sz w:val="18"/>
                  <w:u w:val="none"/>
                  <w:effect w:val="none"/>
                </w:rPr>
                <w:t>36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1A.</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Risk Factors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21">
              <w:r>
                <w:rPr>
                  <w:rStyle w:val="InternetLink"/>
                  <w:rFonts w:ascii="Times New Roman;serif" w:hAnsi="Times New Roman;serif"/>
                  <w:b w:val="false"/>
                  <w:strike w:val="false"/>
                  <w:dstrike w:val="false"/>
                  <w:color w:val="0000FF"/>
                  <w:sz w:val="18"/>
                  <w:u w:val="none"/>
                  <w:effect w:val="none"/>
                </w:rPr>
                <w:t>36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Unregistered Sales of Equity Securities and Use of Proceeds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24">
              <w:r>
                <w:rPr>
                  <w:rStyle w:val="InternetLink"/>
                  <w:rFonts w:ascii="Times New Roman;serif" w:hAnsi="Times New Roman;serif"/>
                  <w:b w:val="false"/>
                  <w:strike w:val="false"/>
                  <w:dstrike w:val="false"/>
                  <w:color w:val="0000FF"/>
                  <w:sz w:val="18"/>
                  <w:u w:val="none"/>
                  <w:effect w:val="none"/>
                </w:rPr>
                <w:t>37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Defaults Upon Senior Securities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27">
              <w:r>
                <w:rPr>
                  <w:rStyle w:val="InternetLink"/>
                  <w:rFonts w:ascii="Times New Roman;serif" w:hAnsi="Times New Roman;serif"/>
                  <w:b w:val="false"/>
                  <w:strike w:val="false"/>
                  <w:dstrike w:val="false"/>
                  <w:color w:val="0000FF"/>
                  <w:sz w:val="18"/>
                  <w:u w:val="none"/>
                  <w:effect w:val="none"/>
                </w:rPr>
                <w:t>37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Mine Safety Disclosures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30">
              <w:r>
                <w:rPr>
                  <w:rStyle w:val="InternetLink"/>
                  <w:rFonts w:ascii="Times New Roman;serif" w:hAnsi="Times New Roman;serif"/>
                  <w:b w:val="false"/>
                  <w:strike w:val="false"/>
                  <w:dstrike w:val="false"/>
                  <w:color w:val="0000FF"/>
                  <w:sz w:val="18"/>
                  <w:u w:val="none"/>
                  <w:effect w:val="none"/>
                </w:rPr>
                <w:t>37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5.</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33">
              <w:r>
                <w:rPr>
                  <w:rStyle w:val="InternetLink"/>
                  <w:rFonts w:ascii="Times New Roman;serif" w:hAnsi="Times New Roman;serif"/>
                  <w:b w:val="false"/>
                  <w:strike w:val="false"/>
                  <w:dstrike w:val="false"/>
                  <w:color w:val="0000FF"/>
                  <w:sz w:val="18"/>
                  <w:u w:val="none"/>
                  <w:effect w:val="none"/>
                </w:rPr>
                <w:t>37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6.</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Exhibits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36">
              <w:r>
                <w:rPr>
                  <w:rStyle w:val="InternetLink"/>
                  <w:rFonts w:ascii="Times New Roman;serif" w:hAnsi="Times New Roman;serif"/>
                  <w:b w:val="false"/>
                  <w:strike w:val="false"/>
                  <w:dstrike w:val="false"/>
                  <w:color w:val="0000FF"/>
                  <w:sz w:val="18"/>
                  <w:u w:val="none"/>
                  <w:effect w:val="none"/>
                </w:rPr>
                <w:t>37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Signatures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7ab8b83783e46cca4462b88c1721eab_139">
              <w:r>
                <w:rPr>
                  <w:rStyle w:val="InternetLink"/>
                  <w:rFonts w:ascii="Times New Roman;serif" w:hAnsi="Times New Roman;serif"/>
                  <w:b w:val="false"/>
                  <w:strike w:val="false"/>
                  <w:dstrike w:val="false"/>
                  <w:color w:val="0000FF"/>
                  <w:sz w:val="18"/>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data)</w:t>
      </w:r>
    </w:p>
    <w:tbl>
      <w:tblPr>
        <w:tblW w:w="9655" w:type="dxa"/>
        <w:jc w:val="left"/>
        <w:tblInd w:w="0" w:type="dxa"/>
        <w:tblLayout w:type="fixed"/>
        <w:tblCellMar>
          <w:top w:w="28" w:type="dxa"/>
          <w:left w:w="28" w:type="dxa"/>
          <w:bottom w:w="28" w:type="dxa"/>
          <w:right w:w="28" w:type="dxa"/>
        </w:tblCellMar>
      </w:tblPr>
      <w:tblGrid>
        <w:gridCol w:w="2571"/>
        <w:gridCol w:w="2254"/>
        <w:gridCol w:w="2269"/>
        <w:gridCol w:w="216"/>
        <w:gridCol w:w="713"/>
        <w:gridCol w:w="120"/>
        <w:gridCol w:w="109"/>
        <w:gridCol w:w="109"/>
        <w:gridCol w:w="109"/>
        <w:gridCol w:w="233"/>
        <w:gridCol w:w="769"/>
        <w:gridCol w:w="183"/>
      </w:tblGrid>
      <w:tr>
        <w:trPr/>
        <w:tc>
          <w:tcPr>
            <w:tcW w:w="2571"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NON-CONTROLLING INTERESTS AND STOCKHOLDERS' EQUITY</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Contingencies (Note 13)</w:t>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authorized 500,000,000 shares; issued 9,119,742</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and 8,834,613 shares at June 30, 2026 and December 31, 2025, respectively; and </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outstanding, 9,119,004 and 8,833,875 shares at June 30, 2026 and December 31, 2025, </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respectively</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580,243 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738 shares at June 30, 2026 and December 31, 2025</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(572,070)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(564,652)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Lisata Therapeutics, Inc. stockholders' equity</w:t>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14,855 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Non-controlling interests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non-controlling interests and stockholders' equity</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17,744 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data)</w:t>
      </w:r>
    </w:p>
    <w:tbl>
      <w:tblPr>
        <w:tblW w:w="10205" w:type="dxa"/>
        <w:jc w:val="center"/>
        <w:tblInd w:w="0" w:type="dxa"/>
        <w:tblLayout w:type="fixed"/>
        <w:tblCellMar>
          <w:top w:w="28" w:type="dxa"/>
          <w:left w:w="28" w:type="dxa"/>
          <w:bottom w:w="28" w:type="dxa"/>
          <w:right w:w="28" w:type="dxa"/>
        </w:tblCellMar>
      </w:tblPr>
      <w:tblGrid>
        <w:gridCol w:w="1759"/>
        <w:gridCol w:w="1505"/>
        <w:gridCol w:w="1530"/>
        <w:gridCol w:w="214"/>
        <w:gridCol w:w="682"/>
        <w:gridCol w:w="119"/>
        <w:gridCol w:w="119"/>
        <w:gridCol w:w="119"/>
        <w:gridCol w:w="119"/>
        <w:gridCol w:w="214"/>
        <w:gridCol w:w="682"/>
        <w:gridCol w:w="119"/>
        <w:gridCol w:w="109"/>
        <w:gridCol w:w="109"/>
        <w:gridCol w:w="109"/>
        <w:gridCol w:w="198"/>
        <w:gridCol w:w="631"/>
        <w:gridCol w:w="109"/>
        <w:gridCol w:w="109"/>
        <w:gridCol w:w="109"/>
        <w:gridCol w:w="109"/>
        <w:gridCol w:w="198"/>
        <w:gridCol w:w="631"/>
        <w:gridCol w:w="109"/>
        <w:gridCol w:w="109"/>
        <w:gridCol w:w="109"/>
        <w:gridCol w:w="109"/>
        <w:gridCol w:w="167"/>
      </w:tblGrid>
      <w:tr>
        <w:trPr/>
        <w:tc>
          <w:tcPr>
            <w:tcW w:w="175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5" w:type="dxa"/>
            <w:gridSpan w:val="3"/>
            <w:tcBorders/>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w:t>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 before benefit from income taxes and noncontrolling interests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 net income (loss) attributable to noncontrolling interests</w:t>
            </w:r>
          </w:p>
        </w:tc>
        <w:tc>
          <w:tcPr>
            <w:tcW w:w="8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Lisata Therapeutics, Inc. common stockholders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loss per share</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27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Lisata Therapeutics, Inc. common stockholders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Basic and diluted shares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1723"/>
        <w:gridCol w:w="1505"/>
        <w:gridCol w:w="1526"/>
        <w:gridCol w:w="216"/>
        <w:gridCol w:w="692"/>
        <w:gridCol w:w="120"/>
        <w:gridCol w:w="120"/>
        <w:gridCol w:w="120"/>
        <w:gridCol w:w="120"/>
        <w:gridCol w:w="216"/>
        <w:gridCol w:w="692"/>
        <w:gridCol w:w="120"/>
        <w:gridCol w:w="109"/>
        <w:gridCol w:w="109"/>
        <w:gridCol w:w="109"/>
        <w:gridCol w:w="198"/>
        <w:gridCol w:w="636"/>
        <w:gridCol w:w="109"/>
        <w:gridCol w:w="109"/>
        <w:gridCol w:w="109"/>
        <w:gridCol w:w="109"/>
        <w:gridCol w:w="198"/>
        <w:gridCol w:w="636"/>
        <w:gridCol w:w="109"/>
        <w:gridCol w:w="109"/>
        <w:gridCol w:w="109"/>
        <w:gridCol w:w="109"/>
        <w:gridCol w:w="168"/>
      </w:tblGrid>
      <w:tr>
        <w:trPr/>
        <w:tc>
          <w:tcPr>
            <w:tcW w:w="172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 (loss):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 securities - net unrealized gain</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 arising during the period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gain</w:t>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27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Lisata Therapeutics, Inc. common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w:t>
            </w:r>
          </w:p>
        </w:tc>
        <w:tc>
          <w:tcPr>
            <w:tcW w:w="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w:t>
            </w:r>
          </w:p>
        </w:tc>
        <w:tc>
          <w:tcPr>
            <w:tcW w:w="1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w:t>
            </w:r>
          </w:p>
        </w:tc>
        <w:tc>
          <w:tcPr>
            <w:tcW w:w="1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extBody"/>
        <w:bidi w:val="0"/>
        <w:spacing w:before="0" w:after="0"/>
        <w:jc w:val="center"/>
        <w:rPr/>
      </w:pPr>
      <w:r>
        <w:rPr/>
      </w:r>
    </w:p>
    <w:tbl>
      <w:tblPr>
        <w:tblW w:w="13339"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109"/>
        <w:gridCol w:w="109"/>
        <w:gridCol w:w="109"/>
        <w:gridCol w:w="196"/>
        <w:gridCol w:w="556"/>
        <w:gridCol w:w="109"/>
        <w:gridCol w:w="109"/>
        <w:gridCol w:w="109"/>
        <w:gridCol w:w="109"/>
        <w:gridCol w:w="269"/>
        <w:gridCol w:w="331"/>
        <w:gridCol w:w="151"/>
        <w:gridCol w:w="190"/>
        <w:gridCol w:w="190"/>
        <w:gridCol w:w="191"/>
        <w:gridCol w:w="196"/>
        <w:gridCol w:w="736"/>
        <w:gridCol w:w="109"/>
        <w:gridCol w:w="109"/>
        <w:gridCol w:w="109"/>
        <w:gridCol w:w="109"/>
        <w:gridCol w:w="262"/>
        <w:gridCol w:w="462"/>
        <w:gridCol w:w="147"/>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578,923 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4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(552,790)</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(557,449)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center"/>
        <w:rPr/>
      </w:pPr>
      <w:r>
        <w:rPr/>
      </w:r>
    </w:p>
    <w:tbl>
      <w:tblPr>
        <w:tblW w:w="12660"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62"/>
        <w:gridCol w:w="462"/>
        <w:gridCol w:w="147"/>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8,410 </w:t>
            </w:r>
          </w:p>
        </w:tc>
        <w:tc>
          <w:tcPr>
            <w:tcW w:w="1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578,418 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4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(548,066)</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29,317 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(557,449)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tbl>
      <w:tblPr>
        <w:tblW w:w="11939"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278"/>
        <w:gridCol w:w="278"/>
        <w:gridCol w:w="171"/>
        <w:gridCol w:w="109"/>
        <w:gridCol w:w="109"/>
        <w:gridCol w:w="109"/>
        <w:gridCol w:w="204"/>
        <w:gridCol w:w="252"/>
        <w:gridCol w:w="115"/>
        <w:gridCol w:w="109"/>
        <w:gridCol w:w="109"/>
        <w:gridCol w:w="109"/>
        <w:gridCol w:w="196"/>
        <w:gridCol w:w="736"/>
        <w:gridCol w:w="109"/>
        <w:gridCol w:w="109"/>
        <w:gridCol w:w="109"/>
        <w:gridCol w:w="109"/>
        <w:gridCol w:w="307"/>
        <w:gridCol w:w="542"/>
        <w:gridCol w:w="172"/>
        <w:gridCol w:w="109"/>
        <w:gridCol w:w="109"/>
        <w:gridCol w:w="109"/>
        <w:gridCol w:w="196"/>
        <w:gridCol w:w="751"/>
        <w:gridCol w:w="109"/>
        <w:gridCol w:w="109"/>
        <w:gridCol w:w="109"/>
        <w:gridCol w:w="109"/>
        <w:gridCol w:w="196"/>
        <w:gridCol w:w="436"/>
        <w:gridCol w:w="109"/>
        <w:gridCol w:w="109"/>
        <w:gridCol w:w="109"/>
        <w:gridCol w:w="109"/>
        <w:gridCol w:w="196"/>
        <w:gridCol w:w="646"/>
        <w:gridCol w:w="109"/>
        <w:gridCol w:w="109"/>
        <w:gridCol w:w="109"/>
        <w:gridCol w:w="109"/>
        <w:gridCol w:w="214"/>
        <w:gridCol w:w="477"/>
        <w:gridCol w:w="120"/>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9,108 </w:t>
            </w:r>
          </w:p>
        </w:tc>
        <w:tc>
          <w:tcPr>
            <w:tcW w:w="1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580,787 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(569,141)</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10,672 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9,120 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939"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278"/>
        <w:gridCol w:w="278"/>
        <w:gridCol w:w="171"/>
        <w:gridCol w:w="109"/>
        <w:gridCol w:w="109"/>
        <w:gridCol w:w="109"/>
        <w:gridCol w:w="204"/>
        <w:gridCol w:w="252"/>
        <w:gridCol w:w="115"/>
        <w:gridCol w:w="109"/>
        <w:gridCol w:w="109"/>
        <w:gridCol w:w="109"/>
        <w:gridCol w:w="196"/>
        <w:gridCol w:w="736"/>
        <w:gridCol w:w="109"/>
        <w:gridCol w:w="109"/>
        <w:gridCol w:w="109"/>
        <w:gridCol w:w="109"/>
        <w:gridCol w:w="307"/>
        <w:gridCol w:w="542"/>
        <w:gridCol w:w="172"/>
        <w:gridCol w:w="109"/>
        <w:gridCol w:w="109"/>
        <w:gridCol w:w="109"/>
        <w:gridCol w:w="196"/>
        <w:gridCol w:w="751"/>
        <w:gridCol w:w="109"/>
        <w:gridCol w:w="109"/>
        <w:gridCol w:w="109"/>
        <w:gridCol w:w="109"/>
        <w:gridCol w:w="196"/>
        <w:gridCol w:w="436"/>
        <w:gridCol w:w="109"/>
        <w:gridCol w:w="109"/>
        <w:gridCol w:w="109"/>
        <w:gridCol w:w="109"/>
        <w:gridCol w:w="196"/>
        <w:gridCol w:w="646"/>
        <w:gridCol w:w="109"/>
        <w:gridCol w:w="109"/>
        <w:gridCol w:w="109"/>
        <w:gridCol w:w="109"/>
        <w:gridCol w:w="214"/>
        <w:gridCol w:w="477"/>
        <w:gridCol w:w="120"/>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8,835 </w:t>
            </w:r>
          </w:p>
        </w:tc>
        <w:tc>
          <w:tcPr>
            <w:tcW w:w="1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580,243 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7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(564,652)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14,601 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(7,418)</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(7,418)</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(7,418)</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9,120 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extBody"/>
        <w:bidi w:val="0"/>
        <w:spacing w:lineRule="auto" w:line="288" w:before="0" w:after="0"/>
        <w:jc w:val="left"/>
        <w:rPr>
          <w:color w:val="000000"/>
        </w:rPr>
      </w:pPr>
      <w:r>
        <w:rPr>
          <w:color w:val="000000"/>
        </w:rPr>
        <w:t> </w:t>
      </w:r>
    </w:p>
    <w:tbl>
      <w:tblPr>
        <w:tblW w:w="7496" w:type="dxa"/>
        <w:jc w:val="left"/>
        <w:tblInd w:w="0" w:type="dxa"/>
        <w:tblLayout w:type="fixed"/>
        <w:tblCellMar>
          <w:top w:w="28" w:type="dxa"/>
          <w:left w:w="28" w:type="dxa"/>
          <w:bottom w:w="28" w:type="dxa"/>
          <w:right w:w="28" w:type="dxa"/>
        </w:tblCellMar>
      </w:tblPr>
      <w:tblGrid>
        <w:gridCol w:w="1891"/>
        <w:gridCol w:w="1658"/>
        <w:gridCol w:w="1671"/>
        <w:gridCol w:w="196"/>
        <w:gridCol w:w="647"/>
        <w:gridCol w:w="109"/>
        <w:gridCol w:w="109"/>
        <w:gridCol w:w="109"/>
        <w:gridCol w:w="109"/>
        <w:gridCol w:w="196"/>
        <w:gridCol w:w="647"/>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Amortization/accretion on marketable securities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and other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marketable securities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options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net share settlement equity awards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warrants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issuance of common stock</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Effect of exchange rate changes on cash</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 – Description of Business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Lisata Therapeutics, Inc. (together with its subsidiaries, the “Company”) is a clinical-stage pharmaceutical company dedicated to the discovery, development, and commercialization of innovative therapies for the treatment of solid tumors and other serious diseases. The Company's investigational product, certepetide (formerly known as LSTA1 or CEND-1), is designed to activate a novel uptake pathway (the C-end rule active transport mechanism)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The Company, its collaborators and other researchers have amassed and continue to amass significant non-clinical data demonstrating enhanced delivery of a range of existing and emerging anti-cancer therapies, including chemotherapeutics, immunotherapies, and RNA-based therapeutics. In addition, certain preclinical data using certepetide in combination with antibody drug conjugates (ADCs) has been generated as part of the Company’s research collaboration with Catalent. These data were presented at a scientific meeting during the fourth quarter of 2025. To date, certepetide has also demonstrated favorable safety, tolerability and activity in completed and ongoing clinical trials designed to enhance delivery of standard-of-care chemotherapy, with and without added immunotherapy for pancreatic cancer. Certepetide is or has been the subject of several Phase 2 clinical studies globally in a variety of solid tumor types, including metastatic pancreatic ductal adenocarcinoma (mPDAC), cholangiocarcinoma, appendiceal cancer, colon cancer and glioblastoma multiforme in combination with a variety of anti-cancer regimens.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leadership team has amassed many decades of collective biopharmaceutical and pharmaceutical product development experience across a variety of therapeutic categories and at all stages of development from preclinical through to product registration and launch. The Company's goal has been to develop and commercialize products that address important unmet medical needs.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history of net operating losses and negative cash flows from its operating activities, and has cash and cash equivalents of approximately $10.4 million as of June 30, 2026. The Company anticipates incurring additional losses until such time, if ever, that it can generate significant revenues from its products currently in development. To manage capital for operating needs in the short-term, as previously disclosed, the Company has delayed commencement of certain readiness activities for its planned Phase 3 study in metastatic pancreatic ductal adenocarcinoma (mPDAC), particularly those related to chemistry, manufacturing and controls (“CMC”). Investigator sponsored studies in glioblastoma, pancreatic, colon, and appendiceal cancers are ongoing or have completed with results reporting entirely under the auspices of the sponsors.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continued operations are dependent on its ability to raise additional funding. Based on its current business plan and current capital resources, combined with the need to raise additional funding and the uncertainty regarding the availability of such additional funding, management has concluded that there is substantial doubt regarding the Company’s ability to continue as a going concern for a period of twelve months after the date these consolidated financial statements are issued. Management is seeking additional funding and considering strategic options. However, additional funding may not be available on terms acceptable to the Company or at all. The Company is also continuing to reduce current spending requirements.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for any reason, the Company utilizes its capital resources more quickly than anticipated or is unable to obtain additional funding on a timely basis, it may be required to revise its business plan and strategy. This may result in the Company significantly curtailing, delaying or discontinuing its research and development programs. As a result, the Company’s business, financial condition, and results of operations could be materially affected. The accompanying consolidated financial statements do not include any adjustments to the carrying amounts and classification of assets and liabilities that may be necessary if the Company were unable to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before="0" w:after="16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Termination of Merger Agreement</w:t>
      </w:r>
    </w:p>
    <w:p>
      <w:pPr>
        <w:pStyle w:val="TextBody"/>
        <w:bidi w:val="0"/>
        <w:spacing w:before="0" w:after="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2026, the Company terminated the previously announced Agreement and Plan of Merger, dated as of March 6, 2026, by and among Kuva Labs Inc., a Delaware corporation (“Kuva” or “Parent”) and Kuva Acquisition Corp., a Delaware corporation and a wholly owned subsidiary of Parent (“Purchaser”), and the Company (as amended, the “Merger Agreement”), pursuant to Section 8.3(a) of the Merger Agreement (the “Termination”). Pursuant to the Merger Agreement, Purchaser agreed to acquire all of the outstanding shares of common stock, par value, $0.001 per share (the “Common Shares”), of the Company validly tendered and not validly withdrawn through a tender offer (the “Offer”), at a purchase price of (i) $4.00 per Common Share, net to the seller in cash, without interest, plus (ii) one contingent value right (each, a “CVR”), representing the contractual right to receive two contingent cash payments up to an aggregate of $3.00 per CVR subject to the achievement of certain milestones, in accordance with the terms and subject to the conditions of a contingent value rights agreement. The Offer was to be followed by a merger to acquire all remaining outstanding Common Shares for the same per share consideration paid in the Offer. For a summary of the material terms of the Merger Agreement and the Offer, please see the Company’s Current Reports on Form 8-K filed with the Securities and Exchange Commission on March 9, 2026, April 3, 2026, May 4, 2026, May 29, 2026, June 9, 2026 and July 17, 2026 and the Company’s Solicitation/Recommendation Statement on Schedule 14D-9 and related amendments filed with the Securities and Exchange Commission on June 10, 2026, July 2, 2026, July 13, 2026, July 17, 2026 and July 21, 2026. During the three and six months ended June 30, 2026, the Company received payments totaling $1,000,000 from Kuva related to the Merger Agreement, which are recorded in Other income (expense), net in the Consolidated Statements of Operations.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Termination follows Parent and Purchaser’s failure to accept for payment all Common Shares validly tendered and not validly withdrawn pursuant to the Offer after the expiration of the Offer one minute after 11:59 p.m., New York City Time, on July 20, 2026. Parent informed the Company that Parent has been unable to obtain sufficient financing for purposes of funding the Offer and instructed Equiniti Trust Company, LLC, in its capacity as depositary and paying agent for the Offer, to return the Common Shares tendered in the Offer to the holders thereof.</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Termination, Parent is obligated under the Merger Agreement to pay the Company a termination fee of $2,000,000. In addition, the Company reserved all rights to seek all available legal remedies, including without limitation, damages for Willful Breach (as defined in the Merger Agreement) and any Enforcement Costs (as defined in the Merger Agreement). On July 31, 2026, the Company commenced an action in the Court of Chancery of the State of Delaware suing Parent and Purchaser over their breach of the Merger Agreement. Among other things, the Company is seeking payment of the termination fee and damages for the benefits its stockholders expected in connection with the transaction. There can be no assurance that the Company will be able to obtain damages from Parent or Purchaser, even to the extent legally available in any litigation that the Company may pursue, due to the Company’s limited financial resources available to fund related litigation and to Parent’s or Purchaser’s potential inability to satisfy with its existing assets any judgment that the Company might obtain.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Review of Strategic Alternatives</w:t>
      </w:r>
    </w:p>
    <w:p>
      <w:pPr>
        <w:pStyle w:val="TextBody"/>
        <w:bidi w:val="0"/>
        <w:spacing w:before="0" w:after="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is assessing strategic options to enhance stockholder value, which may include, but are not limited to, an acquisition, merger, reverse merger, other business combination, sales of assets, liquidation and dissolution or other strategic transactions. There can be no assurance that the exploration of strategic alternatives will result in any agreements or transactions, or that, if completed, any agreements will be reached, or transactions will be successfully consummated or on attractive terms.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accounting principles generally accepted in the United States of America (“U.S.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June 30, 2026, and the results of its operations and its cash flows for the periods presented. The unaudited consolidated financial statements herein should be read together with the historical consolidated financial statements of the Company for the years ended December 31, 2025 and 2024 included in our 2025 Form 10-K. Operating results for the three and six months ended June 30, 2026 are not necessarily indicative of the results that may be expected for the year ending December 31, 2026.</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the research and development of its investigational drug product. The Company's Chief Operating Decision Maker (“CODM”) is its Chief Executive Officer, who manages the business on a consolidated basis.</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2 – Summary of Significant Accounting Policies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short-term, highly liquid, investments with maturities of ninety days or less when purchased.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Concentration of Risks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credit risk from its portfolio of cash, cash equivalents, accounts receivable and marketable securities. Under its investment policy, the Company limits amounts invested in such securities by credit rating, maturity, industry group, investment type and issuer, except for securities issued by the U.S. government, thereby reducing credit risk exposure. Cash is held at major banks in the United States and may exceed federally insured limits. The Company does not believe that it is subject to unusual credit risk beyond the normal credit risk associated with commercial banking relationships. The goals of the Company's investment policy, in order of priority, are as follows: safety and preservation of principal and diversification of risk, liquidity of investments sufficient to meet cash flow requirements, and a competitive after-tax rate of return. The Company has no significant off-balance sheet concentrations of credit risk, such as foreign currency exchange contracts, option contracts, or other hedging arrangements.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Accounts receivable is stated at historical cost, less allowance for credit losses. The Company records an expense based on a forward-looking current expected credit loss model to maintain its allowance for credit losses. When determining its allowance for trade accounts receivable, the Company considers the probability of recoverability of accounts receivable based on experience, taking into account current collection trends and general economic factors, including bankruptcy rates. The Company also considers future economic trends to estimate expected credit losses over the lifetime of the asset. Credit risks are assessed based on historical write-offs, net of recoveries, as well as an analysis of the aged accounts receivable balances with allowances generally increasing as the receivable ages. Accounts receivable may be fully reserved for when specific collection issues are known to exist, such as pending bankruptcies. Account balances are written off against the allowance when it is determined that the receivable will not be recovered. As of June 30, 2026 and December 31, 2025, there was no allowance for credit losses.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tbl>
      <w:tblPr>
        <w:tblW w:w="5024" w:type="dxa"/>
        <w:jc w:val="center"/>
        <w:tblInd w:w="0" w:type="dxa"/>
        <w:tblLayout w:type="fixed"/>
        <w:tblCellMar>
          <w:top w:w="28" w:type="dxa"/>
          <w:left w:w="28" w:type="dxa"/>
          <w:bottom w:w="28" w:type="dxa"/>
          <w:right w:w="28" w:type="dxa"/>
        </w:tblCellMar>
      </w:tblPr>
      <w:tblGrid>
        <w:gridCol w:w="781"/>
        <w:gridCol w:w="687"/>
        <w:gridCol w:w="691"/>
        <w:gridCol w:w="838"/>
        <w:gridCol w:w="838"/>
        <w:gridCol w:w="118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useful life or lease term</w:t>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consist of property and equipment. The assets are amortized on a straight-line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pStyle w:val="TextBody"/>
        <w:bidi w:val="0"/>
        <w:spacing w:lineRule="auto" w:line="288" w:before="0" w:after="160"/>
        <w:jc w:val="both"/>
        <w:rPr/>
      </w:pPr>
      <w:r>
        <w:rPr>
          <w:rFonts w:ascii="Times New Roman;serif" w:hAnsi="Times New Roman;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Share-based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Loss Per Share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per share is based on the weighted effect of all shares of common stock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shares of common stock used in the basic loss per share calculation plus the number of shares of common stock that would be issued assuming conversion of all potentially dilutive securities outstanding. Diluted loss per share is not presented as such potentially dilutive securities are anti-dilutive to losses incurred in all periods presented.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bidi w:val="0"/>
        <w:spacing w:lineRule="auto" w:line="288" w:before="0" w:after="160"/>
        <w:jc w:val="both"/>
        <w:rPr/>
      </w:pPr>
      <w:r>
        <w:rPr>
          <w:rFonts w:ascii="Times New Roman;serif" w:hAnsi="Times New Roman;serif"/>
          <w:b/>
          <w:i/>
          <w:color w:val="000000"/>
          <w:sz w:val="20"/>
        </w:rPr>
        <w:t>Research and Development Costs</w:t>
      </w:r>
      <w:r>
        <w:rPr>
          <w:color w:val="000000"/>
        </w:rPr>
        <w:t>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further drive the Company’s initiatives, the Company targets key governmental agencies and not-for-profit organizations to contribute funds for the Company’s research and development programs. The Company accounts for such grants as a deduction to the related expense in research and development operating expenses when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pPr>
      <w:r>
        <w:rPr>
          <w:rFonts w:ascii="Times New Roman;serif" w:hAnsi="Times New Roman;serif"/>
          <w:b/>
          <w:i/>
          <w:color w:val="000000"/>
          <w:sz w:val="20"/>
        </w:rPr>
        <w:t>In-process Research and Development Expense</w:t>
      </w:r>
      <w:r>
        <w:rPr>
          <w:color w:val="000000"/>
        </w:rPr>
        <w:t xml:space="preserve">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Intangible Asset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 consisted of a single asset, a license agreement with Qilu Pharmaceutical, Co., Ltd. (“Qilu”) acquired in the Company's acquisition of Cend Therapeutics, Inc (the “Cend Merger”), with a value of $0.4 million. The intangible asset was stated at fair value and amortized using the straight-line method over its estimated useful life of 5.00 years. Amortization expense was $0 and $0 for the three and six months ended June 30, 2026, respectively, and $18 thousand and $35 thousand for the three and six months ended June 30, 2025, respectively. The intangible asset is reviewed for potential impairment when events or circumstances indicate that carrying amounts may not be recoverable. As of December 31, 2025, the Company determined that the carrying amount of the asset was not recoverable and recorded an intangible asset impairment charge of $0.1 million in general and administrative expenses in the Consolidated Statements of Operations.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bidi w:val="0"/>
        <w:spacing w:lineRule="auto" w:line="288" w:before="0" w:after="160"/>
        <w:ind w:left="0" w:right="0" w:firstLine="360"/>
        <w:jc w:val="both"/>
        <w:rPr/>
      </w:pPr>
      <w:r>
        <w:rPr>
          <w:rFonts w:ascii="Times New Roman;serif" w:hAnsi="Times New Roman;serif"/>
          <w:b w:val="false"/>
          <w:color w:val="000000"/>
          <w:sz w:val="20"/>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recognized no revenue for the three and six months ended June 30, 2026 and $70 thousand for the three and six months ended</w:t>
      </w:r>
      <w:r>
        <w:rPr>
          <w:color w:val="000000"/>
        </w:rPr>
        <w:t xml:space="preserve"> </w:t>
      </w:r>
      <w:r>
        <w:rPr>
          <w:rFonts w:ascii="Times New Roman;serif" w:hAnsi="Times New Roman;serif"/>
          <w:b w:val="false"/>
          <w:color w:val="000000"/>
          <w:sz w:val="20"/>
        </w:rPr>
        <w:t>June 30, 2025.</w:t>
      </w: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Milestones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and six months ended June 30, 2026 and June 30, 2025, the Company has not recognized revenue related to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Royalties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3 – Available-for-Sale Securities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available-for-sale securities recorded in cash and cash equivalents in the Company's Consolidated Balance Sheets (in thousands)</w:t>
      </w:r>
    </w:p>
    <w:tbl>
      <w:tblPr>
        <w:tblW w:w="10338" w:type="dxa"/>
        <w:jc w:val="center"/>
        <w:tblInd w:w="0" w:type="dxa"/>
        <w:tblLayout w:type="fixed"/>
        <w:tblCellMar>
          <w:top w:w="28" w:type="dxa"/>
          <w:left w:w="28" w:type="dxa"/>
          <w:bottom w:w="28" w:type="dxa"/>
          <w:right w:w="28" w:type="dxa"/>
        </w:tblCellMar>
      </w:tblPr>
      <w:tblGrid>
        <w:gridCol w:w="228"/>
        <w:gridCol w:w="201"/>
        <w:gridCol w:w="202"/>
        <w:gridCol w:w="196"/>
        <w:gridCol w:w="556"/>
        <w:gridCol w:w="109"/>
        <w:gridCol w:w="109"/>
        <w:gridCol w:w="109"/>
        <w:gridCol w:w="109"/>
        <w:gridCol w:w="256"/>
        <w:gridCol w:w="531"/>
        <w:gridCol w:w="144"/>
        <w:gridCol w:w="109"/>
        <w:gridCol w:w="109"/>
        <w:gridCol w:w="109"/>
        <w:gridCol w:w="256"/>
        <w:gridCol w:w="531"/>
        <w:gridCol w:w="144"/>
        <w:gridCol w:w="109"/>
        <w:gridCol w:w="109"/>
        <w:gridCol w:w="109"/>
        <w:gridCol w:w="201"/>
        <w:gridCol w:w="572"/>
        <w:gridCol w:w="113"/>
        <w:gridCol w:w="109"/>
        <w:gridCol w:w="109"/>
        <w:gridCol w:w="109"/>
        <w:gridCol w:w="196"/>
        <w:gridCol w:w="646"/>
        <w:gridCol w:w="109"/>
        <w:gridCol w:w="109"/>
        <w:gridCol w:w="109"/>
        <w:gridCol w:w="109"/>
        <w:gridCol w:w="256"/>
        <w:gridCol w:w="531"/>
        <w:gridCol w:w="144"/>
        <w:gridCol w:w="109"/>
        <w:gridCol w:w="109"/>
        <w:gridCol w:w="109"/>
        <w:gridCol w:w="256"/>
        <w:gridCol w:w="531"/>
        <w:gridCol w:w="144"/>
        <w:gridCol w:w="109"/>
        <w:gridCol w:w="109"/>
        <w:gridCol w:w="109"/>
        <w:gridCol w:w="196"/>
        <w:gridCol w:w="646"/>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Estimated fair values of available-for-sale securities are generally based on prices obtained from commercial pricing services. The following table summarizes the classification of the available-for-sale securities in the Company's Consolidated Balance Sheets (in thousands):</w:t>
      </w:r>
    </w:p>
    <w:tbl>
      <w:tblPr>
        <w:tblW w:w="4511" w:type="dxa"/>
        <w:jc w:val="center"/>
        <w:tblInd w:w="0" w:type="dxa"/>
        <w:tblLayout w:type="fixed"/>
        <w:tblCellMar>
          <w:top w:w="28" w:type="dxa"/>
          <w:left w:w="28" w:type="dxa"/>
          <w:bottom w:w="28" w:type="dxa"/>
          <w:right w:w="28" w:type="dxa"/>
        </w:tblCellMar>
      </w:tblPr>
      <w:tblGrid>
        <w:gridCol w:w="548"/>
        <w:gridCol w:w="482"/>
        <w:gridCol w:w="484"/>
        <w:gridCol w:w="253"/>
        <w:gridCol w:w="741"/>
        <w:gridCol w:w="131"/>
        <w:gridCol w:w="109"/>
        <w:gridCol w:w="109"/>
        <w:gridCol w:w="109"/>
        <w:gridCol w:w="300"/>
        <w:gridCol w:w="1026"/>
        <w:gridCol w:w="21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portfolio of available-for-sale securities by contractual maturity (in thousands):</w:t>
      </w:r>
    </w:p>
    <w:tbl>
      <w:tblPr>
        <w:tblW w:w="5111" w:type="dxa"/>
        <w:jc w:val="center"/>
        <w:tblInd w:w="0" w:type="dxa"/>
        <w:tblLayout w:type="fixed"/>
        <w:tblCellMar>
          <w:top w:w="28" w:type="dxa"/>
          <w:left w:w="28" w:type="dxa"/>
          <w:bottom w:w="28" w:type="dxa"/>
          <w:right w:w="28" w:type="dxa"/>
        </w:tblCellMar>
      </w:tblPr>
      <w:tblGrid>
        <w:gridCol w:w="668"/>
        <w:gridCol w:w="587"/>
        <w:gridCol w:w="590"/>
        <w:gridCol w:w="280"/>
        <w:gridCol w:w="820"/>
        <w:gridCol w:w="145"/>
        <w:gridCol w:w="109"/>
        <w:gridCol w:w="109"/>
        <w:gridCol w:w="109"/>
        <w:gridCol w:w="364"/>
        <w:gridCol w:w="1064"/>
        <w:gridCol w:w="26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one year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Note 4 – Property and Equipment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(in thousands):</w:t>
      </w:r>
    </w:p>
    <w:tbl>
      <w:tblPr>
        <w:tblW w:w="5411" w:type="dxa"/>
        <w:jc w:val="center"/>
        <w:tblInd w:w="0" w:type="dxa"/>
        <w:tblLayout w:type="fixed"/>
        <w:tblCellMar>
          <w:top w:w="28" w:type="dxa"/>
          <w:left w:w="28" w:type="dxa"/>
          <w:bottom w:w="28" w:type="dxa"/>
          <w:right w:w="28" w:type="dxa"/>
        </w:tblCellMar>
      </w:tblPr>
      <w:tblGrid>
        <w:gridCol w:w="874"/>
        <w:gridCol w:w="768"/>
        <w:gridCol w:w="773"/>
        <w:gridCol w:w="348"/>
        <w:gridCol w:w="596"/>
        <w:gridCol w:w="180"/>
        <w:gridCol w:w="109"/>
        <w:gridCol w:w="109"/>
        <w:gridCol w:w="109"/>
        <w:gridCol w:w="449"/>
        <w:gridCol w:w="768"/>
        <w:gridCol w:w="328"/>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center"/>
        <w:rPr/>
      </w:pPr>
      <w:r>
        <w:rPr/>
      </w:r>
    </w:p>
    <w:p>
      <w:pPr>
        <w:pStyle w:val="TextBody"/>
        <w:bidi w:val="0"/>
        <w:spacing w:lineRule="auto" w:line="288" w:before="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results included depreciation expense of approximately $5 thousand and $52 thousand for the six months ended June 30, 2026 and 2025, respectively.</w:t>
      </w:r>
    </w:p>
    <w:p>
      <w:pPr>
        <w:pStyle w:val="TextBody"/>
        <w:bidi w:val="0"/>
        <w:spacing w:before="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5 – Income (Loss) Per Share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Company incurred net losses and therefore no common stock equivalents were utilized in the calculation of diluted loss per share as they are anti-dilutive in the periods presented. At June 30, 2026 and 2025, the Company excluded the following potentially dilutive securities (in thousands):</w:t>
      </w:r>
    </w:p>
    <w:tbl>
      <w:tblPr>
        <w:tblW w:w="3803" w:type="dxa"/>
        <w:jc w:val="left"/>
        <w:tblInd w:w="0" w:type="dxa"/>
        <w:tblLayout w:type="fixed"/>
        <w:tblCellMar>
          <w:top w:w="28" w:type="dxa"/>
          <w:left w:w="28" w:type="dxa"/>
          <w:bottom w:w="28" w:type="dxa"/>
          <w:right w:w="28" w:type="dxa"/>
        </w:tblCellMar>
      </w:tblPr>
      <w:tblGrid>
        <w:gridCol w:w="678"/>
        <w:gridCol w:w="596"/>
        <w:gridCol w:w="601"/>
        <w:gridCol w:w="308"/>
        <w:gridCol w:w="308"/>
        <w:gridCol w:w="156"/>
        <w:gridCol w:w="109"/>
        <w:gridCol w:w="109"/>
        <w:gridCol w:w="109"/>
        <w:gridCol w:w="308"/>
        <w:gridCol w:w="308"/>
        <w:gridCol w:w="21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6 – Fair Value Measurements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 inputs are defined as quoted prices (unadjusted) in active markets for identical assets or liabilities that the reporting entity has the ability to access at the measurement date.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 inputs are defined as inputs other than quoted prices included within Level 1 that are observable for the assets or liabilities, either directly or indirectly.</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are defined as unobservable inputs for the assets or liabilities.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were accounted for at fair value on a recurring basis as of June 30, 2026 and December 31, 2025 were as follows (in thousands):</w:t>
      </w:r>
    </w:p>
    <w:tbl>
      <w:tblPr>
        <w:tblW w:w="10205" w:type="dxa"/>
        <w:jc w:val="center"/>
        <w:tblInd w:w="0" w:type="dxa"/>
        <w:tblLayout w:type="fixed"/>
        <w:tblCellMar>
          <w:top w:w="28" w:type="dxa"/>
          <w:left w:w="28" w:type="dxa"/>
          <w:bottom w:w="28" w:type="dxa"/>
          <w:right w:w="28" w:type="dxa"/>
        </w:tblCellMar>
      </w:tblPr>
      <w:tblGrid>
        <w:gridCol w:w="387"/>
        <w:gridCol w:w="341"/>
        <w:gridCol w:w="346"/>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406"/>
        <w:gridCol w:w="109"/>
        <w:gridCol w:w="109"/>
        <w:gridCol w:w="109"/>
        <w:gridCol w:w="109"/>
        <w:gridCol w:w="196"/>
        <w:gridCol w:w="406"/>
        <w:gridCol w:w="109"/>
        <w:gridCol w:w="109"/>
        <w:gridCol w:w="109"/>
        <w:gridCol w:w="109"/>
        <w:gridCol w:w="196"/>
        <w:gridCol w:w="646"/>
        <w:gridCol w:w="156"/>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cash equivalents, accounts payable and accrued expenses approximate fair value as of June 30, 2026 and December 31, 2025, due to the short maturity nature of these items.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7 – Accrued Liabilities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liabilities as of June 30, 2026 and December 31, 2025 were as follows (in thousands):</w:t>
      </w:r>
    </w:p>
    <w:tbl>
      <w:tblPr>
        <w:tblW w:w="6730" w:type="dxa"/>
        <w:jc w:val="center"/>
        <w:tblInd w:w="0" w:type="dxa"/>
        <w:tblLayout w:type="fixed"/>
        <w:tblCellMar>
          <w:top w:w="28" w:type="dxa"/>
          <w:left w:w="28" w:type="dxa"/>
          <w:bottom w:w="28" w:type="dxa"/>
          <w:right w:w="28" w:type="dxa"/>
        </w:tblCellMar>
      </w:tblPr>
      <w:tblGrid>
        <w:gridCol w:w="1351"/>
        <w:gridCol w:w="1187"/>
        <w:gridCol w:w="1196"/>
        <w:gridCol w:w="253"/>
        <w:gridCol w:w="741"/>
        <w:gridCol w:w="131"/>
        <w:gridCol w:w="109"/>
        <w:gridCol w:w="109"/>
        <w:gridCol w:w="109"/>
        <w:gridCol w:w="332"/>
        <w:gridCol w:w="970"/>
        <w:gridCol w:w="242"/>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employee benefits and related taxes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R&amp;D related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&amp; tax consulting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8 – Stockholders' Equity</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Equity Issuances</w:t>
      </w:r>
    </w:p>
    <w:p>
      <w:pPr>
        <w:pStyle w:val="TextBody"/>
        <w:bidi w:val="0"/>
        <w:spacing w:lineRule="auto" w:line="288" w:before="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At The Market Offering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As of the date of this filing and so long as the Company’s public float remains below $75.0 million, the Company is subject to limitations pursuant to General Instruction I.B.6 of Form S-3 (the “Baby Shelf Limitation”), which limits the amount the Company can offer to up to one-third of its public float during any trailing 12-month period. Subsequent to the filing of a prospectus supplement to the Company's Registration Statement on Form S-3 (File No. 333-279034) relating to the at the market offering on August 21, 2024, the aggregate market value of its outstanding common stock held by non-affiliates was approximately $29.6 million. Pursuant to the Baby Shelf Limitation, since the aggregate market value of the Company's outstanding common stock held by non-affiliates was below $75.0 million at the time of such prospectus supplement filing, the aggregate amount of securities that the Company is permitted to offer and sell is now $9,855,890, which was equal to one-third of the aggregate market value of our common stock held by non-affiliates as of August 20, 2024. If the Company’s public float exceeds $75.0 million on a future measurement date, it will no longer be subject to the Baby Shelf Limitation. During the six months ended June 30, 2026, the Company did not issue any shares of common stock under the ATM Agreement. Since inception, the Company has issued 330,938 shares of common stock under the ATM Agreement for net proceeds of $1,065,608.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Options and Warrants</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stock options and warrants for the six months ended June 30, 2026:</w:t>
      </w:r>
    </w:p>
    <w:tbl>
      <w:tblPr>
        <w:tblW w:w="10477" w:type="dxa"/>
        <w:jc w:val="center"/>
        <w:tblInd w:w="0" w:type="dxa"/>
        <w:tblLayout w:type="fixed"/>
        <w:tblCellMar>
          <w:top w:w="28" w:type="dxa"/>
          <w:left w:w="28" w:type="dxa"/>
          <w:bottom w:w="28" w:type="dxa"/>
          <w:right w:w="28" w:type="dxa"/>
        </w:tblCellMar>
      </w:tblPr>
      <w:tblGrid>
        <w:gridCol w:w="348"/>
        <w:gridCol w:w="306"/>
        <w:gridCol w:w="307"/>
        <w:gridCol w:w="109"/>
        <w:gridCol w:w="109"/>
        <w:gridCol w:w="109"/>
        <w:gridCol w:w="435"/>
        <w:gridCol w:w="436"/>
        <w:gridCol w:w="161"/>
        <w:gridCol w:w="109"/>
        <w:gridCol w:w="109"/>
        <w:gridCol w:w="109"/>
        <w:gridCol w:w="196"/>
        <w:gridCol w:w="466"/>
        <w:gridCol w:w="109"/>
        <w:gridCol w:w="109"/>
        <w:gridCol w:w="109"/>
        <w:gridCol w:w="109"/>
        <w:gridCol w:w="260"/>
        <w:gridCol w:w="260"/>
        <w:gridCol w:w="261"/>
        <w:gridCol w:w="109"/>
        <w:gridCol w:w="109"/>
        <w:gridCol w:w="109"/>
        <w:gridCol w:w="196"/>
        <w:gridCol w:w="556"/>
        <w:gridCol w:w="109"/>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202"/>
        <w:gridCol w:w="419"/>
        <w:gridCol w:w="16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Warrants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1,502,881 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1,276,962 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1,244,442 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366,660 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at June 30, 2026</w:t>
              <w:br/>
              <w:t>or expected to vest in the future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1,234,795 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366,660 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1,087,130 </w:t>
            </w:r>
          </w:p>
        </w:tc>
        <w:tc>
          <w:tcPr>
            <w:tcW w:w="1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366,660 </w:t>
            </w:r>
          </w:p>
        </w:tc>
        <w:tc>
          <w:tcPr>
            <w:tcW w:w="1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issued restricted stock for services as follows (in thousands, except share data):</w:t>
      </w:r>
    </w:p>
    <w:tbl>
      <w:tblPr>
        <w:tblW w:w="5110" w:type="dxa"/>
        <w:jc w:val="center"/>
        <w:tblInd w:w="0" w:type="dxa"/>
        <w:tblLayout w:type="fixed"/>
        <w:tblCellMar>
          <w:top w:w="28" w:type="dxa"/>
          <w:left w:w="28" w:type="dxa"/>
          <w:bottom w:w="28" w:type="dxa"/>
          <w:right w:w="28" w:type="dxa"/>
        </w:tblCellMar>
      </w:tblPr>
      <w:tblGrid>
        <w:gridCol w:w="906"/>
        <w:gridCol w:w="798"/>
        <w:gridCol w:w="801"/>
        <w:gridCol w:w="109"/>
        <w:gridCol w:w="109"/>
        <w:gridCol w:w="109"/>
        <w:gridCol w:w="245"/>
        <w:gridCol w:w="526"/>
        <w:gridCol w:w="136"/>
        <w:gridCol w:w="136"/>
        <w:gridCol w:w="136"/>
        <w:gridCol w:w="136"/>
        <w:gridCol w:w="245"/>
        <w:gridCol w:w="526"/>
        <w:gridCol w:w="192"/>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restricted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199,900 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215,550 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restricted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9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estimated fair value of restricted stock issued for services in the six months ended June 30, 2026 and 2025 was $1.97 and $3.80 per share, respectively. The fair value of the restricted stock was determined using the Company’s closing stock price on the date of issuance. The vesting terms of restricted stock issuances are generally between one and four years.</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changes in non-vested restricted stock for the six months ended June 30, 2026:</w:t>
      </w:r>
    </w:p>
    <w:tbl>
      <w:tblPr>
        <w:tblW w:w="7556" w:type="dxa"/>
        <w:jc w:val="center"/>
        <w:tblInd w:w="0" w:type="dxa"/>
        <w:tblLayout w:type="fixed"/>
        <w:tblCellMar>
          <w:top w:w="28" w:type="dxa"/>
          <w:left w:w="28" w:type="dxa"/>
          <w:bottom w:w="28" w:type="dxa"/>
          <w:right w:w="28" w:type="dxa"/>
        </w:tblCellMar>
      </w:tblPr>
      <w:tblGrid>
        <w:gridCol w:w="908"/>
        <w:gridCol w:w="796"/>
        <w:gridCol w:w="801"/>
        <w:gridCol w:w="569"/>
        <w:gridCol w:w="569"/>
        <w:gridCol w:w="57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Restricted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December 31, 2025</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265,036 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during the Year:</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199,900 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(172,848)</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(5,348)</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June 30, 2026</w:t>
            </w:r>
          </w:p>
        </w:tc>
        <w:tc>
          <w:tcPr>
            <w:tcW w:w="11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286,740 </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issued restricted stock units for services as follows (in thousands, except share data):</w:t>
      </w:r>
    </w:p>
    <w:tbl>
      <w:tblPr>
        <w:tblW w:w="5173" w:type="dxa"/>
        <w:jc w:val="center"/>
        <w:tblInd w:w="0" w:type="dxa"/>
        <w:tblLayout w:type="fixed"/>
        <w:tblCellMar>
          <w:top w:w="28" w:type="dxa"/>
          <w:left w:w="28" w:type="dxa"/>
          <w:bottom w:w="28" w:type="dxa"/>
          <w:right w:w="28" w:type="dxa"/>
        </w:tblCellMar>
      </w:tblPr>
      <w:tblGrid>
        <w:gridCol w:w="1047"/>
        <w:gridCol w:w="922"/>
        <w:gridCol w:w="926"/>
        <w:gridCol w:w="245"/>
        <w:gridCol w:w="526"/>
        <w:gridCol w:w="136"/>
        <w:gridCol w:w="136"/>
        <w:gridCol w:w="136"/>
        <w:gridCol w:w="136"/>
        <w:gridCol w:w="245"/>
        <w:gridCol w:w="526"/>
        <w:gridCol w:w="192"/>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restricted stock units issued</w:t>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152,280 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78,945 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Value of restricted stock units issued </w:t>
            </w:r>
          </w:p>
        </w:tc>
        <w:tc>
          <w:tcPr>
            <w:tcW w:w="2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9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estimated fair value of restricted stock units issued for services in the three months ended June 30, 2026 and 2025 was $1.97 and $3.80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changes in non-vested restricted stock units for the six months ended June 30, 2026:</w:t>
      </w:r>
    </w:p>
    <w:tbl>
      <w:tblPr>
        <w:tblW w:w="7466" w:type="dxa"/>
        <w:jc w:val="center"/>
        <w:tblInd w:w="0" w:type="dxa"/>
        <w:tblLayout w:type="fixed"/>
        <w:tblCellMar>
          <w:top w:w="28" w:type="dxa"/>
          <w:left w:w="28" w:type="dxa"/>
          <w:bottom w:w="28" w:type="dxa"/>
          <w:right w:w="28" w:type="dxa"/>
        </w:tblCellMar>
      </w:tblPr>
      <w:tblGrid>
        <w:gridCol w:w="908"/>
        <w:gridCol w:w="796"/>
        <w:gridCol w:w="801"/>
        <w:gridCol w:w="539"/>
        <w:gridCol w:w="539"/>
        <w:gridCol w:w="54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December 31, 2025</w:t>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78,945 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during the Year:</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152,280 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(78,945)</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June 30,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152,280 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9 – Share-Based Compensation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share-based compensation in the form of stock options, restricted stock, restricted stock units and warrants. The following table summarizes the components of share-based compensation expense for the three and six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tbl>
      <w:tblPr>
        <w:tblW w:w="8573" w:type="dxa"/>
        <w:jc w:val="center"/>
        <w:tblInd w:w="0" w:type="dxa"/>
        <w:tblLayout w:type="fixed"/>
        <w:tblCellMar>
          <w:top w:w="28" w:type="dxa"/>
          <w:left w:w="28" w:type="dxa"/>
          <w:bottom w:w="28" w:type="dxa"/>
          <w:right w:w="28" w:type="dxa"/>
        </w:tblCellMar>
      </w:tblPr>
      <w:tblGrid>
        <w:gridCol w:w="1245"/>
        <w:gridCol w:w="1092"/>
        <w:gridCol w:w="1098"/>
        <w:gridCol w:w="251"/>
        <w:gridCol w:w="556"/>
        <w:gridCol w:w="130"/>
        <w:gridCol w:w="130"/>
        <w:gridCol w:w="130"/>
        <w:gridCol w:w="130"/>
        <w:gridCol w:w="251"/>
        <w:gridCol w:w="556"/>
        <w:gridCol w:w="130"/>
        <w:gridCol w:w="109"/>
        <w:gridCol w:w="109"/>
        <w:gridCol w:w="109"/>
        <w:gridCol w:w="230"/>
        <w:gridCol w:w="508"/>
        <w:gridCol w:w="118"/>
        <w:gridCol w:w="118"/>
        <w:gridCol w:w="118"/>
        <w:gridCol w:w="118"/>
        <w:gridCol w:w="230"/>
        <w:gridCol w:w="508"/>
        <w:gridCol w:w="118"/>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compensation cost related to unvested awards not yet recognized and the weighted-average periods over which the awards were expected to be recognized at June 30, 2026 were as follows (in thousands):</w:t>
      </w:r>
    </w:p>
    <w:tbl>
      <w:tblPr>
        <w:tblW w:w="10205" w:type="dxa"/>
        <w:jc w:val="center"/>
        <w:tblInd w:w="0" w:type="dxa"/>
        <w:tblLayout w:type="fixed"/>
        <w:tblCellMar>
          <w:top w:w="28" w:type="dxa"/>
          <w:left w:w="28" w:type="dxa"/>
          <w:bottom w:w="28" w:type="dxa"/>
          <w:right w:w="28" w:type="dxa"/>
        </w:tblCellMar>
      </w:tblPr>
      <w:tblGrid>
        <w:gridCol w:w="2057"/>
        <w:gridCol w:w="1743"/>
        <w:gridCol w:w="1751"/>
        <w:gridCol w:w="280"/>
        <w:gridCol w:w="619"/>
        <w:gridCol w:w="144"/>
        <w:gridCol w:w="109"/>
        <w:gridCol w:w="109"/>
        <w:gridCol w:w="109"/>
        <w:gridCol w:w="402"/>
        <w:gridCol w:w="892"/>
        <w:gridCol w:w="211"/>
        <w:gridCol w:w="109"/>
        <w:gridCol w:w="109"/>
        <w:gridCol w:w="109"/>
        <w:gridCol w:w="109"/>
        <w:gridCol w:w="109"/>
        <w:gridCol w:w="310"/>
        <w:gridCol w:w="688"/>
        <w:gridCol w:w="236"/>
      </w:tblGrid>
      <w:tr>
        <w:trPr/>
        <w:tc>
          <w:tcPr>
            <w:tcW w:w="205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compensation cost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weighted-average period in years of compensation cost to be recognized</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fair value of shares vested and the weighted average estimated fair values of shares granted for the six months ended June 30, 2026 and 2025 were as follows (in thousands):</w:t>
      </w:r>
    </w:p>
    <w:tbl>
      <w:tblPr>
        <w:tblW w:w="9138" w:type="dxa"/>
        <w:jc w:val="center"/>
        <w:tblInd w:w="0" w:type="dxa"/>
        <w:tblLayout w:type="fixed"/>
        <w:tblCellMar>
          <w:top w:w="28" w:type="dxa"/>
          <w:left w:w="28" w:type="dxa"/>
          <w:bottom w:w="28" w:type="dxa"/>
          <w:right w:w="28" w:type="dxa"/>
        </w:tblCellMar>
      </w:tblPr>
      <w:tblGrid>
        <w:gridCol w:w="1678"/>
        <w:gridCol w:w="1471"/>
        <w:gridCol w:w="1485"/>
        <w:gridCol w:w="219"/>
        <w:gridCol w:w="532"/>
        <w:gridCol w:w="113"/>
        <w:gridCol w:w="113"/>
        <w:gridCol w:w="113"/>
        <w:gridCol w:w="113"/>
        <w:gridCol w:w="219"/>
        <w:gridCol w:w="532"/>
        <w:gridCol w:w="113"/>
        <w:gridCol w:w="109"/>
        <w:gridCol w:w="109"/>
        <w:gridCol w:w="109"/>
        <w:gridCol w:w="236"/>
        <w:gridCol w:w="455"/>
        <w:gridCol w:w="122"/>
        <w:gridCol w:w="122"/>
        <w:gridCol w:w="122"/>
        <w:gridCol w:w="122"/>
        <w:gridCol w:w="236"/>
        <w:gridCol w:w="523"/>
        <w:gridCol w:w="172"/>
      </w:tblGrid>
      <w:tr>
        <w:trPr/>
        <w:tc>
          <w:tcPr>
            <w:tcW w:w="16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Warrants</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shares vested</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estimated fair value of shares granted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Valuation Assumptions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10 – Income Taxes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approximately $99.0 million and $57.9 million, respectively, of Federal NOLs available to offset future taxable income expiring from 2030 through 2036. The Company performed an analysis and determined that they had an ownership change of greater than 50% on September 15, 2022. As a result of the ownership change, losses incurred before the ownership change on September 15, 2022 will be subject to an annual limitation while losses incurred after September 15, 2022 will not be subject to limitations.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2022, Cend Therapeutics, Inc. (“Cend”) had approximately $3.6 million of Federal NOLs available to offset future taxable income. The Company performed an analysis and determined that there was an ownership change of greater than 50% on September 15, 2022. As of September 15, 2022 Cend has approximately $3.1 million of Federal and $4.3 million of state NOLs. The state NOLs will expire from the 2036 through 2042 tax years. Using a fair market value of $36.1 million and applying an applicable federal rate of 2.54% Cend will have an annual limitation of approximately $917 thousand each year. The Federal NOL of $459 thousand incurred in the post-acquisition period September 15, 2022 to December 31, 2022 is not subject to limitation, and does not expire.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wholly owned Australian subsidiary had approximately $3.0 million and $2.3 million, respectively, of NOLs which will be carried forward and do not expire. There is a full valuation allowance against the NOLs.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research and development credit carryforwards of $0.5 million expiring from 2027 through 2034 if unutilized, and state research and development credit carryforwards of $0.1 million, which carryforward indefinitely. Utilization of these credits may be subject to an annual limitation based on changes in ownership.</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State NOLs available in New Jersey of $54.8 million and $24.6 million, respectively, California of $9.2 million and $9.2 million, respectively, and New York City of $1.9 million and $1.9 million, respectively, to offset future taxable income expiring from 2032 through 2045. The usage of the Company’s NOLs is limited given the change in ownership.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applies the Financial Accounting Standards Board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uncertain tax positions were $344 thousand and $344 thousand, respectively. The uncertain tax positions are due to the acquisition of Cend related to Federal and state credits and certain state NOLs. The Company will continue to evaluate its uncertain tax positions in future periods. The Company does not believe there will be any material changes in its unrecognized tax positions over the next year.</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years prior to 2022, the federal statute of limitations is closed for assessing tax. The Company’s state tax returns remain open to examination for a period of three to four years from the date of the tax return filing.</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sold a portion of their unused New Jersey net operating losses through the State of New Jersey Economic Development Authority's (“NJEDA”) Technology Business Tax Certificate Transfer Program (“Program”). Under the Program, the Company sold $4.3 million of its New Jersey net operating losses (“NJ NOLs”) for net proceeds of $349 thousand. The sale of NJ NOLs resulted in a $387 thousand deferred income tax benefit and a loss on sale of $38 thousand recorded in other income (expense) in the consolidated financial statements.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tax effects of changes in tax rates and tax law be recognized in the period in which the legislation is enacted. The Company completed its initial assessment of OBBBA for the year ended December 31, 2025. The OBBBA enacted new Section 174A, which permanently allows taxpayers to fully expense domestic research or experimental (R&amp;E) expenditures paid or incurred in taxable years beginning after December 31, 2024, and also provides transition rules permitting taxpayers to deduct unamortized domestic R&amp;E expenditures paid or incurred in 2022 through 2024.</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elected the one-year recovery method to deduct in full, in its first taxable year beginning after December 31, 2024, the remaining unamortized amount of its pre-2025 domestic R&amp;E expenditures. The Company also changed its tax accounting method for domestic R&amp;E expenditures paid or incurred in taxable years beginning after December 31, 2024, to the Section 174A(a) deduction method, under which such expenditures are deducted in the taxable year paid or incurred.</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the effects of OBBBA and related guidance, including the elections and method changes described above, on its income tax provision for the six months ended June 30, 2026. The Company concluded that these provisions did not materially affect its condensed consolidated financial statements. The Company continues to monitor additional implementation guidance and enacted state tax conformity changes.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11 – Segment Information</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operating segment, the research and development of its investigational drug product. The Company used the management approach to determine its reportable operating segment. The Company's Chief Operating Decision Maker ("CODM") is its Chief Executive Officer, who reviews financial information presented on a consolidated basis. The Company is a clinical-stage pharmaceutical company. The CODM uses net loss as a measure of profit and loss, and assesses Company performance through the achievement of its clinical development goals. The CODM is regularly provided with budgeted and forecasted expense information which is used to determine the Company’s liquidity needs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allocation to its development programs. The CODM uses cash and marketable securities as a measure of segment assets in managing the enterprise.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revenue of $0 and $0 for the three and six months ended June 30, 2026, respectively, and $70 thousand and $70 thousand for the three and six months ended June 30, 2025, respectively. Depreciation and amortization expense was $3 thousand and $5 thousand for the three and six months ended June 30, 2026, respectively and $44 thousand and $87 thousand for the three and six months ended June 30, 2025, respectively. The following table illustrates our segment information for significant operating expenses and includes a reconciliation to net loss for the three and six months ended June 30, 2026 and 2025:</w:t>
      </w:r>
    </w:p>
    <w:p>
      <w:pPr>
        <w:pStyle w:val="TextBody"/>
        <w:bidi w:val="0"/>
        <w:spacing w:before="0" w:after="160"/>
        <w:jc w:val="both"/>
        <w:rPr/>
      </w:pPr>
      <w:r>
        <w:rPr/>
      </w:r>
    </w:p>
    <w:tbl>
      <w:tblPr>
        <w:tblW w:w="10205" w:type="dxa"/>
        <w:jc w:val="left"/>
        <w:tblInd w:w="0" w:type="dxa"/>
        <w:tblLayout w:type="fixed"/>
        <w:tblCellMar>
          <w:top w:w="28" w:type="dxa"/>
          <w:left w:w="28" w:type="dxa"/>
          <w:bottom w:w="28" w:type="dxa"/>
          <w:right w:w="28" w:type="dxa"/>
        </w:tblCellMar>
      </w:tblPr>
      <w:tblGrid>
        <w:gridCol w:w="1890"/>
        <w:gridCol w:w="1634"/>
        <w:gridCol w:w="1652"/>
        <w:gridCol w:w="210"/>
        <w:gridCol w:w="711"/>
        <w:gridCol w:w="117"/>
        <w:gridCol w:w="117"/>
        <w:gridCol w:w="117"/>
        <w:gridCol w:w="117"/>
        <w:gridCol w:w="210"/>
        <w:gridCol w:w="711"/>
        <w:gridCol w:w="117"/>
        <w:gridCol w:w="109"/>
        <w:gridCol w:w="109"/>
        <w:gridCol w:w="109"/>
        <w:gridCol w:w="212"/>
        <w:gridCol w:w="632"/>
        <w:gridCol w:w="109"/>
        <w:gridCol w:w="109"/>
        <w:gridCol w:w="109"/>
        <w:gridCol w:w="109"/>
        <w:gridCol w:w="196"/>
        <w:gridCol w:w="632"/>
        <w:gridCol w:w="167"/>
      </w:tblGrid>
      <w:tr>
        <w:trPr/>
        <w:tc>
          <w:tcPr>
            <w:tcW w:w="189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by significant expense:</w:t>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BOLSTER trial</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ASCEND trial</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Chemistry, manufacturing and controls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Clinical department</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by significant expense:</w:t>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Corporate</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Investor relations/public relations/communications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Finance</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Legal</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Business development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 based compensation expense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Other </w:t>
            </w:r>
            <w:r>
              <w:rPr>
                <w:rFonts w:ascii="Times New Roman;serif" w:hAnsi="Times New Roman;serif"/>
                <w:b w:val="false"/>
                <w:color w:val="000000"/>
                <w:sz w:val="12"/>
              </w:rPr>
              <w:t>(2)</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(2,929)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(4,659)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(9,383)</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marketable securities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10,443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21,970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Included in Other are the GBM study, FORTIFIDE study and research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oncology expenses</w:t>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Included in Other are facilities expense, human resource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and information technology expenses</w:t>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12 – Australia Research and Development Tax Incentive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Australian subsidiary, which conducts core research and development activities, is eligible to receive a refundable tax incentive between 43.5% to 48.5% (depending upon the income tax rate) for qualified research and development activities. As of June 30, 2026 and December 31, 2025, the Company had $0.2 million and $0.7 million, respectively,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 On February 4, 2026 the Company's Australian subsidiary received a $0.7 million tax refund from the Australian Taxation Office related to the 2024 tax year.</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13 – Contingencies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The Company has elected to recognize expense for legal fees as incurred when the legal services are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14 – Technology Transfer Agreement</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 xml:space="preserve">Impilo Therapeutics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2023, the Company entered into a technology transfer agreement with Impilo Therapeutics (“Impilo”) under which the Company transferred its rights to its tumor penetrating nanocomplex (TPN) platform to Impilo. As consideration for the technology transfer, Impilo issued a total of 766,000 shares of its pre-seed preferred stock to the Company. On October 3, 2023, in connection with the Sanford Burnham Prebys license agreement (see Note 15 - License Agreements) Impilo cancelled the original stock certificate for 766,000 shares and reissued 574,500 shares of its pre-seed preferred stock to the Company.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15, 2024, the Company purchased a Simple Agreement for Future Equity ("SAFE") from Impilo for $100 thousand. On July 12, 2024, the Company purchased an additional SAFE from Impilo for $30 thousand. As of June 30, 2026 and December 31, 2025, the Company owned 38.6% of Impilo. These investments were expensed under the equity method of accounting in the prior year in other expense, net in the accompanying statement of operations. The SAFE has a valuation cap of $30.0 million and an 80% discount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15 – License Agreements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Sanford Burnham Prebys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certepetide. At the time the license agreement was entered into, Cend’s founding shareholder was an executive at SBP. The agreement provides the Company with the rights to grant and authorize sublicenses to use, sell, and otherwise exploit the patent rights. As consideration for the license, SBP was issued a total of 382,030 shares of common stock. The Company is required to pay an annual license maintenance fee of $10 thousand increasing to $20 thousand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received, which, pursuant to the technology transfer agreement with Impilo, resulted in SBP receiving 191,500 shares of the Company’s pre-seed preferred stock in Impilo on October 3, 2023.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SBP did not own shares of the Company’s common stock as of June 30, 2026.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16 – Research Collaboration and License Agreements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Exclusive License and Collaboration Agreement - Qilu Pharmaceutical</w:t>
      </w:r>
    </w:p>
    <w:p>
      <w:pPr>
        <w:pStyle w:val="TextBody"/>
        <w:bidi w:val="0"/>
        <w:spacing w:lineRule="auto" w:line="276"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23, 2026, the Company and Qilu Pharmaceutical Co., Ltd. (“Qilu”) entered into a Mutual Termination Agreement (the “Termination Agreement”) relating to the Exclusive License and Collaboration Agreement between the Company (formerly Cend Therapeutics, Inc. (“Cend”)) and Qilu, relating to the research, development and commercialization of certepetide (formerly known as CEND-1), dated February 11, 2021, as amended on April 26, 2021, and further amended by the Side Letter Agreement, dated November 10, 2023 (collectively the “License and Collaboration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Previously, Cend (which was subsequently acquired by the Company) and Qilu entered into the License and Collaboration Agreement, pursuant to which the Company granted Qilu a royalty-bearing exclusive license for the research, development and commercialization of certepetide in the Greater China territory (including Mainland China, Hong Kong, Macau, and Taiwan). Pursuant to the License and Collaboration Agreement, the Company was eligible to receive up to $200 million in development and commercial milestone payments and royalties ranging from 10% to 15% on licensed product sales. In consideration for the license, Qilu made an upfront payment of $10.0 million to Cend, which was recognized as revenue by Cend prior to the Company's acquisition of Cend on September 15, 2022 (the “Cend Merger”). In addition, Cend received and recognized as revenue a $5.0 million development milestone prior to the Cend Merger. The Company has not received any additional development and commercial milestone payments since the Cend Merger.</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Termination Agreement, the License and Collaboration Agreement is terminated, effective as of January 23, 2026, and is no longer in effect, except that the termination does not relieve the parties from obligations under the License and Collaboration Agreement that accrued prior to the termination and certain other provisions expressly indicated to survive the termination.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Exclusive License and Collaboration Agreement - Kuva Labs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 entered into an Exclusive License and Collaboration Agreement (the “Kuva License Agreement”) in which the Company granted an exclusive license to Kuva Labs, Inc. to explore the synergistic potential of the Company's certepetide as a targeting and delivery agent for Kuva’s NanoMark™ imaging technology in solid tumors. Under the Kuva License Agreement, Kuva will assume full responsibility for research, development, and commercialization costs, while the Company will be responsible for supplying certepetide for additional consideration pursuant to a Clinical Supply Agreement. In consideration for the license, the Company recognized $1.0 million as revenue upon delivery of the license in November 2024. The Company was eligible to receive additional development and commercial milestone payments up to $1.5 million and $17.5 million, respectively, a 5.0% percent royalty on net sales, and sublicensing revenues of 50%. On November 30, 2025, Kuva defaulted for non-payment of its obligation under the Kuva License Agreement, and were unable to satisfy such obligation during the cure period that expired on December 31, 2025. As a result of the default and failure to cure such default, the Agreement was terminated.</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 xml:space="preserve">Non-Exclusive License Agreement - Catalent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8, 2025, the Company entered into a worldwide Non-Exclusive License Agreement (the “Non-Exclusive License Agreement” or the “Agreement”) with Catalent, Inc. (“Catalent”), pursuant to which the Company granted to Catalent, on a non-exclusive basis, certain of its intellectual property to exploit use of the Company’s novel iRGD cyclic peptide, certepetide, as an antibody drug conjugate (ADC) payload as part of Catalent’s SMARTag® ADC platform. Under the Agreement, Catalent will assume full responsibility for research, development, and commercialization costs. In connection with entering into the Non-Exclusive License Agreement, the Company is eligible to receive pre-determined development milestone payments of up to $10.5 million in the aggregate. The Company is also eligible to receive tiered revenue sharing on future sales and/or partnerships, subject to specified royalty reductions as set forth in the Agreement, as well as a portion of any sublicense consideration received from the grant of any sublicense or similar rights under any of the rights or licenses granted to Catalent under the Agreement. The Agreement will remain in effect until it expires on a product-by-product and country-by-country basis at the end of the royalty term. Either party may terminate the Agreement upon the other party’s material breach, subject to specified notice and cure provisions, as well as resulting from the bankruptcy or insolvency of the other party. Catalent may also terminate the Agreement in its entirety at any time by giving the Company at least thirty (30) days prior written notice. In connection with the Agreement, Catalent has agreed to grant the Company a right of first negotiation for a license, in the event Catalent initiates a specific, organized out-licensing process of an asset resulting from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17 – Subsequent Events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Termination of Merger Agreement</w:t>
      </w:r>
    </w:p>
    <w:p>
      <w:pPr>
        <w:pStyle w:val="TextBody"/>
        <w:bidi w:val="0"/>
        <w:spacing w:before="0" w:after="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2026, the Company terminated the previously announced Agreement and Plan of Merger, dated as of March 6, 2026, by and among Kuva Labs Inc., a Delaware corporation (“Parent”) and Kuva Acquisition Corp., a Delaware corporation and a wholly owned subsidiary of Parent (“Purchaser”), and the Company (as amended, the “Merger Agreement”), pursuant to Section 8.3(a) of the Merger Agreement (the “Termination”).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 xml:space="preserve">Reduction in Force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the board of directors (the “Board”) of the Company approved a reduction in workforce by approximately 72%, effective immediately. The decision was based on cost-reduction initiatives intended to reduce the Company’s ongoing operating expenses and maximize shareholder value as the Company plans to pursue strategic options. Affected employees were offered separation benefits, including severance payments along with temporary healthcare coverage assistance for certain employees. The Company estimates that it will incur approximately $1.2 million of costs in connection with the reduction in workforce related to severance pay and other related termination benefits, which are expected to be incurred through the quarter ending September 30, 2026. This will be offset by a reversal of approximately $0.4 million in accrued bonus expense related to the terminated employees, as it was determined such bonuses will not be paid upon termination. The charges the Company expects to incur in connection with this reduction in workforce are subject to a number of assumptions, risks and uncertainties, and actual results may materially differ. The Company may also incur other material charges not currently contemplated due to events that may occur as a result of, or associated with, these actions.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reduction in workforce approved by the Board on August 3, 2026, effective as of August 3, 2026, the employment of Dr. Kristen K. Buck, M.D., the Company’s Executive Vice President of R&amp;D and Chief Medical Officer was terminated. Pursuant to the Amended and Restated Employment Agreement, dated as of June 10, 2025, between the Company and Dr. Buck (the “Buck Employment Agreement”), Dr. Buck’s departure from the Company will constitute a termination without Cause (as defined in the Buck Employment Agreement), and, in accordance therewith, subject to Dr. Buck executing a release in favor of the Company, Dr. Buck will be entitled to receive an amount equal to 12 months of her base salary and target bonus compensation and the Company shall pay COBRA premiums for Dr. Buck and her covered dependents for a period of up to 12 months.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on August 3, 2026, the Board approved a cash retention bonus to James Nisco, the Company’s Senior Vice President, Finance and Treasury and Chief Accounting Officer, in the amount of $200,000. The cash bonus is payable within thirty (30) days of, and subject to continued employment with the Company through, December 31, 2026; provided that if the applicable executive’s employment is terminated by the Company without “Cause”, then the retention bonus shall be payable within thirty (30) days of the executive’s execution and non-revocation of a release of claims.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Litigation against Kuva</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2026, the Company commenced an action in the Court of Chancery of the State of Delaware suing Parent and Purchaser over their breach of the Merger Agreement. Among other things, the Company is seeking payment of the termination fee and damages for the benefits its stockholders expected in connection with the transaction.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contains forward-looking statements that involve risks and uncertainties. There is no guarantee that our clinical development programs will be successful or result in the necessary regulatory approvals. Our actual results could differ materially from those anticipated in these forward-looking statements as a result of various factors, including those set forth under “Cautionary Note Regarding Forward-Looking Statements” herein and under “Risk Factors” in our 2025 Form 10-K. The following discussion should be read in conjunction with our consolidated financial statements and related notes thereto included elsewhere in this Quarterly Report and in our 2025 Form 10-K.</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clinical-stage pharmaceutical company dedicated to the discovery, development, and commercialization of innovative therapies for the treatment of solid tumors and other serious diseases. Our investigational product, certepetide (formerly known as LSTA1 or CEND-1), is designed to activate a novel uptake pathway (the C-end rule active transport mechanism)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We, our collaborators and other researchers have amassed and continue to amass significant non-clinical data demonstrating enhanced delivery of a range of existing and emerging anti-cancer therapies, including chemotherapeutics, immunotherapies, and RNA-based therapeutics. In addition, certain preclinical data using certepetide in combination with antibody drug conjugates (ADCs) has been generated as part of our research collaboration with Catalent. These data were presented at a scientific meeting during the fourth quarter of 2025. To date, certepetide has also demonstrated favorable safety, tolerability and activity in completed and ongoing clinical trials designed to enhance delivery of standard-of-care chemotherapy, with and without added immunotherapy, for pancreatic cancer. Certepetide is or has been the subject of several Phase 2 clinical studies globally in a variety of solid tumor types, including metastatic pancreatic ductal adenocarcinoma (mPDAC), cholangiocarcinoma, appendiceal cancer, colon cancer and glioblastoma multiforme in combination with a variety of anti-cancer regimens.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both"/>
        <w:rPr/>
      </w:pPr>
      <w:r>
        <w:rPr/>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Termination of Merger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2026, we terminated the previously announced Agreement and Plan of Merger, dated as of March 6, 2026, by and among Kuva Labs Inc., a Delaware corporation (“Parent”) and Kuva Acquisition Corp., a Delaware corporation and a wholly owned subsidiary of Parent (“Purchaser”), and us (as amended, the “Merger Agreement”), pursuant to Section 8.3(a) of the Merger Agreement (the “Termination”). Pursuant to the Merger Agreement, Purchaser agreed to acquire all of our outstanding shares of common stock, par value, $0.001 per share (the “Common Shares”), validly tendered and not validly withdrawn through a tender offer (the “Offer”), at a purchase price of (i) $4.00 per Common Share, net to the seller in cash, without interest, plus (ii) one contingent value right (each, a “CVR”), representing the contractual right to receive two contingent cash payments up to an aggregate of $3.00 per CVR subject to the achievement of certain milestones, in accordance with the terms and subject to the conditions of a contingent value rights agreement. The Offer was to be followed by a merger to acquire all remaining outstanding Common Shares for the same per share consideration paid in the Offer. For a summary of the material terms of the Merger Agreement and the Offer, please see our Current Reports on Form 8-K filed with the Securities and Exchange Commission on March 9, 2026, April 3, 2026, May 4, 2026, May 29, 2026, June 9, 2026 and July 17, 2026 and our Solicitation/Recommendation Statement on Schedule 14D-9 and related amendments filed with the Securities and Exchange Commission on June 10, 2026, July 2, 2026, July 13, 2026, July 17, 2026 and July 21, 2026. During the three and six months ended June 30, 2026, the Company received payments totaling $1,000,000 from Kuva related to the Merger Agreement, which are recorded in Other income (expense), net in the Consolidated Statements of Operations.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Termination followed Parent and Purchaser’s failure to accept for payment all Common Shares validly tendered and not validly withdrawn pursuant to the Offer after the expiration of the Offer one minute after 11:59 p.m., New York City Time, on July 20, 2026. Parent informed us that Parent had been unable to obtain sufficient financing for purposes of funding the Offer and instructed Equiniti Trust Company, LLC, in its capacity as depositary and paying agent for the Offer, to return the Common Shares tendered in the Offer to the holders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Termination, Parent was obligated under the Merger Agreement to pay us a termination fee of $2,000,000. In addition, we reserved all rights to seek all available legal remedies, including without limitation, damages for Willful Breach (as defined in the Merger Agreement) and any Enforcement Costs (as defined in the Merger Agreement). On July 31, 2026, we commenced an action in the Court of Chancery of the State of Delaware suing Parent and Purchaser over their breach of the Merger Agreement. Among other things, we are seeking payment of the termination fee and damages for the benefits our stockholders expected in connection with the transaction. There can be no assurance that we will be able to obtain damages from Parent or Purchaser, even to the extent legally available in any litigation that we may pursue, due to our limited financial resources available to fund related litigation and to Parent’s or Purchaser’s potential inability to satisfy with its existing assets any judgment that we might obtain.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 xml:space="preserve">Reduction in Force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our board of directors (the “Board”) approved a reduction in workforce by approximately 72%, effective immediately. The decision was based on cost-reduction initiatives intended to reduce our ongoing operating expenses and maximize shareholder value as we plan to pursue strategic options. Affected employees were offered separation benefits, including severance payments along with temporary healthcare coverage assistance for certain employees. We estimate that we will incur approximately $1.2 million of costs in connection with the reduction in workforce related to severance pay and other related termination benefits, which are expected to be incurred through the quarter ending September 30, 2026. This will be offset by a reversal of approximately $0.4 million in accrued bonus expense related to the terminated employees, as it was determined such bonuses will not be paid upon termination. The charges we expect to incur in connection with this reduction in workforce are subject to a number of assumptions, risks and uncertainties, and actual results may materially differ. We may also incur other material charges not currently contemplated due to events that may occur as a result of, or associated with, these actions.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reduction in workforce approved by the Board on August 3, 2026, effective as of August 3, 2026, the employment of Dr. Kristen K. Buck, M.D., our Executive Vice President of R&amp;D and Chief Medical Officer was terminated. Pursuant to the Amended and Restated Employment Agreement, dated as of June 10, 2025, between us and Dr. Buck (the “Buck Employment Agreement”), Dr. Buck’s departure from our company will constitute a termination without Cause (as defined in the Buck Employment Agreement), and, in accordance therewith, subject to Dr. Buck executing a release in favor of us, Dr. Buck will be entitled to receive an amount equal to 12 months of her base salary and target bonus compensation and we shall pay COBRA premiums for Dr. Buck and her covered dependents for a period of up to 12 months.</w:t>
      </w:r>
    </w:p>
    <w:p>
      <w:pPr>
        <w:pStyle w:val="TextBody"/>
        <w:bidi w:val="0"/>
        <w:spacing w:before="0" w:after="0"/>
        <w:ind w:left="0" w:right="0" w:firstLine="36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Review of Strategic Alternatives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is assessing strategic options to enhance stockholder value, which may include, but are not limited to, an acquisition, merger, reverse merger, other business combination, sales of assets, liquidation and dissolution or other strategic transactions. There can be no assurance that the process to identify strategic alternatives for our business will result in a successfully consummated transaction. If we are unable to identify a viable strategic alternative or if such a transaction is not completed in a timely manner, or if we are unable to raise additional capital sufficient to fund our operations, our board of directors may determine to pursue liquidation and dissolution or other wind down of our business. In such an event, the amount of cash available for distribution to our stockholders, if any, will depend heavily on the timing of such decision and, ultimately, such liquidation, since the amount of cash available for distribution continues to decrease as we fund our operations while we evaluate our strategic options.</w:t>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Development Programs</w:t>
      </w:r>
    </w:p>
    <w:p>
      <w:pPr>
        <w:pStyle w:val="TextBody"/>
        <w:bidi w:val="0"/>
        <w:spacing w:lineRule="auto" w:line="288"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Targeted Solid Tumor Penetration via CendR Active Transport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solid tumor cancers, including but not limited to pancreatic ductal adenocarcinoma (“PDAC”) and cholangiocarcinoma, are surrounded by dense fibrotic tissue, known as the tumor stroma. This stroma often limits the penetration of anti-cancer therapies including chemotherapy into the tumor and thus limits their efficacy. Emerging immunotherapies, including but not limited to checkpoint inhibitors and adoptive cell therapies (e.g., chimeric antigen receptor T cells (CAR-Ts)), also face challenges in effectively treating solid tumors. Many tumors exhibit an immunosuppressive TME, which suppresses a patient's immune system and can thus limit the effectiveness of immunotherapies and/or contribute to metastases. These factors, i.e., the combination of a dense stroma and an immunosuppressive TME, negatively impact the ability of many therapeutic agents to optimally treat these cancers.</w:t>
      </w:r>
    </w:p>
    <w:p>
      <w:pPr>
        <w:pStyle w:val="TextBody"/>
        <w:bidi w:val="0"/>
        <w:spacing w:lineRule="auto" w:line="288" w:before="0" w:after="160"/>
        <w:ind w:left="0" w:right="0" w:firstLine="360"/>
        <w:jc w:val="both"/>
        <w:rPr/>
      </w:pPr>
      <w:r>
        <w:rPr>
          <w:rFonts w:ascii="Times New Roman;serif" w:hAnsi="Times New Roman;serif"/>
          <w:b w:val="false"/>
          <w:color w:val="000000"/>
          <w:sz w:val="20"/>
        </w:rPr>
        <w:t xml:space="preserve">To address the tumor stroma’s role as a key impediment to effective treatment, we make use of the C-end rule (“CendR”) active transport mechanism, a naturally occurring transport system. Our investigational drug, certepetide (a specific, proprietary </w:t>
      </w:r>
      <w:r>
        <w:rPr>
          <w:rFonts w:ascii="Times New Roman;serif" w:hAnsi="Times New Roman;serif"/>
          <w:b w:val="false"/>
          <w:i/>
          <w:color w:val="000000"/>
          <w:sz w:val="20"/>
        </w:rPr>
        <w:t>internalizing</w:t>
      </w:r>
      <w:r>
        <w:rPr>
          <w:color w:val="000000"/>
        </w:rPr>
        <w:t xml:space="preserve"> </w:t>
      </w:r>
      <w:r>
        <w:rPr>
          <w:rFonts w:ascii="Times New Roman;serif" w:hAnsi="Times New Roman;serif"/>
          <w:b w:val="false"/>
          <w:color w:val="000000"/>
          <w:sz w:val="20"/>
        </w:rPr>
        <w:t xml:space="preserve">R-G-D or iRGD peptide), activates this transport system in a tumor-specific manner (Sugahara, Science, 2010).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Certepetide enables more selective and efficient uptake of systemically administered anti-cancer drugs resulting in more intratumoral drug accumulation. The overall expected result is enhanced anticancer activity without an increase in systemic adverse side effects. While it is possible to couple/tether or conjugate some anticancer drugs to certepetide, we believe that our initial approach of co-administration of certepetide with anti-cancer therapies is advantageous. Co-administration does not create a new chemical entity (“NCE”) with its attendant development and regulatory hurdles, thereby providing an anticipated faster-to-clinic and faster-to-market product opportunity for a range of combination therapies. That said, an attractive life-cycle management strategy for certepetide would be to molecularly bind it to a variety of anti-cancer agents (as an alternative to co-administration), thereby creating new NCEs with the potential for distinct patent protection, compositionally or otherwise.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Certepetide has demonstrated favorable safety, tolerability, and activity to date in clinical trials enhancing the selective delivery of standard-of-care chemotherapies for mPDAC. Certepetide’s cancer targeting characteristics may also enable emerging solid tumor treatment modalities to prove more effective. For example, preliminary results of certepetide in combination with both immunotherapy and chemotherapy are promising.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Certepetide as a treatment for solid tumor cancers in combination with other anti-cancer agents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Certepetide is an investigational drug that actuates the CendR active transport mechanism. Certepetide has been shown to modify the TME, making it less immunosuppressive and thereby making the tumor more susceptible to attack by the immune system while also inhibiting the metastatic cascade. It targets tumor vasculature, endothelial cells, tumor cells and some intratumoral immunosuppressive cells by its selective affinity for alpha-v beta-3 and alpha-v beta-5 integrins that are upregulated on these cells. Certepetide is a nine amino acid cyclic proprietary internalizing RGD (“iRGD”) peptide that, once bound to these integrins, undergoes proteolytic cleavage to release a linear peptide fragment, called a CendR peptide fragment. After dissociation from the integrin receptor, the CendR peptide fragment then binds with high selectivity and affinity to an adjacent receptor, called neuropilin-1, also upregulated in solid tumors, to activate the novel uptake pathway that allows circulating anticancer drugs to more selectively and effectively penetrate solid tumors. The ability of certepetide and iRGD peptides to modify the TME to enhance delivery and efficacy of co-administered drugs has been demonstrated in many preclinical models in a range of solid tumors. We, our collaborators, and research groups around the world have published more than 400 scientific papers related to the benefits of iRGD peptides and the CendR pathway.</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Clinically, certepetide has been the subject of multiple Phase 1 and Phase 2 trials. These studies include a Phase 1b/2a study in first line mPDAC patients. Study CEND1-201 was conducted in China by our former licensee, Qilu Pharmaceutical. Two dose levels of certepetide (1.6 and 3.2 mg/kg) were combined with SoC chemotherapy (gemcitabine and nab-paclitaxel). There were 55 patients in the study, 53 of whom were evaluable for efficacy. Twenty-five (25) patients were treated with 1.6 mg/kg certepetide and 28 patients with 3.2 mg/kg certepetide. In the 1.6 mg/kg certepetide group, partial response occurred in 11/25 (44.0%) patients, and stable disease occurred in 12/25 (48%) patients. In the 3.2 mg/kg certepetide group, partial response occurred in 11/28 (39.3%) patients, and stable disease occurred in 12/28 (42.9%) patients. The ORR was 41.5% for all doses. The ORR was 44.0% and 39.3% in the 1.6 mg/kg group and 3.2 mg/kg group, respectively. The DCR was 86.8% for all doses. The DCR in the 1.6 mg/kg group and 3.2 mg/kg group was 92.0% and 82.1%, respectively. The median PFS was 5.82 months for all doses combined. The median PFS was 7.36 months and 5.75 months in the 1.6 mg/kg group and 3.2 mg/kg group, respectively. The median OS was 11.10 months for all doses combined. The median OS was 10.35 months and 11.10 months in 1.6 mg/kg group and in 3.2 mg/kg group, respectively. The adverse event profile at both dose levels was similar to that for SoC alone. Qilu has informed us that they completed enrollment in the Phase 2 CEND1-202 study (n=96) in first line mPDAC in combination with SoC gemcitabine and nab-paclitaxel. We have not received a final clinical study report from the trial nor do we expect to, given that rights to certepetide have reverted to Lisata based on a mutual license termination agreement with Qilu, and there is no obligation on Qilu’s part that such a report is to be received by Lisata. Additionally, since Qilu was the sponsor of the aforementioned Phase 2 trial, Lisata does not own rights to any of the data.</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Certepetide was also the subject of a Phase 2b trial in first-line mPDAC patients, the ASCEND trial. We collaborated with the academic sponsor of the ASCEND trial, the Australasian Gastrointestinal Clinical Trials Group (AGITG) now called GI Cancer Trials along with the University of Sydney to conduct the study at 25 sites in Australia and New Zealand. The Phase 2 double-blind, randomized (2:1), placebo-controlled, multi-center ASCEND trial evaluated certepetide in combination with SoC chemotherapy (gemcitabine and nab-paclitaxel) for the treatment of mPDAC. The original ASCEND protocol included one dosing scheme for certepetide. Following the acquisition of Cend Therapeutics and, by extension, certepetide in September 2022, Lisata collaborated with AGITG to amend the protocol to ensure it respected international regulatory standards. Thus, endpoints typically recognized by regulators as primary in registration studies and more effective in guiding next stages of clinical development (e.g., overall survival), were added. The amended protocol was designed to assess the efficacy of two different dosing regimens of certepetide in two separate cohorts: Cohort A, where 95 patients received a single intravenous (IV) dose of certepetide 3.2 mg/kg or placebo in combination with SoC, and Cohort B, where 63 patients received two IV doses of certepetide 3.2 mg/kg or placebo administered 4 hours apart in combination with SoC. The preliminary data from Cohort A were reported at the ASCO GI meeting on January 24, 2025, demonstrating a median overall survival (mOS) of 12.68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for the certepetide treated group, compared to 9.72 months for the placebo treated group. Despite a numerical trend in 6-month PFS favoring the certepetide treatment group, no significant improvement in median PFS was observed (mPFS of 5.5 months in both groups). However, the objective response rate (ORR) benefit is positive with 4/65 (6.2%) complete responses in the certepetide treated group, compared to 0/28 (0%) the placebo treated group. The preliminary data from Cohort B were presented at the ESMO-GI meeting in July 2025, demonstrating a six-month progression-free survival (“6MPFS”) of 60.8% for the certepetide-treated group, whereas the 6MPFS in the placebo-treated group was 25%. Median progression-free survival (“mPFS”) was 7.5 months for the certepetide-treated group and 4.7 months for the placebo-treated group. Objective response rate (“ORR”) was 45.2% for the certepetide-treated group and 19% for the placebo-treated group. Median overall survival (“mOS”) was 10.32 months for the certepetide-treated group compared to 9.23 months for the placebo-treated group. A comparison of the preliminary data from Cohorts A and B indicated that the addition of two doses of certepetide (Cohort B regimen) to SoC chemotherapy resulted in a clinically meaningful improvement in both PFS and ORR for patients with mPDAC. We believe that these clinically significant findings provide compelling support for the continued and expedited investigation of certepetide as a novel therapeutic agent for the treatment of metastatic pancreatic cancer. The adverse event profile of Cohorts A and B remain similar in subjects treated with certepetide compared to placebo, confirming previous observations of certepetide’s benign safety profile. Additional data from Cohorts A and B was presented at the ESMO annual meeting in October 2025 with a final study report of the ASCEND study anticipated to be made available in 2026.</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certepetide is the subject of clinical trials being conducted globally in a variety of solid tumor types and in combination with several chemotherapy and immunotherapy anti-cancer regimens. These include three investigator-initiated trials: a Phase 2a trial in glioblastoma multiforme (GBM) in patients with newly diagnosed GBM, a Phase 1b/2a trial (iLSTA) in locally advanced non-resectable pancreatic ductal adenocarcinoma, and a Phase 1b/2a trial (CENDIFOX) in pancreatic, colon, and appendiceal cancers. Data announcements and final study reports from these investigator-initiated trials are entirely within the purview of the academic sponsors. Lisata’s Phase 2a BOLSTER trial, evaluating a single 3.2 mg/kg dose of certepetide in combination with standards of care in first and second-line cholangiocarcinoma completed and demonstrated no evidence of benefit or increase in adverse events when a single 3.2 mg/kg dose of certepetide was added to standard of care. </w:t>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 xml:space="preserve">Three Months Ended June 30, 2026 Compared to Three Months Ended June 30, 2025 </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June 30, 2025 (in thousands):</w:t>
      </w:r>
    </w:p>
    <w:tbl>
      <w:tblPr>
        <w:tblW w:w="5925" w:type="dxa"/>
        <w:jc w:val="left"/>
        <w:tblInd w:w="0" w:type="dxa"/>
        <w:tblLayout w:type="fixed"/>
        <w:tblCellMar>
          <w:top w:w="28" w:type="dxa"/>
          <w:left w:w="28" w:type="dxa"/>
          <w:bottom w:w="28" w:type="dxa"/>
          <w:right w:w="28" w:type="dxa"/>
        </w:tblCellMar>
      </w:tblPr>
      <w:tblGrid>
        <w:gridCol w:w="787"/>
        <w:gridCol w:w="690"/>
        <w:gridCol w:w="697"/>
        <w:gridCol w:w="218"/>
        <w:gridCol w:w="701"/>
        <w:gridCol w:w="121"/>
        <w:gridCol w:w="121"/>
        <w:gridCol w:w="121"/>
        <w:gridCol w:w="121"/>
        <w:gridCol w:w="218"/>
        <w:gridCol w:w="701"/>
        <w:gridCol w:w="121"/>
        <w:gridCol w:w="109"/>
        <w:gridCol w:w="109"/>
        <w:gridCol w:w="109"/>
        <w:gridCol w:w="196"/>
        <w:gridCol w:w="63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Research and development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General and administrative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operating expenses</w:t>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Loss from operations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w:t>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erif" w:hAnsi="Times New Roman;serif"/>
          <w:b w:val="false"/>
          <w:color w:val="000000"/>
          <w:sz w:val="20"/>
        </w:rPr>
        <w:t>Overall, net losses were $2.9 million for the three months ended June 30, 2026, compared to $4.7 million for the three months ended June 30, 2025.</w:t>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have any revenue for the three months ended June 30, 2026. For the three months ended June 30, 2025, revenue totaled $70 thousand in connection with an upfront license fee related to a research license agreement.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operating expenses totaled $4.0 million, compared to $4.9 million for the three months ended June 30, 2025, representing a decrease of $0.9 million or 19.2%. Operating expenses are comprised of the following: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Research and development expenses were approximately $0.6 million for the three months ended June 30, 2026, compared to $2.3 million for the three months ended June 30, 2025, representing a decrease of $1.7 million or 74.1%. This was primarily due to a reduction in expenses associated with our Phase 2a proof-of-concept Bolster trial which completed in the prior year and a reduction in clinical department expenses as a result of the elimination of several positions during the prior year.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General and administrative expenses were approximately $3.4 million for the three months ended June 30, 2026, compared to $2.7 million for the three months ended June 30, 2025, representing an increase of $0.7 million or 26.9%. This was primarily due to an increase in legal fees and consulting expenses in connection with the proposed acquisition by Kuva Labs Inc.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other income was $1.1 million for three months ended June 30, 2026, compared to $0.2 million for the three months ended June 30, 2025, representing an increase of $0.9 million primarily due to a $1.0 million receipt from Kuva related to the Merger Agreement partially offset by a reduction of investment income of $0.1 million from cash and cash equivalents as a result of lower investment balances.</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June 30, 2025 (in thousands):</w:t>
      </w:r>
    </w:p>
    <w:p>
      <w:pPr>
        <w:pStyle w:val="TextBody"/>
        <w:bidi w:val="0"/>
        <w:spacing w:before="240" w:after="160"/>
        <w:jc w:val="both"/>
        <w:rPr/>
      </w:pPr>
      <w:r>
        <w:rPr/>
      </w:r>
    </w:p>
    <w:tbl>
      <w:tblPr>
        <w:tblW w:w="5637" w:type="dxa"/>
        <w:jc w:val="left"/>
        <w:tblInd w:w="0" w:type="dxa"/>
        <w:tblLayout w:type="fixed"/>
        <w:tblCellMar>
          <w:top w:w="28" w:type="dxa"/>
          <w:left w:w="28" w:type="dxa"/>
          <w:bottom w:w="28" w:type="dxa"/>
          <w:right w:w="28" w:type="dxa"/>
        </w:tblCellMar>
      </w:tblPr>
      <w:tblGrid>
        <w:gridCol w:w="787"/>
        <w:gridCol w:w="690"/>
        <w:gridCol w:w="697"/>
        <w:gridCol w:w="199"/>
        <w:gridCol w:w="641"/>
        <w:gridCol w:w="110"/>
        <w:gridCol w:w="110"/>
        <w:gridCol w:w="110"/>
        <w:gridCol w:w="110"/>
        <w:gridCol w:w="199"/>
        <w:gridCol w:w="641"/>
        <w:gridCol w:w="110"/>
        <w:gridCol w:w="109"/>
        <w:gridCol w:w="109"/>
        <w:gridCol w:w="109"/>
        <w:gridCol w:w="196"/>
        <w:gridCol w:w="55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Research and development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General and administrative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operating expenses</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Loss from operations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60"/>
        <w:jc w:val="both"/>
        <w:rPr/>
      </w:pPr>
      <w:r>
        <w:rPr/>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have any revenue for the six months ended June 30, 2026. For the six months ended June 30, 2025, revenue totaled $70 thousand in connection with an upfront license fee related to a research license agreement. </w:t>
      </w:r>
    </w:p>
    <w:p>
      <w:pPr>
        <w:pStyle w:val="TextBody"/>
        <w:bidi w:val="0"/>
        <w:spacing w:before="240" w:after="160"/>
        <w:jc w:val="both"/>
        <w:rPr/>
      </w:pPr>
      <w:r>
        <w:rPr/>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operating expenses totaled $8.9 million, compared to $10.8 million for the six months ended June 30, 2025, representing a decrease of $1.9 million or 17.2%. Operating expenses are comprised of the following: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Research and development expenses were approximately $1.8 million for the six months ended June 30, 2026, compared to $4.9 million for the six months ended June 30, 2025, representing a decrease of $3.1 million or 63.2%. This was primarily due to a reduction in expenses associated with our Phase 2a proof-of-concept Bolster trial which completed in the prior year and a reduction in clinical department expenses as a result of the elimination of several positions during the prior year.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General and administrative expenses were approximately $7.1 million for the six months ended June 30, 2026, compared to $5.9 million for the six months ended June 30, 2025, representing an increase of $1.2 million or 20.5%. This was primarily due to an increase in legal fees and consulting expenses in connection with the proposed acquisition by Kuva Labs Inc. partially offset by severance costs in the prior year and lower equity expense in the current year.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other income (expense) is comprised primarily of investment income from cash, cash equivalents and marketable securities and losses on sales of our New Jersey net operating losses for the six months ended June 30, 2026 and 2025.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other income was $1.1 million for the six months ended June 30, 2026, compared to $0.4 million for the six months ended June 30, 2025, representing an increase of $0.8 million primarily due to a $1.0 million receipt from Kuva related to the Merger Agreement partially offset by a reduction of investment income of $0.3 million from cash and cash equivalents as a result of lower investment balances.</w:t>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Income Tax Benefit</w:t>
      </w:r>
    </w:p>
    <w:p>
      <w:pPr>
        <w:pStyle w:val="TextBody"/>
        <w:bidi w:val="0"/>
        <w:spacing w:lineRule="auto" w:line="288" w:before="24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we received final approval from the New Jersey Economic Development Authority (“NJEDA”) under the Technology Business Tax Certificate Transfer Program (the “Program”) to sell a percentage of our NJ NOLs, which were subsequently sold to a qualifying and approved buyer pursuant to the Program for net proceeds of $0.3 million. The $0.4 million of our NJ NOL tax benefits have been recorded as a benefit from income taxes and the loss on sale of $38 thousand recorded in other income (expense).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we received final approval from the NJEDA under the Program to sell a percentage of our NJ NOLs, which were subsequently sold to a qualifying and approved buyer pursuant to the Program for net proceeds of $0.9 million. The $1.0 million of our NJ NOL tax benefits have been recorded as a benefit from income taxes and the loss on sale of $0.1 million recorded in 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Analysis of Liquidity and Capital Resources</w:t>
      </w:r>
    </w:p>
    <w:p>
      <w:pPr>
        <w:pStyle w:val="TextBody"/>
        <w:bidi w:val="0"/>
        <w:spacing w:lineRule="auto" w:line="288" w:before="0" w:after="160"/>
        <w:ind w:left="0" w:right="0" w:firstLine="360"/>
        <w:jc w:val="both"/>
        <w:rPr/>
      </w:pPr>
      <w:r>
        <w:rPr>
          <w:rFonts w:ascii="Times New Roman;serif" w:hAnsi="Times New Roman;serif"/>
          <w:b w:val="false"/>
          <w:color w:val="000000"/>
          <w:sz w:val="20"/>
        </w:rPr>
        <w:t>As of</w:t>
      </w:r>
      <w:r>
        <w:rPr>
          <w:color w:val="000000"/>
        </w:rPr>
        <w:t> </w:t>
      </w:r>
      <w:r>
        <w:rPr>
          <w:rFonts w:ascii="Times New Roman;serif" w:hAnsi="Times New Roman;serif"/>
          <w:b w:val="false"/>
          <w:color w:val="000000"/>
          <w:sz w:val="20"/>
        </w:rPr>
        <w:t>June 30, 2026, we had cash and cash equivalents of approximately $10.4 million, working capital of approximately $8.0 million, and stockholders’ equity of approximately $8.2 million.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met our immediate cash requirements through existing cash balances. Additionally, we used equity and equity-linked instruments to pay for services and compensation.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or provided by, operating, investing and financing activities were as follows (in thousands): </w:t>
      </w:r>
    </w:p>
    <w:tbl>
      <w:tblPr>
        <w:tblW w:w="5276" w:type="dxa"/>
        <w:jc w:val="left"/>
        <w:tblInd w:w="0" w:type="dxa"/>
        <w:tblLayout w:type="fixed"/>
        <w:tblCellMar>
          <w:top w:w="28" w:type="dxa"/>
          <w:left w:w="28" w:type="dxa"/>
          <w:bottom w:w="28" w:type="dxa"/>
          <w:right w:w="28" w:type="dxa"/>
        </w:tblCellMar>
      </w:tblPr>
      <w:tblGrid>
        <w:gridCol w:w="1087"/>
        <w:gridCol w:w="953"/>
        <w:gridCol w:w="960"/>
        <w:gridCol w:w="199"/>
        <w:gridCol w:w="641"/>
        <w:gridCol w:w="110"/>
        <w:gridCol w:w="110"/>
        <w:gridCol w:w="110"/>
        <w:gridCol w:w="110"/>
        <w:gridCol w:w="199"/>
        <w:gridCol w:w="641"/>
        <w:gridCol w:w="156"/>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used in operating activities during the six months ended June 30, 2026 was $5.7 million, which is comprised of (i) our net loss of $7.4 million, adjusted for non-cash expenses totaling $0.6 million (which includes adjustments for equity-based compensation and depreciation), and (ii) changes in operating assets and liabilities providing approximately $1.1 million.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used in operating activities during the six months ended June 30, 2025 was $9.4 million, which is comprised of (i) our net loss of $9.4 million, adjusted for non-cash expenses totaling $0.8 million (which includes adjustments for equity-based compensation, depreciation and amortization, and amortization/accretion of marketable securities) and (ii) changes in operating assets and liabilities using approximately $0.8 million.</w:t>
      </w:r>
    </w:p>
    <w:p>
      <w:pPr>
        <w:pStyle w:val="TextBody"/>
        <w:bidi w:val="0"/>
        <w:spacing w:lineRule="auto" w:line="288" w:before="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Investing Activities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provided by investing activities during the six months ended June 30, 2026 totaled $0.</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provided by investing activities during the six months ended June 30, 2025 totaled $9.9 million and was primarily due to net sales of marketable securities (net of purchases of marketable securities). </w:t>
      </w:r>
    </w:p>
    <w:p>
      <w:pPr>
        <w:pStyle w:val="TextBody"/>
        <w:bidi w:val="0"/>
        <w:spacing w:lineRule="auto" w:line="288" w:before="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Financing Activities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provided by financing activities during the six months ended June 30, 2026 totaled $0.2 million and consisted primarily of warrant exercise proceeds of $0.2 million, option exercise proceeds of $0.1 million partially offset by tax withholding-related payments on net share settlement equity awards to employees of $0.2 million.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used in financing activities during the six months ended June 30, 2025 totaled $41.0 thousand and consisted of $0.3 million in proceeds primarily from the issuance of shares through our ATM Agreement (as defined below) partially offset by tax withholding-related payments on net share settlement equity awards to employees of $0.3 million.</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Liquidity and Capital Requirements Outlook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approximately $10.4 million. We will need to raise additional capital to fund our operations. However, we cannot guarantee that we will be able to obtain sufficient additional funding or that if we do obtain additional funding, that such funding will be obtainable on terms satisfactory to us.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business plan and existing capital resources, management has concluded that there is substantial doubt regarding our ability to continue as a going concern for a period of twelve months from the date of issuance of the accompanying consolidated financial statements. The accompanying financial statements have been prepared on a going concern basis and do not include any adjustments to the carrying amounts and classification of assets and liabilities that may be necessary if we were unable to continue as a going concern.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meet our short and long-term liquidity needs, including severance payments, we expect to use existing cash balances. Other sources of liquidity could include additional potential issuances of debt or equity securities in public or private financings, partnerships and/or collaborations and/or sale of assets. In addition, we have sued Kuva to receive the termination fee under the Merger Agreement and for damages for the benefits our stockholders expected in connection with the transaction. However, there can be no assurance that we will be able to obtain the termination fee or damages from Kuva. Our history of operating losses and liquidity challenges may make it difficult for us to raise capital on acceptable terms or at all. The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On July 24, 2026, following the termination of the Merger Agreement, we announced that our board of directors initiated a process to explore a range of strategic options to enhance stockholder value, which may include, but are not limited to, an acquisition, merger, reverse merger, other business combination, sales of assets, dissolution or other strategic transactions. Our board of directors continues to evaluate potential strategic alternatives. We expect to continue devoting significant time and resources and to incur expenses in identifying and evaluating strategic alternatives for our company, which could have a material adverse effect on our business. A considerable portion of these expenses will be incurred regardless of whether a transaction is completed. Any such expenses will decrease the remaining cash available for use in our business.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reduction in force of approximately 72% of our employees, we estimate that we will incur approximately $1.2 million of costs in connection with the reduction in workforce related to severance pay and other related termination benefits. The charges we expect to incur in connection with this reduction in workforce are subject to a number of assumptions, risks and uncertainties, and actual results may materially differ. We may also incur other material charges not currently contemplated due to events that may occur as a result of, or associated with, these actions.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that we do not successfully identify a viable strategic alternative, or consummate such a transaction, or if we are unable to raise sufficient capital to fund our operations, our board of directors may determine to pursue a liquidation and dissolution or other wind down of our business. In such an event, the amount of cash available for distribution to our stockholders, if any, will depend heavily on the timing of such liquidation as well as the amount of cash that will need to be reserved for commitments and contingent liabilities.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during the six months ended June 30, 2026, compared to those reported in our 2025 Form 10-K.</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(a)  Disclosure Controls and Procedures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our Senior Vice President, Finance and Treasury and Chief Accounting Officer, who serves as our principal financial officer (together, the “Evaluating Officers”),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evaluated, with the participation of our management, including our Evaluating Officers, the effectiveness of our disclosure controls and procedures as defined in Rules 13a-15(e) and 15d-15(e) under the Exchange Act. Based on that evaluation, our Evaluating Officers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Evaluating Officers, as appropriate to allow timely decisions regarding required disclosure.</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  Changes in Internal Control over Financial Reporting</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risk factors previously reported in our 2025 Form 10-K. See the risk factors set forth in our 2025 Annual Report on Form 10-K under the caption “Item 1A - Risk Factors.”</w:t>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activities to review and pursue strategic alternatives may not result in a strategic transaction, and even if we do consummate a strategic transaction, there is no assurance that it will deliver the benefits we expect or enhance stockholder value.</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24, 2026, following the termination of the Merger Agreement with Kuva and Kuva Acquisition Corp., we announced that our board of directors initiated a process to explore a range of strategic options to enhance stockholder value, which may include, but are not limited to, an acquisition, merger, reverse merger, other business combination, sales of assets, liquidation and dissolution or other strategic transactions. Our board of directors continues to evaluate potential strategic alternatives.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set a definitive timetable for completion of this process, and there can be no assurance regarding the results or outcome of this process. It is possible that we may not pursue a strategic alternative as a result of this process, that a strategic alternative that has been pursued may not be attractive, or that a strategic alternative may not ultimately be consummated. As part of the process, our board of directors will consider a full range of strategic alternatives, including, but not limited to, those identified in range of strategic alternatives described above.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devoting significant time and resources and to incur expenses in identifying and evaluating strategic alternatives for our company, which could have a material adverse effect on our business. A considerable portion of these expenses will be incurred regardless of whether a transaction is completed. Any such expenses will decrease the remaining cash available for use in our business. In addition, potential strategic transactions that require stockholder approval may not be approved by our stockholders or, if required, a counterparty’s stockholders. Further, any strategic transaction that is completed ultimately may not deliver the benefits we expect or enhance stockholder value.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Pursuing or consummating any strategic transaction may disrupt our management or business, require us to incur non-recurring or other charges, increase our near and long-term expenditures, and may pose significant integration challenges, which could adversely affect our operations and financial results. Accordingly, there can be no assurance that we will undertake or successfully complete any strategic transactions of the nature described above and any transactions that we do complete may be subject to the foregoing or other risks and could have a material adverse effect on our business, financial condition and prospects.</w:t>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 the event that we do not successfully identify a viable strategic alternative, or consummate such a transaction, or if we are unable to raise sufficient capital to fund our operations, our board of directors may determine to pursue a liquidation and dissolution or other wind down of our business. In such an event, the amount of cash available for distribution to our stockholders, if any, will depend heavily on the timing of such liquidation as well as the amount of cash that will need to be reserved for commitments and contingent liabilities.</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process to identify strategic alternatives for our business will result in a successfully consummated transaction. If we are unable to identify a viable strategic alternative or if such a transaction is not completed in a timely manner, or if we are unable to raise additional capital sufficient to fund our operations, our board of directors may determine to pursue a liquidation and dissolution or other wind down of our business. In such an event, the amount of cash available for distribution to our stockholders, if any, will depend heavily on the timing of such decision and, ultimately, such liquidation, since the amount of cash available for distribution continues to decrease as we fund our operations while we evaluate our strategic options.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our board of directors were to approve and recommend, and our stockholders were to approve, a dissolution and liquidation of our business, we would be required under Delaware law (in addition to paying the costs of the liquidation) to pay our outstanding obligations, as well as to make reasonable provisions for contingent and unknown obligations, prior to making any distributions in liquidation to our stockholders. As a result of this requirement, a portion or all of our assets may need to be reserved pending the satisfaction of such obligations. In addition, we may be subject to litigation or other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related to a liquidation and dissolution of our business. If a liquidation and dissolution are pursued, our board of directors, in consultation with its legal and financial advisors, would need to evaluate these matters and make a determination about a reasonable amount to reserve.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holders of our securities may suffer a total loss of their investment.</w:t>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Although we have commenced legal proceedings against Kuva relating to its breach of the Merger Agreement, we are uncertain if we will be successful in obtaining the termination fee and damages from Kuva.</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Kuva’s breach and our termination of the Merger Agreement, Kuva is obligated under the Merger Agreement to pay us a termination fee of $2,000,000. In addition, we reserved all rights to seek all available legal remedies, including without limitation, damages for willful breach (as defined in the Merger Agreement) and any enforcement costs (as defined in the Merger Agreement). Accordingly, we have commenced legal proceedings against Kuva. There can be no assurance that we will be able to obtain damages from Kuva due to our limited financial resources available to fund related litigation and to Kuva’s potential inability to satisfy with its existing assets any judgment that we might obtain.</w:t>
      </w:r>
    </w:p>
    <w:p>
      <w:pPr>
        <w:pStyle w:val="TextBody"/>
        <w:bidi w:val="0"/>
        <w:spacing w:before="0" w:after="1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 director or officer of the Company adopted, modified or terminated a “Rule 10b5-1 trading arrangement” or “non-Rule 10b5-1 trading arrangement,” as each term is defined in Item 408(a) of Regulation S-K.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 Index appearing immediately after the signature page to this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v:textbox>
                <w10:wrap type="none"/>
              </v:rect>
            </w:pict>
          </mc:Fallback>
        </mc:AlternateContent>
      </w:r>
    </w:p>
    <w:p>
      <w:pPr>
        <w:pStyle w:val="TextBody"/>
        <w:bidi w:val="0"/>
        <w:spacing w:lineRule="auto" w:line="288" w:before="0" w:after="0"/>
        <w:jc w:val="left"/>
        <w:rPr/>
      </w:pPr>
      <w:hyperlink w:anchor="i47ab8b83783e46cca4462b88c1721eab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60"/>
        <w:jc w:val="center"/>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center"/>
        <w:tblInd w:w="0" w:type="dxa"/>
        <w:tblLayout w:type="fixed"/>
        <w:tblCellMar>
          <w:top w:w="28" w:type="dxa"/>
          <w:left w:w="28" w:type="dxa"/>
          <w:bottom w:w="28" w:type="dxa"/>
          <w:right w:w="28" w:type="dxa"/>
        </w:tblCellMar>
      </w:tblPr>
      <w:tblGrid>
        <w:gridCol w:w="446"/>
        <w:gridCol w:w="394"/>
        <w:gridCol w:w="396"/>
        <w:gridCol w:w="109"/>
        <w:gridCol w:w="109"/>
        <w:gridCol w:w="109"/>
        <w:gridCol w:w="2528"/>
        <w:gridCol w:w="2528"/>
        <w:gridCol w:w="3586"/>
      </w:tblGrid>
      <w:tr>
        <w:trPr/>
        <w:tc>
          <w:tcPr>
            <w:tcW w:w="4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LISATA THERAPEUTICS, INC.</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David J. Mazzo, PhD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David J. Mazzo, PhD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President &amp;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James Nisco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James Nisco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SVP, Finance and Treasury and Chief Accounting Officer (Principal Financial Officer and Principal Accounting Officer)</w:t>
            </w:r>
          </w:p>
        </w:tc>
      </w:tr>
    </w:tbl>
    <w:p>
      <w:pPr>
        <w:pStyle w:val="TextBody"/>
        <w:bidi w:val="0"/>
        <w:spacing w:before="0" w:after="66"/>
        <w:ind w:left="0" w:right="0" w:firstLine="315"/>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LISATA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39"/>
        <w:gridCol w:w="188"/>
        <w:gridCol w:w="192"/>
        <w:gridCol w:w="109"/>
        <w:gridCol w:w="109"/>
        <w:gridCol w:w="109"/>
        <w:gridCol w:w="2788"/>
        <w:gridCol w:w="2679"/>
        <w:gridCol w:w="3792"/>
      </w:tblGrid>
      <w:tr>
        <w:trPr/>
        <w:tc>
          <w:tcPr>
            <w:tcW w:w="2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18"/>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Amendment to Agreement and Plan of Merger, dated May 29, 2026, by and among Lisata Therapeutics, Inc., Kuva Labs Inc. and Kuva Acquisition Corp. (filed as Exhibit 2.1 to the Company's Current Report on Form 8-K, filed with the SEC on May 29, 2026)</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18"/>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Amendment and Waiver to Agreement and Plan of Merger, dated June 8, 2026, by and among Lisata Therapeutics, Inc., Kuva Labs Inc. and Kuva Acquisition Corp. (filed as Exhibit 2.1 to the Company's Current Report on Form 8-K, filed with the SEC on June 9, 2026)</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8"/>
                  <w:u w:val="single"/>
                </w:rPr>
                <w:t>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Contingent Value Rights Agreement (filed as Exhibit 10.1 to the Company's Current Report on Form 8-K, filed with the SEC on May 29, 2026)</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11_20260630.htm">
              <w:r>
                <w:rPr>
                  <w:rStyle w:val="InternetLink"/>
                  <w:rFonts w:ascii="Times New Roman;serif" w:hAnsi="Times New Roman;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Section 302 of the Sarbanes-Oxley Act of 2002</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12_20260630.htm">
              <w:r>
                <w:rPr>
                  <w:rStyle w:val="InternetLink"/>
                  <w:rFonts w:ascii="Times New Roman;serif" w:hAnsi="Times New Roman;serif"/>
                  <w:b w:val="false"/>
                  <w:color w:val="0000FF"/>
                  <w:sz w:val="18"/>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Section 302 of the Sarbanes-Oxley Act of 2002</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21_20260630.htm">
              <w:r>
                <w:rPr>
                  <w:rStyle w:val="InternetLink"/>
                  <w:rFonts w:ascii="Times New Roman;serif" w:hAnsi="Times New Roman;serif"/>
                  <w:b w:val="false"/>
                  <w:color w:val="0000FF"/>
                  <w:sz w:val="18"/>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18 U.S.C. Section 1350, as adopted pursuant to Section 906 of the Sarbanes-Oxley Act of 2002</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22_20260630.htm">
              <w:r>
                <w:rPr>
                  <w:rStyle w:val="InternetLink"/>
                  <w:rFonts w:ascii="Times New Roman;serif" w:hAnsi="Times New Roman;serif"/>
                  <w:b w:val="false"/>
                  <w:color w:val="0000FF"/>
                  <w:sz w:val="18"/>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18 U.S.C. Section 1350, as adopted pursuant to Section 906 of the Sarbanes-Oxley Act of 2002</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2096" w:type="dxa"/>
        <w:jc w:val="center"/>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David J. Mazzo, PhD,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David J. Mazzo, PhD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David J. Mazzo, PhD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Title: President &amp; Chief Executive Officer</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James Nisco,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James Nisco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James Nisco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Title: Senior Vice President, Finance and Treasury and Chief Accounting Officer</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Lisata Therapeutics, Inc. (the “Company”) for the quarter ended June 30, 2026 filed with the Securities and Exchange Commission on the date hereof (the “Report”), I, David J. Mazzo, PhD, President and 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Dated:  August 6, 2026 </w:t>
      </w:r>
    </w:p>
    <w:p>
      <w:pPr>
        <w:pStyle w:val="TextBody"/>
        <w:bidi w:val="0"/>
        <w:spacing w:lineRule="auto" w:line="288" w:before="0" w:after="0"/>
        <w:jc w:val="left"/>
        <w:rPr>
          <w:color w:val="000000"/>
        </w:rPr>
      </w:pPr>
      <w:r>
        <w:rPr>
          <w:color w:val="000000"/>
        </w:rPr>
        <w:t> </w:t>
      </w:r>
    </w:p>
    <w:tbl>
      <w:tblPr>
        <w:tblW w:w="5772" w:type="dxa"/>
        <w:jc w:val="center"/>
        <w:tblInd w:w="0" w:type="dxa"/>
        <w:tblLayout w:type="fixed"/>
        <w:tblCellMar>
          <w:top w:w="28" w:type="dxa"/>
          <w:left w:w="28" w:type="dxa"/>
          <w:bottom w:w="28" w:type="dxa"/>
          <w:right w:w="28" w:type="dxa"/>
        </w:tblCellMar>
      </w:tblPr>
      <w:tblGrid>
        <w:gridCol w:w="124"/>
        <w:gridCol w:w="109"/>
        <w:gridCol w:w="109"/>
        <w:gridCol w:w="1591"/>
        <w:gridCol w:w="1591"/>
        <w:gridCol w:w="2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David J. Mazzo, PhD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J. Mazzo,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 (Principal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Lisata Therapeutics, Inc. (the “Company”) for the quarter ended June 30, 2026 filed with the Securities and Exchange Commission on the date hereof (the “Report”), I, James Nisco, Senior Vice President, Finance and Treasury and Chief Accounting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Dated:  August 6, 2026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3"/>
        <w:gridCol w:w="2893"/>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James Nisco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Nisco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Treasury and Chief Accounting Officer (Principal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20017/000114036126023336/ef20075162_ex2-1.htm" TargetMode="External"/><Relationship Id="rId3" Type="http://schemas.openxmlformats.org/officeDocument/2006/relationships/hyperlink" Target="https://www.sec.gov/Archives/edgar/data/320017/000114036126024560/ef20075787_ex2-1.htm" TargetMode="External"/><Relationship Id="rId4" Type="http://schemas.openxmlformats.org/officeDocument/2006/relationships/hyperlink" Target="https://www.sec.gov/Archives/edgar/data/320017/000114036126023336/ef20075162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20613</Words>
  <Characters>113742</Characters>
  <CharactersWithSpaces>133512</CharactersWithSpaces>
  <Paragraphs>1974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