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UNITED STATES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SECURITIES AND EXCHANGE COMMISSION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 10-Q</w:t>
      </w:r>
    </w:p>
    <w:tbl>
      <w:tblPr>
        <w:tblW w:w="9836" w:type="dxa"/>
        <w:jc w:val="left"/>
        <w:tblInd w:w="0" w:type="dxa"/>
        <w:tblLayout w:type="fixed"/>
        <w:tblCellMar>
          <w:top w:w="28" w:type="dxa"/>
          <w:left w:w="28" w:type="dxa"/>
          <w:bottom w:w="28" w:type="dxa"/>
          <w:right w:w="28" w:type="dxa"/>
        </w:tblCellMar>
      </w:tblPr>
      <w:tblGrid>
        <w:gridCol w:w="124"/>
        <w:gridCol w:w="109"/>
        <w:gridCol w:w="109"/>
        <w:gridCol w:w="2781"/>
        <w:gridCol w:w="2781"/>
        <w:gridCol w:w="39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QUARTERLY REPORT PURSUANT TO SECTION 13 OR 15(d) OF THE SECURITIES EXCHANGE ACT OF 1934</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Quarterly Period Ended June 30, 2024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bl>
      <w:tblPr>
        <w:tblW w:w="9806" w:type="dxa"/>
        <w:jc w:val="left"/>
        <w:tblInd w:w="0" w:type="dxa"/>
        <w:tblLayout w:type="fixed"/>
        <w:tblCellMar>
          <w:top w:w="28" w:type="dxa"/>
          <w:left w:w="28" w:type="dxa"/>
          <w:bottom w:w="28" w:type="dxa"/>
          <w:right w:w="28" w:type="dxa"/>
        </w:tblCellMar>
      </w:tblPr>
      <w:tblGrid>
        <w:gridCol w:w="124"/>
        <w:gridCol w:w="109"/>
        <w:gridCol w:w="109"/>
        <w:gridCol w:w="2771"/>
        <w:gridCol w:w="2771"/>
        <w:gridCol w:w="39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TRANSITION REPORT PURSUANT TO SECTION 13 OR 15(d) OF THE SECURITIES EXCHANGE ACT OF 1934</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__________________   to _________________________</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 001-33650</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LISATA THERAPEUTICS,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before="0" w:after="0"/>
        <w:jc w:val="center"/>
        <w:rPr/>
      </w:pPr>
      <w:r>
        <w:rPr/>
      </w:r>
    </w:p>
    <w:p>
      <w:pPr>
        <w:pStyle w:val="TextBody"/>
        <w:bidi w:val="0"/>
        <w:spacing w:before="0" w:after="0"/>
        <w:jc w:val="center"/>
        <w:rPr/>
      </w:pPr>
      <w:r>
        <w:rPr/>
      </w:r>
    </w:p>
    <w:tbl>
      <w:tblPr>
        <w:tblW w:w="7994" w:type="dxa"/>
        <w:jc w:val="left"/>
        <w:tblInd w:w="0" w:type="dxa"/>
        <w:tblLayout w:type="fixed"/>
        <w:tblCellMar>
          <w:top w:w="28" w:type="dxa"/>
          <w:left w:w="28" w:type="dxa"/>
          <w:bottom w:w="28" w:type="dxa"/>
          <w:right w:w="28" w:type="dxa"/>
        </w:tblCellMar>
      </w:tblPr>
      <w:tblGrid>
        <w:gridCol w:w="1795"/>
        <w:gridCol w:w="1577"/>
        <w:gridCol w:w="1593"/>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22-2343568</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 Allen Road, 2nd Floor, Basking Ridge, New Jersey</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07920</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 908-842-0100</w:t>
      </w:r>
    </w:p>
    <w:p>
      <w:pPr>
        <w:pStyle w:val="TextBody"/>
        <w:bidi w:val="0"/>
        <w:spacing w:lineRule="auto" w:line="288"/>
        <w:jc w:val="center"/>
        <w:rPr>
          <w:rFonts w:ascii="Times New Roman;sans-serif" w:hAnsi="Times New Roman;sans-serif"/>
          <w:b w:val="false"/>
          <w:color w:val="000000"/>
          <w:sz w:val="20"/>
          <w:u w:val="single"/>
          <w:shd w:fill="FFFF00" w:val="clear"/>
        </w:rPr>
      </w:pPr>
      <w:r>
        <w:rPr>
          <w:rFonts w:ascii="Times New Roman;sans-serif" w:hAnsi="Times New Roman;sans-serif"/>
          <w:b w:val="false"/>
          <w:color w:val="000000"/>
          <w:sz w:val="20"/>
          <w:u w:val="single"/>
          <w:shd w:fill="FFFF00" w:val="clear"/>
        </w:rPr>
      </w:r>
    </w:p>
    <w:tbl>
      <w:tblPr>
        <w:tblW w:w="9118" w:type="dxa"/>
        <w:jc w:val="center"/>
        <w:tblInd w:w="0" w:type="dxa"/>
        <w:tblLayout w:type="fixed"/>
        <w:tblCellMar>
          <w:top w:w="28" w:type="dxa"/>
          <w:left w:w="28" w:type="dxa"/>
          <w:bottom w:w="28" w:type="dxa"/>
          <w:right w:w="28" w:type="dxa"/>
        </w:tblCellMar>
      </w:tblPr>
      <w:tblGrid>
        <w:gridCol w:w="1305"/>
        <w:gridCol w:w="1147"/>
        <w:gridCol w:w="1147"/>
        <w:gridCol w:w="565"/>
        <w:gridCol w:w="565"/>
        <w:gridCol w:w="565"/>
        <w:gridCol w:w="1120"/>
        <w:gridCol w:w="1120"/>
        <w:gridCol w:w="1584"/>
      </w:tblGrid>
      <w:tr>
        <w:trPr/>
        <w:tc>
          <w:tcPr>
            <w:tcW w:w="1305"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r>
      <w:tr>
        <w:trPr/>
        <w:tc>
          <w:tcPr>
            <w:tcW w:w="911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Symbol(s)</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$0.001 per share</w:t>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LSTA</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Capital Market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66"/>
        <w:ind w:left="0" w:right="0" w:firstLine="270"/>
        <w:jc w:val="both"/>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20"/>
        </w:rPr>
        <w:t>No ☐</w:t>
      </w:r>
    </w:p>
    <w:p>
      <w:pPr>
        <w:pStyle w:val="TextBody"/>
        <w:bidi w:val="0"/>
        <w:spacing w:lineRule="auto" w:line="288" w:before="0" w:after="66"/>
        <w:ind w:left="0" w:right="0" w:firstLine="270"/>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Yes ☒</w:t>
      </w:r>
      <w:r>
        <w:rPr>
          <w:color w:val="000000"/>
        </w:rPr>
        <w:t xml:space="preserve"> </w:t>
      </w:r>
      <w:r>
        <w:rPr>
          <w:rFonts w:ascii="Times New Roman;sans-serif" w:hAnsi="Times New Roman;sans-serif"/>
          <w:b w:val="false"/>
          <w:color w:val="000000"/>
          <w:sz w:val="20"/>
        </w:rPr>
        <w:t>No ☐</w:t>
      </w:r>
    </w:p>
    <w:p>
      <w:pPr>
        <w:pStyle w:val="TextBody"/>
        <w:bidi w:val="0"/>
        <w:spacing w:lineRule="auto" w:line="288" w:before="0" w:after="66"/>
        <w:ind w:left="0" w:right="0" w:firstLine="27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403"/>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Yes ☐     No ☒</w:t>
      </w:r>
    </w:p>
    <w:p>
      <w:pPr>
        <w:pStyle w:val="TextBody"/>
        <w:bidi w:val="0"/>
        <w:spacing w:before="0" w:after="66"/>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Indicate the number of shares outstanding of each of the issuer's classes of common stock, as of the latest practicable date.</w:t>
      </w:r>
    </w:p>
    <w:tbl>
      <w:tblPr>
        <w:tblW w:w="6622" w:type="dxa"/>
        <w:jc w:val="center"/>
        <w:tblInd w:w="0" w:type="dxa"/>
        <w:tblLayout w:type="fixed"/>
        <w:tblCellMar>
          <w:top w:w="28" w:type="dxa"/>
          <w:left w:w="28" w:type="dxa"/>
          <w:bottom w:w="28" w:type="dxa"/>
          <w:right w:w="28" w:type="dxa"/>
        </w:tblCellMar>
      </w:tblPr>
      <w:tblGrid>
        <w:gridCol w:w="1291"/>
        <w:gridCol w:w="1131"/>
        <w:gridCol w:w="1147"/>
        <w:gridCol w:w="488"/>
        <w:gridCol w:w="488"/>
        <w:gridCol w:w="467"/>
        <w:gridCol w:w="467"/>
        <w:gridCol w:w="467"/>
        <w:gridCol w:w="676"/>
      </w:tblGrid>
      <w:tr>
        <w:trPr/>
        <w:tc>
          <w:tcPr>
            <w:tcW w:w="129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Class</w:t>
            </w:r>
          </w:p>
        </w:tc>
        <w:tc>
          <w:tcPr>
            <w:tcW w:w="305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Outstanding as of August 12, 2024</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per share</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8,319,600 </w:t>
            </w:r>
          </w:p>
        </w:tc>
        <w:tc>
          <w:tcPr>
            <w:tcW w:w="4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w:t>
            </w:r>
          </w:p>
        </w:tc>
      </w:tr>
    </w:tbl>
    <w:p>
      <w:pPr>
        <w:pStyle w:val="TextBody"/>
        <w:bidi w:val="0"/>
        <w:spacing w:before="0" w:after="0"/>
        <w:ind w:left="0" w:right="0" w:firstLine="360"/>
        <w:jc w:val="left"/>
        <w:rPr/>
      </w:pPr>
      <w:r>
        <w:rPr/>
      </w:r>
    </w:p>
    <w:p>
      <w:pPr>
        <w:pStyle w:val="TextBody"/>
        <w:bidi w:val="0"/>
        <w:spacing w:before="0" w:after="66"/>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7bbfdc1bacb84fd0b83109c9a78b2c53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66"/>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before="0" w:after="0"/>
        <w:ind w:left="0" w:right="0" w:firstLine="360"/>
        <w:jc w:val="both"/>
        <w:rPr/>
      </w:pPr>
      <w:r>
        <w:rPr/>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(this “Quarterly Report”) contains “forward-looking” statements within the meaning of the Private Securities Litigation Reform Act of 1995, as well as historical information. When used in this Quarterly Report, statements that are not statements of current or historical fact may be deemed to be forward-looking statements, including, without limitation, all statements related to any expectations of revenues, expenses, cash flows, earnings or losses from operations, cash required to maintain current and planned operations, capital or other financial items; any statements of the plans, strategies and objectives of management for future operations; any plans or expectations with respect to product research, development and commercialization, including regulatory approvals; any other statements of expectations, plans, intentions or beliefs; and any statements of assumptions underlying any of the foregoing. Without limiting the foregoing, the words “plan,” “project,” “forecast,” “outlook,” “intend,” “may,” “will,” “expect,” “anticipate,” “likely,” “believe,” “could,” “anticipate,” “estimate,” “continue,” “target” or similar expressions or other variations or comparable terminology are intended to identify such forward-looking statements, although some forward-looking statements are expressed differently. We remind readers that forward-looking statements are merely predictions and therefore inherently subject to uncertainties and other factors and involve known and unknown risks that could cause the actual results, performance, levels of activity or our achievements or industry results, to be materially different from any future results, performance, levels of activity or our achievements or industry results expressed or implied by such forward-looking statements. Factors that could cause our actual results to differ materially from anticipated results expressed or implied by forward-looking statements include, among others: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our ability to obtain sufficient capital or strategic business arrangements to fund our operations and expansion plans, including collecting amounts owed to us under various licensing and other strategic arrangements, meeting our financial obligations under various licensing and other strategic arrangements, the funding of our clinical trials for product candidates, and the commercialization of the relevant technology;</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our ability to build and maintain the management and human resources infrastructure necessary to support the operation and/or growth of our business;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whether a market is established for our products and our ability to capture a meaningful share of this market;</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scientific, regulatory and medical developments beyond our control;</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our ability to obtain and maintain, as applicable, appropriate governmental licenses, accreditations or certifications or to comply with healthcare laws and regulations or any other adverse effect or limitations caused by government regulation of our business;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whether any of our current or future patent applications result in issued patents, the scope of those patents and our ability to obtain and maintain other rights to technology required or desirable for the conduct of our business, and our ability to commercialize products without infringing upon the claims of third-party patents;</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whether any potential strategic or financial benefits of various licensing agreements will be realized;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our ability to diversify our pipeline of development product candidates, which could include an acquisition, merger, business combination, in-license or other strategic transaction, and whether any of such efforts will result in us entering into or completing any transaction or that any such transaction, if completed, will add to shareholder value;</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 xml:space="preserve">the results of our development activities;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our ability to complete our other planned clinical trials (or initiate other trials) in accordance with our estimated timelines due to delays associated with enrolling patients due to the novelty of the treatment, the size of the patient population, competition with other clinical trials for similar subjects, patient and/or investigator site availability and accessibility due to external macroenvironmental factors and the need of patients to meet the inclusion criteria of the trial or otherwise;</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the extent to which any future public health crisis and their long-term effects may impact, directly or indirectly, our business, including our clinical trials and financial condition; and</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other factors discussed in “Risk Factors” in our Annual Report on Form 10-K filed with the Securities and Exchange Commission (the “SEC”) on February 29, 2024 (our “2023 Form 10-K”).</w:t>
      </w:r>
    </w:p>
    <w:p>
      <w:pPr>
        <w:pStyle w:val="TextBody"/>
        <w:bidi w:val="0"/>
        <w:spacing w:lineRule="auto" w:line="288" w:before="0" w:after="160"/>
        <w:jc w:val="both"/>
        <w:rPr/>
      </w:pPr>
      <w:r>
        <w:rPr>
          <w:rFonts w:ascii="Times New Roman;sans-serif" w:hAnsi="Times New Roman;sans-serif"/>
          <w:b w:val="false"/>
          <w:color w:val="000000"/>
          <w:sz w:val="20"/>
        </w:rPr>
        <w:t xml:space="preserve">The factors discussed herein, including those risks described in “Item 1A. Risk Factors” and elsewhere in our 2023 Form 10-K and in our other periodic filings with the SEC, which are available for review at </w:t>
      </w:r>
      <w:r>
        <w:rPr>
          <w:rFonts w:ascii="Times New Roman;sans-serif" w:hAnsi="Times New Roman;sans-serif"/>
          <w:b w:val="false"/>
          <w:i/>
          <w:color w:val="000000"/>
          <w:sz w:val="20"/>
        </w:rPr>
        <w:t>www.sec.gov,</w:t>
      </w:r>
      <w:r>
        <w:rPr>
          <w:color w:val="000000"/>
        </w:rPr>
        <w:t xml:space="preserve"> </w:t>
      </w:r>
      <w:r>
        <w:rPr>
          <w:rFonts w:ascii="Times New Roman;sans-serif" w:hAnsi="Times New Roman;sans-serif"/>
          <w:b w:val="false"/>
          <w:color w:val="000000"/>
          <w:sz w:val="20"/>
        </w:rPr>
        <w:t xml:space="preserve">could cause actual results and developments to be materially different from those expressed or implied by such statements. All forward-looking statements attributable to us are expressly qualified in their entirety by these and other factors. Readers are cautioned not to place undue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 </w:t>
                      </w:r>
                    </w:p>
                  </w:txbxContent>
                </v:textbox>
                <w10:wrap type="none"/>
              </v:rect>
            </w:pict>
          </mc:Fallback>
        </mc:AlternateContent>
      </w:r>
    </w:p>
    <w:p>
      <w:pPr>
        <w:pStyle w:val="TextBody"/>
        <w:bidi w:val="0"/>
        <w:spacing w:lineRule="auto" w:line="288" w:before="0" w:after="0"/>
        <w:jc w:val="left"/>
        <w:rPr/>
      </w:pPr>
      <w:hyperlink w:anchor="i7bbfdc1bacb84fd0b83109c9a78b2c53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reliance on these forward-looking statements, which speak only as of the date they were made. Except as required by law, we undertake no obligation to update any forward-looking statements, whether as a result of new information, future events or otherwise.</w:t>
      </w:r>
    </w:p>
    <w:p>
      <w:pPr>
        <w:pStyle w:val="TextBody"/>
        <w:bidi w:val="0"/>
        <w:spacing w:before="0" w:after="66"/>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 </w:t>
                      </w:r>
                    </w:p>
                  </w:txbxContent>
                </v:textbox>
                <w10:wrap type="none"/>
              </v:rect>
            </w:pict>
          </mc:Fallback>
        </mc:AlternateContent>
      </w:r>
    </w:p>
    <w:p>
      <w:pPr>
        <w:pStyle w:val="TextBody"/>
        <w:bidi w:val="0"/>
        <w:spacing w:lineRule="auto" w:line="288" w:before="0" w:after="0"/>
        <w:jc w:val="left"/>
        <w:rPr/>
      </w:pPr>
      <w:hyperlink w:anchor="i7bbfdc1bacb84fd0b83109c9a78b2c53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66"/>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77"/>
        <w:gridCol w:w="243"/>
        <w:gridCol w:w="244"/>
        <w:gridCol w:w="2880"/>
        <w:gridCol w:w="2880"/>
        <w:gridCol w:w="2885"/>
        <w:gridCol w:w="231"/>
        <w:gridCol w:w="231"/>
        <w:gridCol w:w="334"/>
      </w:tblGrid>
      <w:tr>
        <w:trPr/>
        <w:tc>
          <w:tcPr>
            <w:tcW w:w="27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PART I- FINANCIAL INFORMATION</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3051F2"/>
                <w:sz w:val="18"/>
              </w:rPr>
            </w:pPr>
            <w:r>
              <w:rPr>
                <w:rFonts w:ascii="Times New Roman;sans-serif" w:hAnsi="Times New Roman;sans-serif"/>
                <w:b/>
                <w:color w:val="3051F2"/>
                <w:sz w:val="18"/>
              </w:rPr>
              <w:t>Page No.</w:t>
            </w:r>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Item 1.</w:t>
            </w:r>
          </w:p>
        </w:tc>
        <w:tc>
          <w:tcPr>
            <w:tcW w:w="86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7bbfdc1bacb84fd0b83109c9a78b2c53_10">
              <w:r>
                <w:rPr>
                  <w:rStyle w:val="InternetLink"/>
                  <w:rFonts w:ascii="Times New Roman;sans-serif" w:hAnsi="Times New Roman;sans-serif"/>
                  <w:b/>
                  <w:color w:val="0000FF"/>
                  <w:sz w:val="18"/>
                  <w:u w:val="single"/>
                </w:rPr>
                <w:t>Financial Statements:</w:t>
              </w:r>
            </w:hyperlink>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bbfdc1bacb84fd0b83109c9a78b2c53_13">
              <w:r>
                <w:rPr>
                  <w:rStyle w:val="InternetLink"/>
                  <w:rFonts w:ascii="Times New Roman;sans-serif" w:hAnsi="Times New Roman;sans-serif"/>
                  <w:b w:val="false"/>
                  <w:strike w:val="false"/>
                  <w:dstrike w:val="false"/>
                  <w:color w:val="0000FF"/>
                  <w:sz w:val="18"/>
                  <w:u w:val="none"/>
                  <w:effect w:val="none"/>
                </w:rPr>
                <w:t>5</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6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7bbfdc1bacb84fd0b83109c9a78b2c53_16">
              <w:r>
                <w:rPr>
                  <w:rStyle w:val="InternetLink"/>
                  <w:rFonts w:ascii="Times New Roman;sans-serif" w:hAnsi="Times New Roman;sans-serif"/>
                  <w:b/>
                  <w:strike w:val="false"/>
                  <w:dstrike w:val="false"/>
                  <w:color w:val="000080"/>
                  <w:sz w:val="18"/>
                  <w:u w:val="single"/>
                  <w:effect w:val="none"/>
                </w:rPr>
                <w:t>Consolidated Balance Sheets at</w:t>
              </w:r>
            </w:hyperlink>
            <w:hyperlink w:anchor="i7bbfdc1bacb84fd0b83109c9a78b2c53_16">
              <w:r>
                <w:rPr>
                  <w:rStyle w:val="InternetLink"/>
                  <w:rFonts w:ascii="Times New Roman;sans-serif" w:hAnsi="Times New Roman;sans-serif"/>
                  <w:b/>
                  <w:strike w:val="false"/>
                  <w:dstrike w:val="false"/>
                  <w:color w:val="000080"/>
                  <w:sz w:val="18"/>
                  <w:u w:val="single"/>
                  <w:effect w:val="none"/>
                </w:rPr>
                <w:t xml:space="preserve"> </w:t>
              </w:r>
            </w:hyperlink>
            <w:hyperlink w:anchor="i7bbfdc1bacb84fd0b83109c9a78b2c53_16">
              <w:r>
                <w:rPr>
                  <w:rStyle w:val="InternetLink"/>
                  <w:rFonts w:ascii="Times New Roman;sans-serif" w:hAnsi="Times New Roman;sans-serif"/>
                  <w:b/>
                  <w:strike w:val="false"/>
                  <w:dstrike w:val="false"/>
                  <w:color w:val="000080"/>
                  <w:sz w:val="18"/>
                  <w:u w:val="single"/>
                  <w:effect w:val="none"/>
                </w:rPr>
                <w:t>June</w:t>
              </w:r>
            </w:hyperlink>
            <w:hyperlink w:anchor="i7bbfdc1bacb84fd0b83109c9a78b2c53_16">
              <w:r>
                <w:rPr>
                  <w:rStyle w:val="InternetLink"/>
                  <w:rFonts w:ascii="Times New Roman;sans-serif" w:hAnsi="Times New Roman;sans-serif"/>
                  <w:b/>
                  <w:strike w:val="false"/>
                  <w:dstrike w:val="false"/>
                  <w:color w:val="000080"/>
                  <w:sz w:val="18"/>
                  <w:u w:val="single"/>
                  <w:effect w:val="none"/>
                </w:rPr>
                <w:t xml:space="preserve">, </w:t>
              </w:r>
            </w:hyperlink>
            <w:hyperlink w:anchor="i7bbfdc1bacb84fd0b83109c9a78b2c53_16">
              <w:r>
                <w:rPr>
                  <w:rStyle w:val="InternetLink"/>
                  <w:rFonts w:ascii="Times New Roman;sans-serif" w:hAnsi="Times New Roman;sans-serif"/>
                  <w:b/>
                  <w:strike w:val="false"/>
                  <w:dstrike w:val="false"/>
                  <w:color w:val="000080"/>
                  <w:sz w:val="18"/>
                  <w:u w:val="single"/>
                  <w:effect w:val="none"/>
                </w:rPr>
                <w:t xml:space="preserve">30 </w:t>
              </w:r>
            </w:hyperlink>
            <w:hyperlink w:anchor="i7bbfdc1bacb84fd0b83109c9a78b2c53_16">
              <w:r>
                <w:rPr>
                  <w:rStyle w:val="InternetLink"/>
                  <w:rFonts w:ascii="Times New Roman;sans-serif" w:hAnsi="Times New Roman;sans-serif"/>
                  <w:b/>
                  <w:strike w:val="false"/>
                  <w:dstrike w:val="false"/>
                  <w:color w:val="000080"/>
                  <w:sz w:val="18"/>
                  <w:u w:val="single"/>
                  <w:effect w:val="none"/>
                </w:rPr>
                <w:t>2024 (unaudited) and December 31, 2023</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bbfdc1bacb84fd0b83109c9a78b2c53_16">
              <w:r>
                <w:rPr>
                  <w:rStyle w:val="InternetLink"/>
                  <w:rFonts w:ascii="Times New Roman;sans-serif" w:hAnsi="Times New Roman;sans-serif"/>
                  <w:b w:val="false"/>
                  <w:strike w:val="false"/>
                  <w:dstrike w:val="false"/>
                  <w:color w:val="0000FF"/>
                  <w:sz w:val="18"/>
                  <w:u w:val="none"/>
                  <w:effect w:val="none"/>
                </w:rPr>
                <w:t>5</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7bbfdc1bacb84fd0b83109c9a78b2c53_19">
              <w:r>
                <w:rPr>
                  <w:rStyle w:val="InternetLink"/>
                  <w:rFonts w:ascii="Times New Roman;sans-serif" w:hAnsi="Times New Roman;sans-serif"/>
                  <w:b/>
                  <w:strike w:val="false"/>
                  <w:dstrike w:val="false"/>
                  <w:color w:val="000080"/>
                  <w:sz w:val="18"/>
                  <w:u w:val="single"/>
                  <w:effect w:val="none"/>
                </w:rPr>
                <w:t xml:space="preserve">Consolidated Statements of Operations for the three </w:t>
              </w:r>
            </w:hyperlink>
            <w:hyperlink w:anchor="i7bbfdc1bacb84fd0b83109c9a78b2c53_19">
              <w:r>
                <w:rPr>
                  <w:rStyle w:val="InternetLink"/>
                  <w:rFonts w:ascii="Times New Roman;sans-serif" w:hAnsi="Times New Roman;sans-serif"/>
                  <w:b/>
                  <w:strike w:val="false"/>
                  <w:dstrike w:val="false"/>
                  <w:color w:val="000080"/>
                  <w:sz w:val="18"/>
                  <w:u w:val="single"/>
                  <w:effect w:val="none"/>
                </w:rPr>
                <w:t xml:space="preserve">and six </w:t>
              </w:r>
            </w:hyperlink>
            <w:hyperlink w:anchor="i7bbfdc1bacb84fd0b83109c9a78b2c53_19">
              <w:r>
                <w:rPr>
                  <w:rStyle w:val="InternetLink"/>
                  <w:rFonts w:ascii="Times New Roman;sans-serif" w:hAnsi="Times New Roman;sans-serif"/>
                  <w:b/>
                  <w:strike w:val="false"/>
                  <w:dstrike w:val="false"/>
                  <w:color w:val="000080"/>
                  <w:sz w:val="18"/>
                  <w:u w:val="single"/>
                  <w:effect w:val="none"/>
                </w:rPr>
                <w:t xml:space="preserve">months ended </w:t>
              </w:r>
            </w:hyperlink>
            <w:hyperlink w:anchor="i7bbfdc1bacb84fd0b83109c9a78b2c53_19">
              <w:r>
                <w:rPr>
                  <w:rStyle w:val="InternetLink"/>
                  <w:rFonts w:ascii="Times New Roman;sans-serif" w:hAnsi="Times New Roman;sans-serif"/>
                  <w:b/>
                  <w:strike w:val="false"/>
                  <w:dstrike w:val="false"/>
                  <w:color w:val="000080"/>
                  <w:sz w:val="18"/>
                  <w:u w:val="single"/>
                  <w:effect w:val="none"/>
                </w:rPr>
                <w:t>June</w:t>
              </w:r>
            </w:hyperlink>
            <w:hyperlink w:anchor="i7bbfdc1bacb84fd0b83109c9a78b2c53_19">
              <w:r>
                <w:rPr>
                  <w:rStyle w:val="InternetLink"/>
                  <w:rFonts w:ascii="Times New Roman;sans-serif" w:hAnsi="Times New Roman;sans-serif"/>
                  <w:b/>
                  <w:strike w:val="false"/>
                  <w:dstrike w:val="false"/>
                  <w:color w:val="000080"/>
                  <w:sz w:val="18"/>
                  <w:u w:val="single"/>
                  <w:effect w:val="none"/>
                </w:rPr>
                <w:t xml:space="preserve"> 30</w:t>
              </w:r>
            </w:hyperlink>
            <w:hyperlink w:anchor="i7bbfdc1bacb84fd0b83109c9a78b2c53_19">
              <w:r>
                <w:rPr>
                  <w:rStyle w:val="InternetLink"/>
                  <w:rFonts w:ascii="Times New Roman;sans-serif" w:hAnsi="Times New Roman;sans-serif"/>
                  <w:b/>
                  <w:strike w:val="false"/>
                  <w:dstrike w:val="false"/>
                  <w:color w:val="000080"/>
                  <w:sz w:val="18"/>
                  <w:u w:val="single"/>
                  <w:effect w:val="none"/>
                </w:rPr>
                <w:t>, 2024 and 2023 (unaudited)</w:t>
              </w:r>
            </w:hyperlink>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bbfdc1bacb84fd0b83109c9a78b2c53_19">
              <w:r>
                <w:rPr>
                  <w:rStyle w:val="InternetLink"/>
                  <w:rFonts w:ascii="Times New Roman;sans-serif" w:hAnsi="Times New Roman;sans-serif"/>
                  <w:b w:val="false"/>
                  <w:strike w:val="false"/>
                  <w:dstrike w:val="false"/>
                  <w:color w:val="0000FF"/>
                  <w:sz w:val="18"/>
                  <w:u w:val="none"/>
                  <w:effect w:val="none"/>
                </w:rPr>
                <w:t>6</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6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7bbfdc1bacb84fd0b83109c9a78b2c53_22">
              <w:r>
                <w:rPr>
                  <w:rStyle w:val="InternetLink"/>
                  <w:rFonts w:ascii="Times New Roman;sans-serif" w:hAnsi="Times New Roman;sans-serif"/>
                  <w:b/>
                  <w:strike w:val="false"/>
                  <w:dstrike w:val="false"/>
                  <w:color w:val="000080"/>
                  <w:sz w:val="18"/>
                  <w:u w:val="single"/>
                  <w:effect w:val="none"/>
                </w:rPr>
                <w:t>Consolidated Statements of Comprehensive Loss for the three</w:t>
              </w:r>
            </w:hyperlink>
            <w:hyperlink w:anchor="i7bbfdc1bacb84fd0b83109c9a78b2c53_22">
              <w:r>
                <w:rPr>
                  <w:rStyle w:val="InternetLink"/>
                  <w:rFonts w:ascii="Times New Roman;sans-serif" w:hAnsi="Times New Roman;sans-serif"/>
                  <w:b/>
                  <w:strike w:val="false"/>
                  <w:dstrike w:val="false"/>
                  <w:color w:val="000080"/>
                  <w:sz w:val="18"/>
                  <w:u w:val="single"/>
                  <w:effect w:val="none"/>
                </w:rPr>
                <w:t xml:space="preserve"> and si</w:t>
              </w:r>
            </w:hyperlink>
            <w:hyperlink w:anchor="i7bbfdc1bacb84fd0b83109c9a78b2c53_22">
              <w:r>
                <w:rPr>
                  <w:rStyle w:val="InternetLink"/>
                  <w:rFonts w:ascii="Times New Roman;sans-serif" w:hAnsi="Times New Roman;sans-serif"/>
                  <w:b/>
                  <w:strike w:val="false"/>
                  <w:dstrike w:val="false"/>
                  <w:color w:val="000080"/>
                  <w:sz w:val="18"/>
                  <w:u w:val="single"/>
                  <w:effect w:val="none"/>
                </w:rPr>
                <w:t>x</w:t>
              </w:r>
            </w:hyperlink>
            <w:hyperlink w:anchor="i7bbfdc1bacb84fd0b83109c9a78b2c53_22">
              <w:r>
                <w:rPr>
                  <w:rStyle w:val="InternetLink"/>
                  <w:rFonts w:ascii="Times New Roman;sans-serif" w:hAnsi="Times New Roman;sans-serif"/>
                  <w:b/>
                  <w:strike w:val="false"/>
                  <w:dstrike w:val="false"/>
                  <w:color w:val="000080"/>
                  <w:sz w:val="18"/>
                  <w:u w:val="single"/>
                  <w:effect w:val="none"/>
                </w:rPr>
                <w:t xml:space="preserve"> months ended </w:t>
              </w:r>
            </w:hyperlink>
            <w:hyperlink w:anchor="i7bbfdc1bacb84fd0b83109c9a78b2c53_22">
              <w:r>
                <w:rPr>
                  <w:rStyle w:val="InternetLink"/>
                  <w:rFonts w:ascii="Times New Roman;sans-serif" w:hAnsi="Times New Roman;sans-serif"/>
                  <w:b/>
                  <w:strike w:val="false"/>
                  <w:dstrike w:val="false"/>
                  <w:color w:val="000080"/>
                  <w:sz w:val="18"/>
                  <w:u w:val="single"/>
                  <w:effect w:val="none"/>
                </w:rPr>
                <w:t>June 30</w:t>
              </w:r>
            </w:hyperlink>
            <w:hyperlink w:anchor="i7bbfdc1bacb84fd0b83109c9a78b2c53_22">
              <w:r>
                <w:rPr>
                  <w:rStyle w:val="InternetLink"/>
                  <w:rFonts w:ascii="Times New Roman;sans-serif" w:hAnsi="Times New Roman;sans-serif"/>
                  <w:b/>
                  <w:strike w:val="false"/>
                  <w:dstrike w:val="false"/>
                  <w:color w:val="000080"/>
                  <w:sz w:val="18"/>
                  <w:u w:val="single"/>
                  <w:effect w:val="none"/>
                </w:rPr>
                <w:t>, 2024 and 2023 (unaudited)</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bbfdc1bacb84fd0b83109c9a78b2c53_22">
              <w:r>
                <w:rPr>
                  <w:rStyle w:val="InternetLink"/>
                  <w:rFonts w:ascii="Times New Roman;sans-serif" w:hAnsi="Times New Roman;sans-serif"/>
                  <w:b w:val="false"/>
                  <w:strike w:val="false"/>
                  <w:dstrike w:val="false"/>
                  <w:color w:val="0000FF"/>
                  <w:sz w:val="18"/>
                  <w:u w:val="none"/>
                  <w:effect w:val="none"/>
                </w:rPr>
                <w:t>7</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6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7bbfdc1bacb84fd0b83109c9a78b2c53_25">
              <w:r>
                <w:rPr>
                  <w:rStyle w:val="InternetLink"/>
                  <w:rFonts w:ascii="Times New Roman;sans-serif" w:hAnsi="Times New Roman;sans-serif"/>
                  <w:b/>
                  <w:strike w:val="false"/>
                  <w:dstrike w:val="false"/>
                  <w:color w:val="000080"/>
                  <w:sz w:val="18"/>
                  <w:u w:val="single"/>
                  <w:effect w:val="none"/>
                </w:rPr>
                <w:t xml:space="preserve">Consolidated Statements of Equity for the three </w:t>
              </w:r>
            </w:hyperlink>
            <w:hyperlink w:anchor="i7bbfdc1bacb84fd0b83109c9a78b2c53_25">
              <w:r>
                <w:rPr>
                  <w:rStyle w:val="InternetLink"/>
                  <w:rFonts w:ascii="Times New Roman;sans-serif" w:hAnsi="Times New Roman;sans-serif"/>
                  <w:b/>
                  <w:strike w:val="false"/>
                  <w:dstrike w:val="false"/>
                  <w:color w:val="000080"/>
                  <w:sz w:val="18"/>
                  <w:u w:val="single"/>
                  <w:effect w:val="none"/>
                </w:rPr>
                <w:t xml:space="preserve">and six </w:t>
              </w:r>
            </w:hyperlink>
            <w:hyperlink w:anchor="i7bbfdc1bacb84fd0b83109c9a78b2c53_25">
              <w:r>
                <w:rPr>
                  <w:rStyle w:val="InternetLink"/>
                  <w:rFonts w:ascii="Times New Roman;sans-serif" w:hAnsi="Times New Roman;sans-serif"/>
                  <w:b/>
                  <w:strike w:val="false"/>
                  <w:dstrike w:val="false"/>
                  <w:color w:val="000080"/>
                  <w:sz w:val="18"/>
                  <w:u w:val="single"/>
                  <w:effect w:val="none"/>
                </w:rPr>
                <w:t xml:space="preserve">months ended </w:t>
              </w:r>
            </w:hyperlink>
            <w:hyperlink w:anchor="i7bbfdc1bacb84fd0b83109c9a78b2c53_25">
              <w:r>
                <w:rPr>
                  <w:rStyle w:val="InternetLink"/>
                  <w:rFonts w:ascii="Times New Roman;sans-serif" w:hAnsi="Times New Roman;sans-serif"/>
                  <w:b/>
                  <w:strike w:val="false"/>
                  <w:dstrike w:val="false"/>
                  <w:color w:val="000080"/>
                  <w:sz w:val="18"/>
                  <w:u w:val="single"/>
                  <w:effect w:val="none"/>
                </w:rPr>
                <w:t>June 30</w:t>
              </w:r>
            </w:hyperlink>
            <w:hyperlink w:anchor="i7bbfdc1bacb84fd0b83109c9a78b2c53_25">
              <w:r>
                <w:rPr>
                  <w:rStyle w:val="InternetLink"/>
                  <w:rFonts w:ascii="Times New Roman;sans-serif" w:hAnsi="Times New Roman;sans-serif"/>
                  <w:b/>
                  <w:strike w:val="false"/>
                  <w:dstrike w:val="false"/>
                  <w:color w:val="000080"/>
                  <w:sz w:val="18"/>
                  <w:u w:val="single"/>
                  <w:effect w:val="none"/>
                </w:rPr>
                <w:t xml:space="preserve">, 2024 and 2023 (unaudited) </w:t>
              </w:r>
            </w:hyperlink>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bbfdc1bacb84fd0b83109c9a78b2c53_25">
              <w:r>
                <w:rPr>
                  <w:rStyle w:val="InternetLink"/>
                  <w:rFonts w:ascii="Times New Roman;sans-serif" w:hAnsi="Times New Roman;sans-serif"/>
                  <w:b w:val="false"/>
                  <w:strike w:val="false"/>
                  <w:dstrike w:val="false"/>
                  <w:color w:val="0000FF"/>
                  <w:sz w:val="18"/>
                  <w:u w:val="none"/>
                  <w:effect w:val="none"/>
                </w:rPr>
                <w:t>8</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6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7bbfdc1bacb84fd0b83109c9a78b2c53_31">
              <w:r>
                <w:rPr>
                  <w:rStyle w:val="InternetLink"/>
                  <w:rFonts w:ascii="Times New Roman;sans-serif" w:hAnsi="Times New Roman;sans-serif"/>
                  <w:b/>
                  <w:strike w:val="false"/>
                  <w:dstrike w:val="false"/>
                  <w:color w:val="000080"/>
                  <w:sz w:val="18"/>
                  <w:u w:val="single"/>
                  <w:effect w:val="none"/>
                </w:rPr>
                <w:t xml:space="preserve">Consolidated Statements of Cash Flows for the </w:t>
              </w:r>
            </w:hyperlink>
            <w:hyperlink w:anchor="i7bbfdc1bacb84fd0b83109c9a78b2c53_31">
              <w:r>
                <w:rPr>
                  <w:rStyle w:val="InternetLink"/>
                  <w:rFonts w:ascii="Times New Roman;sans-serif" w:hAnsi="Times New Roman;sans-serif"/>
                  <w:b/>
                  <w:strike w:val="false"/>
                  <w:dstrike w:val="false"/>
                  <w:color w:val="000080"/>
                  <w:sz w:val="18"/>
                  <w:u w:val="single"/>
                  <w:effect w:val="none"/>
                </w:rPr>
                <w:t>six</w:t>
              </w:r>
            </w:hyperlink>
            <w:hyperlink w:anchor="i7bbfdc1bacb84fd0b83109c9a78b2c53_31">
              <w:r>
                <w:rPr>
                  <w:rStyle w:val="InternetLink"/>
                  <w:rFonts w:ascii="Times New Roman;sans-serif" w:hAnsi="Times New Roman;sans-serif"/>
                  <w:b/>
                  <w:strike w:val="false"/>
                  <w:dstrike w:val="false"/>
                  <w:color w:val="000080"/>
                  <w:sz w:val="18"/>
                  <w:u w:val="single"/>
                  <w:effect w:val="none"/>
                </w:rPr>
                <w:t xml:space="preserve"> months ended </w:t>
              </w:r>
            </w:hyperlink>
            <w:hyperlink w:anchor="i7bbfdc1bacb84fd0b83109c9a78b2c53_31">
              <w:r>
                <w:rPr>
                  <w:rStyle w:val="InternetLink"/>
                  <w:rFonts w:ascii="Times New Roman;sans-serif" w:hAnsi="Times New Roman;sans-serif"/>
                  <w:b/>
                  <w:strike w:val="false"/>
                  <w:dstrike w:val="false"/>
                  <w:color w:val="000080"/>
                  <w:sz w:val="18"/>
                  <w:u w:val="single"/>
                  <w:effect w:val="none"/>
                </w:rPr>
                <w:t>June</w:t>
              </w:r>
            </w:hyperlink>
            <w:hyperlink w:anchor="i7bbfdc1bacb84fd0b83109c9a78b2c53_31">
              <w:r>
                <w:rPr>
                  <w:rStyle w:val="InternetLink"/>
                  <w:rFonts w:ascii="Times New Roman;sans-serif" w:hAnsi="Times New Roman;sans-serif"/>
                  <w:b/>
                  <w:strike w:val="false"/>
                  <w:dstrike w:val="false"/>
                  <w:color w:val="000080"/>
                  <w:sz w:val="18"/>
                  <w:u w:val="single"/>
                  <w:effect w:val="none"/>
                </w:rPr>
                <w:t xml:space="preserve"> 3</w:t>
              </w:r>
            </w:hyperlink>
            <w:hyperlink w:anchor="i7bbfdc1bacb84fd0b83109c9a78b2c53_31">
              <w:r>
                <w:rPr>
                  <w:rStyle w:val="InternetLink"/>
                  <w:rFonts w:ascii="Times New Roman;sans-serif" w:hAnsi="Times New Roman;sans-serif"/>
                  <w:b/>
                  <w:strike w:val="false"/>
                  <w:dstrike w:val="false"/>
                  <w:color w:val="000080"/>
                  <w:sz w:val="18"/>
                  <w:u w:val="single"/>
                  <w:effect w:val="none"/>
                </w:rPr>
                <w:t>0</w:t>
              </w:r>
            </w:hyperlink>
            <w:hyperlink w:anchor="i7bbfdc1bacb84fd0b83109c9a78b2c53_31">
              <w:r>
                <w:rPr>
                  <w:rStyle w:val="InternetLink"/>
                  <w:rFonts w:ascii="Times New Roman;sans-serif" w:hAnsi="Times New Roman;sans-serif"/>
                  <w:b/>
                  <w:strike w:val="false"/>
                  <w:dstrike w:val="false"/>
                  <w:color w:val="000080"/>
                  <w:sz w:val="18"/>
                  <w:u w:val="single"/>
                  <w:effect w:val="none"/>
                </w:rPr>
                <w:t>, 2024 and 2023 (unaudited)</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bbfdc1bacb84fd0b83109c9a78b2c53_31">
              <w:r>
                <w:rPr>
                  <w:rStyle w:val="InternetLink"/>
                  <w:rFonts w:ascii="Times New Roman;sans-serif" w:hAnsi="Times New Roman;sans-serif"/>
                  <w:b w:val="false"/>
                  <w:strike w:val="false"/>
                  <w:dstrike w:val="false"/>
                  <w:color w:val="0000FF"/>
                  <w:sz w:val="18"/>
                  <w:u w:val="none"/>
                  <w:effect w:val="none"/>
                </w:rPr>
                <w:t>10</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6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FF"/>
                <w:sz w:val="18"/>
              </w:rPr>
            </w:pPr>
            <w:r>
              <w:rPr>
                <w:rFonts w:ascii="Times New Roman;sans-serif" w:hAnsi="Times New Roman;sans-serif"/>
                <w:b/>
                <w:color w:val="0000FF"/>
                <w:sz w:val="18"/>
              </w:rPr>
              <w:t>Notes to Unaudited Consolidated Financial Statements</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bbfdc1bacb84fd0b83109c9a78b2c53_34">
              <w:r>
                <w:rPr>
                  <w:rStyle w:val="InternetLink"/>
                  <w:rFonts w:ascii="Times New Roman;sans-serif" w:hAnsi="Times New Roman;sans-serif"/>
                  <w:b w:val="false"/>
                  <w:strike w:val="false"/>
                  <w:dstrike w:val="false"/>
                  <w:color w:val="0000FF"/>
                  <w:sz w:val="18"/>
                  <w:u w:val="none"/>
                  <w:effect w:val="none"/>
                </w:rPr>
                <w:t>11</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Item 2.</w:t>
            </w:r>
          </w:p>
        </w:tc>
        <w:tc>
          <w:tcPr>
            <w:tcW w:w="86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FF"/>
                <w:sz w:val="18"/>
              </w:rPr>
            </w:pPr>
            <w:r>
              <w:rPr>
                <w:rFonts w:ascii="Times New Roman;sans-serif" w:hAnsi="Times New Roman;sans-serif"/>
                <w:b/>
                <w:color w:val="0000FF"/>
                <w:sz w:val="18"/>
              </w:rPr>
              <w:t>Management’s Discussion and Analysis of Financial Condition and Results of Operations</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bbfdc1bacb84fd0b83109c9a78b2c53_94">
              <w:r>
                <w:rPr>
                  <w:rStyle w:val="InternetLink"/>
                  <w:rFonts w:ascii="Times New Roman;sans-serif" w:hAnsi="Times New Roman;sans-serif"/>
                  <w:b w:val="false"/>
                  <w:strike w:val="false"/>
                  <w:dstrike w:val="false"/>
                  <w:color w:val="0000FF"/>
                  <w:sz w:val="18"/>
                  <w:u w:val="none"/>
                  <w:effect w:val="none"/>
                </w:rPr>
                <w:t>25</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Item 3.</w:t>
            </w:r>
          </w:p>
        </w:tc>
        <w:tc>
          <w:tcPr>
            <w:tcW w:w="86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FF"/>
                <w:sz w:val="18"/>
              </w:rPr>
            </w:pPr>
            <w:r>
              <w:rPr>
                <w:rFonts w:ascii="Times New Roman;sans-serif" w:hAnsi="Times New Roman;sans-serif"/>
                <w:b/>
                <w:color w:val="0000FF"/>
                <w:sz w:val="18"/>
              </w:rPr>
              <w:t>Quantitative and Qualitative Disclosures About Market Risk</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bbfdc1bacb84fd0b83109c9a78b2c53_106">
              <w:r>
                <w:rPr>
                  <w:rStyle w:val="InternetLink"/>
                  <w:rFonts w:ascii="Times New Roman;sans-serif" w:hAnsi="Times New Roman;sans-serif"/>
                  <w:b w:val="false"/>
                  <w:strike w:val="false"/>
                  <w:dstrike w:val="false"/>
                  <w:color w:val="0000FF"/>
                  <w:sz w:val="18"/>
                  <w:u w:val="none"/>
                  <w:effect w:val="none"/>
                </w:rPr>
                <w:t>31</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Item 4.</w:t>
            </w:r>
          </w:p>
        </w:tc>
        <w:tc>
          <w:tcPr>
            <w:tcW w:w="86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FF"/>
                <w:sz w:val="18"/>
              </w:rPr>
            </w:pPr>
            <w:r>
              <w:rPr>
                <w:rFonts w:ascii="Times New Roman;sans-serif" w:hAnsi="Times New Roman;sans-serif"/>
                <w:b/>
                <w:color w:val="0000FF"/>
                <w:sz w:val="18"/>
              </w:rPr>
              <w:t>Controls and Procedures</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bbfdc1bacb84fd0b83109c9a78b2c53_109">
              <w:r>
                <w:rPr>
                  <w:rStyle w:val="InternetLink"/>
                  <w:rFonts w:ascii="Times New Roman;sans-serif" w:hAnsi="Times New Roman;sans-serif"/>
                  <w:b w:val="false"/>
                  <w:strike w:val="false"/>
                  <w:dstrike w:val="false"/>
                  <w:color w:val="0000FF"/>
                  <w:sz w:val="18"/>
                  <w:u w:val="none"/>
                  <w:effect w:val="none"/>
                </w:rPr>
                <w:t>31</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PART II- OTHER INFORMATION</w:t>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Item 1.</w:t>
            </w:r>
          </w:p>
        </w:tc>
        <w:tc>
          <w:tcPr>
            <w:tcW w:w="86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FF"/>
                <w:sz w:val="18"/>
              </w:rPr>
            </w:pPr>
            <w:r>
              <w:rPr>
                <w:rFonts w:ascii="Times New Roman;sans-serif" w:hAnsi="Times New Roman;sans-serif"/>
                <w:b/>
                <w:color w:val="0000FF"/>
                <w:sz w:val="18"/>
              </w:rPr>
              <w:t>Legal Proceedings</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bbfdc1bacb84fd0b83109c9a78b2c53_115">
              <w:r>
                <w:rPr>
                  <w:rStyle w:val="InternetLink"/>
                  <w:rFonts w:ascii="Times New Roman;sans-serif" w:hAnsi="Times New Roman;sans-serif"/>
                  <w:b w:val="false"/>
                  <w:strike w:val="false"/>
                  <w:dstrike w:val="false"/>
                  <w:color w:val="0000FF"/>
                  <w:sz w:val="18"/>
                  <w:u w:val="none"/>
                  <w:effect w:val="none"/>
                </w:rPr>
                <w:t>33</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Item 1A.</w:t>
            </w:r>
          </w:p>
        </w:tc>
        <w:tc>
          <w:tcPr>
            <w:tcW w:w="86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Risk Factors</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bbfdc1bacb84fd0b83109c9a78b2c53_118">
              <w:r>
                <w:rPr>
                  <w:rStyle w:val="InternetLink"/>
                  <w:rFonts w:ascii="Times New Roman;sans-serif" w:hAnsi="Times New Roman;sans-serif"/>
                  <w:b w:val="false"/>
                  <w:strike w:val="false"/>
                  <w:dstrike w:val="false"/>
                  <w:color w:val="0000FF"/>
                  <w:sz w:val="18"/>
                  <w:u w:val="none"/>
                  <w:effect w:val="none"/>
                </w:rPr>
                <w:t>33</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Item 2.</w:t>
            </w:r>
          </w:p>
        </w:tc>
        <w:tc>
          <w:tcPr>
            <w:tcW w:w="86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FF"/>
                <w:sz w:val="18"/>
              </w:rPr>
            </w:pPr>
            <w:r>
              <w:rPr>
                <w:rFonts w:ascii="Times New Roman;sans-serif" w:hAnsi="Times New Roman;sans-serif"/>
                <w:b/>
                <w:color w:val="0000FF"/>
                <w:sz w:val="18"/>
              </w:rPr>
              <w:t>Unregistered Sales of Equity Securities and Use of Proceeds</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bbfdc1bacb84fd0b83109c9a78b2c53_121">
              <w:r>
                <w:rPr>
                  <w:rStyle w:val="InternetLink"/>
                  <w:rFonts w:ascii="Times New Roman;sans-serif" w:hAnsi="Times New Roman;sans-serif"/>
                  <w:b w:val="false"/>
                  <w:strike w:val="false"/>
                  <w:dstrike w:val="false"/>
                  <w:color w:val="0000FF"/>
                  <w:sz w:val="18"/>
                  <w:u w:val="none"/>
                  <w:effect w:val="none"/>
                </w:rPr>
                <w:t>33</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Item 3.</w:t>
            </w:r>
          </w:p>
        </w:tc>
        <w:tc>
          <w:tcPr>
            <w:tcW w:w="86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FF"/>
                <w:sz w:val="18"/>
              </w:rPr>
            </w:pPr>
            <w:r>
              <w:rPr>
                <w:rFonts w:ascii="Times New Roman;sans-serif" w:hAnsi="Times New Roman;sans-serif"/>
                <w:b/>
                <w:color w:val="0000FF"/>
                <w:sz w:val="18"/>
              </w:rPr>
              <w:t>Defaults Upon Senior Securities</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bbfdc1bacb84fd0b83109c9a78b2c53_124">
              <w:r>
                <w:rPr>
                  <w:rStyle w:val="InternetLink"/>
                  <w:rFonts w:ascii="Times New Roman;sans-serif" w:hAnsi="Times New Roman;sans-serif"/>
                  <w:b w:val="false"/>
                  <w:strike w:val="false"/>
                  <w:dstrike w:val="false"/>
                  <w:color w:val="0000FF"/>
                  <w:sz w:val="18"/>
                  <w:u w:val="none"/>
                  <w:effect w:val="none"/>
                </w:rPr>
                <w:t>33</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Item 4.</w:t>
            </w:r>
          </w:p>
        </w:tc>
        <w:tc>
          <w:tcPr>
            <w:tcW w:w="86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FF"/>
                <w:sz w:val="18"/>
              </w:rPr>
            </w:pPr>
            <w:r>
              <w:rPr>
                <w:rFonts w:ascii="Times New Roman;sans-serif" w:hAnsi="Times New Roman;sans-serif"/>
                <w:b/>
                <w:color w:val="0000FF"/>
                <w:sz w:val="18"/>
              </w:rPr>
              <w:t>Mine Safety Disclosures</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bbfdc1bacb84fd0b83109c9a78b2c53_127">
              <w:r>
                <w:rPr>
                  <w:rStyle w:val="InternetLink"/>
                  <w:rFonts w:ascii="Times New Roman;sans-serif" w:hAnsi="Times New Roman;sans-serif"/>
                  <w:b w:val="false"/>
                  <w:strike w:val="false"/>
                  <w:dstrike w:val="false"/>
                  <w:color w:val="0000FF"/>
                  <w:sz w:val="18"/>
                  <w:u w:val="none"/>
                  <w:effect w:val="none"/>
                </w:rPr>
                <w:t>33</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Item 5.</w:t>
            </w:r>
          </w:p>
        </w:tc>
        <w:tc>
          <w:tcPr>
            <w:tcW w:w="86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FF"/>
                <w:sz w:val="18"/>
              </w:rPr>
            </w:pPr>
            <w:r>
              <w:rPr>
                <w:rFonts w:ascii="Times New Roman;sans-serif" w:hAnsi="Times New Roman;sans-serif"/>
                <w:b/>
                <w:color w:val="0000FF"/>
                <w:sz w:val="18"/>
              </w:rPr>
              <w:t>Other Information</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bbfdc1bacb84fd0b83109c9a78b2c53_130">
              <w:r>
                <w:rPr>
                  <w:rStyle w:val="InternetLink"/>
                  <w:rFonts w:ascii="Times New Roman;sans-serif" w:hAnsi="Times New Roman;sans-serif"/>
                  <w:b w:val="false"/>
                  <w:strike w:val="false"/>
                  <w:dstrike w:val="false"/>
                  <w:color w:val="0000FF"/>
                  <w:sz w:val="18"/>
                  <w:u w:val="none"/>
                  <w:effect w:val="none"/>
                </w:rPr>
                <w:t>33</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FF"/>
                <w:sz w:val="18"/>
              </w:rPr>
            </w:pPr>
            <w:r>
              <w:rPr>
                <w:rFonts w:ascii="Times New Roman;sans-serif" w:hAnsi="Times New Roman;sans-serif"/>
                <w:b/>
                <w:color w:val="0000FF"/>
                <w:sz w:val="18"/>
              </w:rPr>
              <w:t>Item 6.</w:t>
            </w:r>
          </w:p>
        </w:tc>
        <w:tc>
          <w:tcPr>
            <w:tcW w:w="86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FF"/>
                <w:sz w:val="18"/>
              </w:rPr>
            </w:pPr>
            <w:r>
              <w:rPr>
                <w:rFonts w:ascii="Times New Roman;sans-serif" w:hAnsi="Times New Roman;sans-serif"/>
                <w:b/>
                <w:color w:val="0000FF"/>
                <w:sz w:val="18"/>
              </w:rPr>
              <w:t>Exhibits</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7bbfdc1bacb84fd0b83109c9a78b2c53_133">
              <w:r>
                <w:rPr>
                  <w:rStyle w:val="InternetLink"/>
                  <w:rFonts w:ascii="Times New Roman;sans-serif" w:hAnsi="Times New Roman;sans-serif"/>
                  <w:b w:val="false"/>
                  <w:strike w:val="false"/>
                  <w:dstrike w:val="false"/>
                  <w:color w:val="0000FF"/>
                  <w:sz w:val="18"/>
                  <w:u w:val="none"/>
                  <w:effect w:val="none"/>
                </w:rPr>
                <w:t>33</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6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color w:val="0000FF"/>
                <w:sz w:val="18"/>
              </w:rPr>
            </w:pPr>
            <w:r>
              <w:rPr>
                <w:rFonts w:ascii="Times New Roman;sans-serif" w:hAnsi="Times New Roman;sans-serif"/>
                <w:b/>
                <w:color w:val="0000FF"/>
                <w:sz w:val="18"/>
              </w:rPr>
              <w:t>Signatures</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7bbfdc1bacb84fd0b83109c9a78b2c53_136">
              <w:r>
                <w:rPr>
                  <w:rStyle w:val="InternetLink"/>
                  <w:rFonts w:ascii="Times New Roman;sans-serif" w:hAnsi="Times New Roman;sans-serif"/>
                  <w:b w:val="false"/>
                  <w:strike w:val="false"/>
                  <w:dstrike w:val="false"/>
                  <w:color w:val="0000FF"/>
                  <w:sz w:val="18"/>
                  <w:u w:val="none"/>
                  <w:effect w:val="none"/>
                </w:rPr>
                <w:t>34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 </w:t>
                      </w:r>
                    </w:p>
                  </w:txbxContent>
                </v:textbox>
                <w10:wrap type="none"/>
              </v:rect>
            </w:pict>
          </mc:Fallback>
        </mc:AlternateContent>
      </w:r>
    </w:p>
    <w:p>
      <w:pPr>
        <w:pStyle w:val="TextBody"/>
        <w:bidi w:val="0"/>
        <w:spacing w:lineRule="auto" w:line="288" w:before="0" w:after="0"/>
        <w:jc w:val="left"/>
        <w:rPr/>
      </w:pPr>
      <w:hyperlink w:anchor="i7bbfdc1bacb84fd0b83109c9a78b2c53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LISATA THERAPEUTICS,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 except share data)</w:t>
      </w:r>
    </w:p>
    <w:tbl>
      <w:tblPr>
        <w:tblW w:w="9656" w:type="dxa"/>
        <w:jc w:val="left"/>
        <w:tblInd w:w="0" w:type="dxa"/>
        <w:tblLayout w:type="fixed"/>
        <w:tblCellMar>
          <w:top w:w="28" w:type="dxa"/>
          <w:left w:w="28" w:type="dxa"/>
          <w:bottom w:w="28" w:type="dxa"/>
          <w:right w:w="28" w:type="dxa"/>
        </w:tblCellMar>
      </w:tblPr>
      <w:tblGrid>
        <w:gridCol w:w="2571"/>
        <w:gridCol w:w="2255"/>
        <w:gridCol w:w="2269"/>
        <w:gridCol w:w="216"/>
        <w:gridCol w:w="713"/>
        <w:gridCol w:w="120"/>
        <w:gridCol w:w="109"/>
        <w:gridCol w:w="109"/>
        <w:gridCol w:w="109"/>
        <w:gridCol w:w="233"/>
        <w:gridCol w:w="769"/>
        <w:gridCol w:w="183"/>
      </w:tblGrid>
      <w:tr>
        <w:trPr/>
        <w:tc>
          <w:tcPr>
            <w:tcW w:w="2571"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226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7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28,293 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22,593 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27,942 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and other current assets</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41,978 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53,924 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Acquired license - intangible, net</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42,571 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54,694 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NON-CONTROLLING INTERESTS AND STOCKHOLDERS' EQUITY</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6,590 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6,800 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Commitments and Contingencies (Note 13)</w:t>
            </w:r>
          </w:p>
        </w:tc>
        <w:tc>
          <w:tcPr>
            <w:tcW w:w="10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$0.001 par value, authorized 500,000,000 shares; issued 8,321,799</w:t>
            </w:r>
          </w:p>
          <w:p>
            <w:pPr>
              <w:pStyle w:val="TableContents"/>
              <w:bidi w:val="0"/>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and 8,150,635 shares at June 30, 2024 and December 31, 2023, respectively; and </w:t>
            </w:r>
          </w:p>
          <w:p>
            <w:pPr>
              <w:pStyle w:val="TableContents"/>
              <w:bidi w:val="0"/>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outstanding, 8,321,061 and 8,149,897 shares at June 30, 2024 and December 31, 2023, </w:t>
            </w:r>
          </w:p>
          <w:p>
            <w:pPr>
              <w:pStyle w:val="TableContents"/>
              <w:bidi w:val="0"/>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respectively</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577,552 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576,971 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738 shares at June 30, 2024 and December 31, 2023</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(538,526)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(528,081)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Lisata Therapeutics, Inc. stockholders' equity</w:t>
            </w:r>
          </w:p>
        </w:tc>
        <w:tc>
          <w:tcPr>
            <w:tcW w:w="9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38,249 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48,148 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Non-controlling interests</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equity</w:t>
            </w:r>
          </w:p>
        </w:tc>
        <w:tc>
          <w:tcPr>
            <w:tcW w:w="9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37,995 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47,894 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non-controlling interests and stockholders' equity</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42,571 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54,694 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 </w:t>
                      </w:r>
                    </w:p>
                  </w:txbxContent>
                </v:textbox>
                <w10:wrap type="none"/>
              </v:rect>
            </w:pict>
          </mc:Fallback>
        </mc:AlternateContent>
      </w:r>
    </w:p>
    <w:p>
      <w:pPr>
        <w:pStyle w:val="TextBody"/>
        <w:bidi w:val="0"/>
        <w:spacing w:lineRule="auto" w:line="288" w:before="0" w:after="0"/>
        <w:jc w:val="left"/>
        <w:rPr/>
      </w:pPr>
      <w:hyperlink w:anchor="i7bbfdc1bacb84fd0b83109c9a78b2c53_7">
        <w:r>
          <w:rPr>
            <w:rStyle w:val="InternetLink"/>
            <w:rFonts w:ascii="Times New Roman;sans-serif" w:hAnsi="Times New Roman;sans-serif"/>
            <w:b w:val="false"/>
            <w:color w:val="0000FF"/>
            <w:sz w:val="16"/>
            <w:u w:val="single"/>
          </w:rPr>
          <w:t>Index</w:t>
        </w:r>
      </w:hyperlink>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LISATA THERAPEUTICS,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color w:val="000000"/>
        </w:rPr>
      </w:pPr>
      <w:r>
        <w:rPr>
          <w:color w:val="000000"/>
        </w:rPr>
        <w:t> </w:t>
      </w: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 except per share data)</w:t>
      </w:r>
    </w:p>
    <w:tbl>
      <w:tblPr>
        <w:tblW w:w="10205" w:type="dxa"/>
        <w:jc w:val="center"/>
        <w:tblInd w:w="0" w:type="dxa"/>
        <w:tblLayout w:type="fixed"/>
        <w:tblCellMar>
          <w:top w:w="28" w:type="dxa"/>
          <w:left w:w="28" w:type="dxa"/>
          <w:bottom w:w="28" w:type="dxa"/>
          <w:right w:w="28" w:type="dxa"/>
        </w:tblCellMar>
      </w:tblPr>
      <w:tblGrid>
        <w:gridCol w:w="1722"/>
        <w:gridCol w:w="1465"/>
        <w:gridCol w:w="1470"/>
        <w:gridCol w:w="214"/>
        <w:gridCol w:w="678"/>
        <w:gridCol w:w="118"/>
        <w:gridCol w:w="118"/>
        <w:gridCol w:w="118"/>
        <w:gridCol w:w="118"/>
        <w:gridCol w:w="214"/>
        <w:gridCol w:w="678"/>
        <w:gridCol w:w="118"/>
        <w:gridCol w:w="109"/>
        <w:gridCol w:w="109"/>
        <w:gridCol w:w="109"/>
        <w:gridCol w:w="196"/>
        <w:gridCol w:w="710"/>
        <w:gridCol w:w="109"/>
        <w:gridCol w:w="109"/>
        <w:gridCol w:w="109"/>
        <w:gridCol w:w="109"/>
        <w:gridCol w:w="196"/>
        <w:gridCol w:w="710"/>
        <w:gridCol w:w="109"/>
        <w:gridCol w:w="109"/>
        <w:gridCol w:w="109"/>
        <w:gridCol w:w="109"/>
        <w:gridCol w:w="163"/>
      </w:tblGrid>
      <w:tr>
        <w:trPr/>
        <w:tc>
          <w:tcPr>
            <w:tcW w:w="1722"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6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381" w:type="dxa"/>
            <w:gridSpan w:val="3"/>
            <w:tcBorders/>
          </w:tcPr>
          <w:p>
            <w:pPr>
              <w:pStyle w:val="TableContents"/>
              <w:bidi w:val="0"/>
              <w:spacing w:before="0" w:after="283"/>
              <w:jc w:val="left"/>
              <w:rPr>
                <w:sz w:val="4"/>
                <w:szCs w:val="4"/>
              </w:rPr>
            </w:pPr>
            <w:r>
              <w:rPr>
                <w:sz w:val="4"/>
                <w:szCs w:val="4"/>
              </w:rPr>
            </w:r>
          </w:p>
        </w:tc>
      </w:tr>
      <w:tr>
        <w:trPr/>
        <w:tc>
          <w:tcPr>
            <w:tcW w:w="46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65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income, net</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net</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other income </w:t>
            </w:r>
          </w:p>
        </w:tc>
        <w:tc>
          <w:tcPr>
            <w:tcW w:w="8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270"/>
              <w:jc w:val="left"/>
              <w:rPr>
                <w:sz w:val="4"/>
                <w:szCs w:val="4"/>
              </w:rPr>
            </w:pPr>
            <w:r>
              <w:rPr>
                <w:sz w:val="4"/>
                <w:szCs w:val="4"/>
              </w:rPr>
            </w:r>
          </w:p>
        </w:tc>
      </w:tr>
      <w:tr>
        <w:trPr/>
        <w:tc>
          <w:tcPr>
            <w:tcW w:w="4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Net loss before benefit from income taxes and noncontrolling interests</w:t>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(6,357)</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from income taxes</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(4,027)</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270"/>
              <w:jc w:val="left"/>
              <w:rPr>
                <w:sz w:val="4"/>
                <w:szCs w:val="4"/>
              </w:rPr>
            </w:pPr>
            <w:r>
              <w:rPr>
                <w:sz w:val="4"/>
                <w:szCs w:val="4"/>
              </w:rPr>
            </w:r>
          </w:p>
        </w:tc>
      </w:tr>
      <w:tr>
        <w:trPr/>
        <w:tc>
          <w:tcPr>
            <w:tcW w:w="4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 net income (loss) attributable to noncontrolling interests</w:t>
            </w:r>
          </w:p>
        </w:tc>
        <w:tc>
          <w:tcPr>
            <w:tcW w:w="8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270"/>
              <w:jc w:val="left"/>
              <w:rPr>
                <w:sz w:val="4"/>
                <w:szCs w:val="4"/>
              </w:rPr>
            </w:pPr>
            <w:r>
              <w:rPr>
                <w:sz w:val="4"/>
                <w:szCs w:val="4"/>
              </w:rPr>
            </w:r>
          </w:p>
        </w:tc>
      </w:tr>
      <w:tr>
        <w:trPr/>
        <w:tc>
          <w:tcPr>
            <w:tcW w:w="4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Lisata Therapeutics, Inc. common stockholders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(4,027)</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270"/>
              <w:jc w:val="left"/>
              <w:rPr>
                <w:sz w:val="4"/>
                <w:szCs w:val="4"/>
              </w:rPr>
            </w:pPr>
            <w:r>
              <w:rPr>
                <w:sz w:val="4"/>
                <w:szCs w:val="4"/>
              </w:rPr>
            </w:r>
          </w:p>
        </w:tc>
      </w:tr>
      <w:tr>
        <w:trPr/>
        <w:tc>
          <w:tcPr>
            <w:tcW w:w="4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Basic and diluted loss per share</w:t>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ind w:left="0" w:right="0" w:hanging="270"/>
              <w:jc w:val="left"/>
              <w:rPr>
                <w:sz w:val="4"/>
                <w:szCs w:val="4"/>
              </w:rPr>
            </w:pPr>
            <w:r>
              <w:rPr>
                <w:sz w:val="4"/>
                <w:szCs w:val="4"/>
              </w:rPr>
            </w:r>
          </w:p>
        </w:tc>
      </w:tr>
      <w:tr>
        <w:trPr/>
        <w:tc>
          <w:tcPr>
            <w:tcW w:w="4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Lisata Therapeutics, Inc. common stockholders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(0.50)</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65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color w:val="000000"/>
                <w:sz w:val="18"/>
              </w:rPr>
            </w:pPr>
            <w:r>
              <w:rPr>
                <w:rFonts w:ascii="Times New Roman;sans-serif" w:hAnsi="Times New Roman;sans-serif"/>
                <w:b/>
                <w:color w:val="000000"/>
                <w:sz w:val="18"/>
              </w:rPr>
              <w:t>Weighted average common shares outstanding</w:t>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65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 shares</w:t>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 </w:t>
                      </w:r>
                    </w:p>
                  </w:txbxContent>
                </v:textbox>
                <w10:wrap type="none"/>
              </v:rect>
            </w:pict>
          </mc:Fallback>
        </mc:AlternateContent>
      </w:r>
    </w:p>
    <w:p>
      <w:pPr>
        <w:pStyle w:val="TextBody"/>
        <w:bidi w:val="0"/>
        <w:spacing w:lineRule="auto" w:line="288" w:before="0" w:after="0"/>
        <w:jc w:val="left"/>
        <w:rPr/>
      </w:pPr>
      <w:hyperlink w:anchor="i7bbfdc1bacb84fd0b83109c9a78b2c53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LISATA THERAPEUTICS,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bl>
      <w:tblPr>
        <w:tblW w:w="10205" w:type="dxa"/>
        <w:jc w:val="center"/>
        <w:tblInd w:w="0" w:type="dxa"/>
        <w:tblLayout w:type="fixed"/>
        <w:tblCellMar>
          <w:top w:w="28" w:type="dxa"/>
          <w:left w:w="28" w:type="dxa"/>
          <w:bottom w:w="28" w:type="dxa"/>
          <w:right w:w="28" w:type="dxa"/>
        </w:tblCellMar>
      </w:tblPr>
      <w:tblGrid>
        <w:gridCol w:w="1675"/>
        <w:gridCol w:w="1463"/>
        <w:gridCol w:w="1483"/>
        <w:gridCol w:w="215"/>
        <w:gridCol w:w="688"/>
        <w:gridCol w:w="119"/>
        <w:gridCol w:w="119"/>
        <w:gridCol w:w="119"/>
        <w:gridCol w:w="119"/>
        <w:gridCol w:w="215"/>
        <w:gridCol w:w="688"/>
        <w:gridCol w:w="119"/>
        <w:gridCol w:w="109"/>
        <w:gridCol w:w="109"/>
        <w:gridCol w:w="109"/>
        <w:gridCol w:w="196"/>
        <w:gridCol w:w="715"/>
        <w:gridCol w:w="109"/>
        <w:gridCol w:w="109"/>
        <w:gridCol w:w="109"/>
        <w:gridCol w:w="109"/>
        <w:gridCol w:w="196"/>
        <w:gridCol w:w="715"/>
        <w:gridCol w:w="109"/>
        <w:gridCol w:w="109"/>
        <w:gridCol w:w="109"/>
        <w:gridCol w:w="109"/>
        <w:gridCol w:w="162"/>
      </w:tblGrid>
      <w:tr>
        <w:trPr/>
        <w:tc>
          <w:tcPr>
            <w:tcW w:w="1675"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gridSpan w:val="2"/>
            <w:tcBorders/>
          </w:tcPr>
          <w:p>
            <w:pPr>
              <w:pStyle w:val="TableContents"/>
              <w:bidi w:val="0"/>
              <w:spacing w:before="0" w:after="283"/>
              <w:jc w:val="left"/>
              <w:rPr>
                <w:sz w:val="4"/>
                <w:szCs w:val="4"/>
              </w:rPr>
            </w:pPr>
            <w:r>
              <w:rPr>
                <w:sz w:val="4"/>
                <w:szCs w:val="4"/>
              </w:rPr>
            </w:r>
          </w:p>
        </w:tc>
      </w:tr>
      <w:tr>
        <w:trPr/>
        <w:tc>
          <w:tcPr>
            <w:tcW w:w="46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(5,044)</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(4,027)</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gain (loss):</w:t>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Available for sale securities - net unrealized gain (loss)</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Cumulative translation adjustment arising during the period</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comprehensive gain (loss)</w:t>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2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2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2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21"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ind w:left="0" w:right="0" w:hanging="270"/>
              <w:jc w:val="left"/>
              <w:rPr>
                <w:sz w:val="4"/>
                <w:szCs w:val="4"/>
              </w:rPr>
            </w:pPr>
            <w:r>
              <w:rPr>
                <w:sz w:val="4"/>
                <w:szCs w:val="4"/>
              </w:rPr>
            </w:r>
          </w:p>
        </w:tc>
      </w:tr>
      <w:tr>
        <w:trPr/>
        <w:tc>
          <w:tcPr>
            <w:tcW w:w="46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 attributable to Lisata Therapeutics, Inc. common</w:t>
            </w:r>
          </w:p>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w:t>
            </w:r>
          </w:p>
        </w:tc>
        <w:tc>
          <w:tcPr>
            <w:tcW w:w="21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(5,017)</w:t>
            </w:r>
          </w:p>
        </w:tc>
        <w:tc>
          <w:tcPr>
            <w:tcW w:w="11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8"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(4,025)</w:t>
            </w:r>
          </w:p>
        </w:tc>
        <w:tc>
          <w:tcPr>
            <w:tcW w:w="11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(10,480)</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5"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(10,235)</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 </w:t>
                      </w:r>
                    </w:p>
                  </w:txbxContent>
                </v:textbox>
                <w10:wrap type="none"/>
              </v:rect>
            </w:pict>
          </mc:Fallback>
        </mc:AlternateContent>
      </w:r>
    </w:p>
    <w:p>
      <w:pPr>
        <w:pStyle w:val="TextBody"/>
        <w:bidi w:val="0"/>
        <w:spacing w:lineRule="auto" w:line="288" w:before="0" w:after="0"/>
        <w:jc w:val="left"/>
        <w:rPr/>
      </w:pPr>
      <w:hyperlink w:anchor="i7bbfdc1bacb84fd0b83109c9a78b2c53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LISATA THERAPEUTICS,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bl>
      <w:tblPr>
        <w:tblW w:w="11612" w:type="dxa"/>
        <w:jc w:val="center"/>
        <w:tblInd w:w="0" w:type="dxa"/>
        <w:tblLayout w:type="fixed"/>
        <w:tblCellMar>
          <w:top w:w="28" w:type="dxa"/>
          <w:left w:w="28" w:type="dxa"/>
          <w:bottom w:w="28" w:type="dxa"/>
          <w:right w:w="28" w:type="dxa"/>
        </w:tblCellMar>
      </w:tblPr>
      <w:tblGrid>
        <w:gridCol w:w="640"/>
        <w:gridCol w:w="220"/>
        <w:gridCol w:w="221"/>
        <w:gridCol w:w="278"/>
        <w:gridCol w:w="278"/>
        <w:gridCol w:w="171"/>
        <w:gridCol w:w="109"/>
        <w:gridCol w:w="109"/>
        <w:gridCol w:w="109"/>
        <w:gridCol w:w="204"/>
        <w:gridCol w:w="252"/>
        <w:gridCol w:w="115"/>
        <w:gridCol w:w="109"/>
        <w:gridCol w:w="109"/>
        <w:gridCol w:w="109"/>
        <w:gridCol w:w="196"/>
        <w:gridCol w:w="736"/>
        <w:gridCol w:w="109"/>
        <w:gridCol w:w="109"/>
        <w:gridCol w:w="109"/>
        <w:gridCol w:w="109"/>
        <w:gridCol w:w="307"/>
        <w:gridCol w:w="542"/>
        <w:gridCol w:w="172"/>
        <w:gridCol w:w="109"/>
        <w:gridCol w:w="109"/>
        <w:gridCol w:w="109"/>
        <w:gridCol w:w="196"/>
        <w:gridCol w:w="751"/>
        <w:gridCol w:w="109"/>
        <w:gridCol w:w="109"/>
        <w:gridCol w:w="109"/>
        <w:gridCol w:w="109"/>
        <w:gridCol w:w="196"/>
        <w:gridCol w:w="436"/>
        <w:gridCol w:w="109"/>
        <w:gridCol w:w="109"/>
        <w:gridCol w:w="109"/>
        <w:gridCol w:w="109"/>
        <w:gridCol w:w="196"/>
        <w:gridCol w:w="646"/>
        <w:gridCol w:w="109"/>
        <w:gridCol w:w="109"/>
        <w:gridCol w:w="109"/>
        <w:gridCol w:w="109"/>
        <w:gridCol w:w="214"/>
        <w:gridCol w:w="477"/>
        <w:gridCol w:w="120"/>
        <w:gridCol w:w="109"/>
        <w:gridCol w:w="109"/>
        <w:gridCol w:w="109"/>
        <w:gridCol w:w="196"/>
        <w:gridCol w:w="646"/>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Lisata Therapeutics,</w:t>
              <w:br/>
              <w:t>Inc.</w:t>
              <w:br/>
              <w:t>Stockholders'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w:t>
              <w:br/>
              <w:t>Controlling</w:t>
              <w:br/>
              <w:t>Interest in</w:t>
              <w:br/>
              <w:t>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Equity</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2023</w:t>
            </w:r>
          </w:p>
        </w:tc>
        <w:tc>
          <w:tcPr>
            <w:tcW w:w="556"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7,999 </w:t>
            </w:r>
          </w:p>
        </w:tc>
        <w:tc>
          <w:tcPr>
            <w:tcW w:w="171"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52"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15"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575,137 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2"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w:t>
            </w:r>
          </w:p>
        </w:tc>
        <w:tc>
          <w:tcPr>
            <w:tcW w:w="172"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(513,428)</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60,957 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7"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w:t>
            </w:r>
          </w:p>
        </w:tc>
        <w:tc>
          <w:tcPr>
            <w:tcW w:w="120"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60,703 </w:t>
            </w:r>
          </w:p>
        </w:tc>
        <w:tc>
          <w:tcPr>
            <w:tcW w:w="154"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556"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(4,027)</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(4,027)</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(4,027)</w:t>
            </w:r>
          </w:p>
        </w:tc>
        <w:tc>
          <w:tcPr>
            <w:tcW w:w="154"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proceeds from issuance of common stock</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option exercises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marketable securities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June 30, 2023</w:t>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8,133 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576,173 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(517,455)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57,968 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57,714 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2660" w:type="dxa"/>
        <w:jc w:val="center"/>
        <w:tblInd w:w="0" w:type="dxa"/>
        <w:tblLayout w:type="fixed"/>
        <w:tblCellMar>
          <w:top w:w="28" w:type="dxa"/>
          <w:left w:w="28" w:type="dxa"/>
          <w:bottom w:w="28" w:type="dxa"/>
          <w:right w:w="28" w:type="dxa"/>
        </w:tblCellMar>
      </w:tblPr>
      <w:tblGrid>
        <w:gridCol w:w="544"/>
        <w:gridCol w:w="268"/>
        <w:gridCol w:w="269"/>
        <w:gridCol w:w="109"/>
        <w:gridCol w:w="109"/>
        <w:gridCol w:w="109"/>
        <w:gridCol w:w="109"/>
        <w:gridCol w:w="109"/>
        <w:gridCol w:w="109"/>
        <w:gridCol w:w="278"/>
        <w:gridCol w:w="278"/>
        <w:gridCol w:w="171"/>
        <w:gridCol w:w="109"/>
        <w:gridCol w:w="109"/>
        <w:gridCol w:w="109"/>
        <w:gridCol w:w="269"/>
        <w:gridCol w:w="331"/>
        <w:gridCol w:w="151"/>
        <w:gridCol w:w="190"/>
        <w:gridCol w:w="190"/>
        <w:gridCol w:w="191"/>
        <w:gridCol w:w="196"/>
        <w:gridCol w:w="736"/>
        <w:gridCol w:w="109"/>
        <w:gridCol w:w="109"/>
        <w:gridCol w:w="109"/>
        <w:gridCol w:w="109"/>
        <w:gridCol w:w="262"/>
        <w:gridCol w:w="462"/>
        <w:gridCol w:w="147"/>
        <w:gridCol w:w="109"/>
        <w:gridCol w:w="109"/>
        <w:gridCol w:w="109"/>
        <w:gridCol w:w="196"/>
        <w:gridCol w:w="751"/>
        <w:gridCol w:w="109"/>
        <w:gridCol w:w="109"/>
        <w:gridCol w:w="109"/>
        <w:gridCol w:w="109"/>
        <w:gridCol w:w="246"/>
        <w:gridCol w:w="547"/>
        <w:gridCol w:w="138"/>
        <w:gridCol w:w="109"/>
        <w:gridCol w:w="109"/>
        <w:gridCol w:w="109"/>
        <w:gridCol w:w="196"/>
        <w:gridCol w:w="646"/>
        <w:gridCol w:w="109"/>
        <w:gridCol w:w="109"/>
        <w:gridCol w:w="109"/>
        <w:gridCol w:w="109"/>
        <w:gridCol w:w="196"/>
        <w:gridCol w:w="436"/>
        <w:gridCol w:w="109"/>
        <w:gridCol w:w="109"/>
        <w:gridCol w:w="109"/>
        <w:gridCol w:w="109"/>
        <w:gridCol w:w="196"/>
        <w:gridCol w:w="646"/>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Lisata Therapeutics,</w:t>
              <w:br/>
              <w:t>Inc.</w:t>
              <w:br/>
              <w:t>Stockholders'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w:t>
              <w:br/>
              <w:t>Controlling</w:t>
              <w:br/>
              <w:t>Interest in</w:t>
              <w:br/>
              <w:t>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Equity</w:t>
            </w:r>
          </w:p>
        </w:tc>
        <w:tc>
          <w:tcPr>
            <w:tcW w:w="1323" w:type="dxa"/>
            <w:gridSpan w:val="6"/>
            <w:tcBorders/>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57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7,867 </w:t>
            </w:r>
          </w:p>
        </w:tc>
        <w:tc>
          <w:tcPr>
            <w:tcW w:w="171"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51"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574,548 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2"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w:t>
            </w:r>
          </w:p>
        </w:tc>
        <w:tc>
          <w:tcPr>
            <w:tcW w:w="147"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(507,241)</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7"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w:t>
            </w:r>
          </w:p>
        </w:tc>
        <w:tc>
          <w:tcPr>
            <w:tcW w:w="138"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66,578 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66,324 </w:t>
            </w:r>
          </w:p>
        </w:tc>
        <w:tc>
          <w:tcPr>
            <w:tcW w:w="154"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(10,214)</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(10,214)</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(10,214)</w:t>
            </w:r>
          </w:p>
        </w:tc>
        <w:tc>
          <w:tcPr>
            <w:tcW w:w="154"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proceeds from issuances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option exercises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8,133 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576,173 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(517,455)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57,968 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57,714 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9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 </w:t>
                      </w:r>
                    </w:p>
                  </w:txbxContent>
                </v:textbox>
                <w10:wrap type="none"/>
              </v:rect>
            </w:pict>
          </mc:Fallback>
        </mc:AlternateContent>
      </w:r>
    </w:p>
    <w:p>
      <w:pPr>
        <w:pStyle w:val="TextBody"/>
        <w:bidi w:val="0"/>
        <w:spacing w:lineRule="auto" w:line="288" w:before="0" w:after="0"/>
        <w:jc w:val="left"/>
        <w:rPr/>
      </w:pPr>
      <w:hyperlink w:anchor="i7bbfdc1bacb84fd0b83109c9a78b2c53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0"/>
        <w:jc w:val="center"/>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 </w:t>
                      </w:r>
                    </w:p>
                  </w:txbxContent>
                </v:textbox>
                <w10:wrap type="none"/>
              </v:rect>
            </w:pict>
          </mc:Fallback>
        </mc:AlternateContent>
      </w:r>
    </w:p>
    <w:p>
      <w:pPr>
        <w:pStyle w:val="TextBody"/>
        <w:bidi w:val="0"/>
        <w:spacing w:lineRule="auto" w:line="288" w:before="0" w:after="0"/>
        <w:jc w:val="left"/>
        <w:rPr/>
      </w:pPr>
      <w:hyperlink w:anchor="i7bbfdc1bacb84fd0b83109c9a78b2c53_7">
        <w:r>
          <w:rPr>
            <w:rStyle w:val="InternetLink"/>
            <w:rFonts w:ascii="Times New Roman;sans-serif" w:hAnsi="Times New Roman;sans-serif"/>
            <w:b w:val="false"/>
            <w:color w:val="0000FF"/>
            <w:sz w:val="16"/>
            <w:u w:val="single"/>
          </w:rPr>
          <w:t>Index</w:t>
        </w:r>
      </w:hyperlink>
    </w:p>
    <w:tbl>
      <w:tblPr>
        <w:tblW w:w="11939" w:type="dxa"/>
        <w:jc w:val="center"/>
        <w:tblInd w:w="0" w:type="dxa"/>
        <w:tblLayout w:type="fixed"/>
        <w:tblCellMar>
          <w:top w:w="28" w:type="dxa"/>
          <w:left w:w="28" w:type="dxa"/>
          <w:bottom w:w="28" w:type="dxa"/>
          <w:right w:w="28" w:type="dxa"/>
        </w:tblCellMar>
      </w:tblPr>
      <w:tblGrid>
        <w:gridCol w:w="640"/>
        <w:gridCol w:w="220"/>
        <w:gridCol w:w="221"/>
        <w:gridCol w:w="109"/>
        <w:gridCol w:w="109"/>
        <w:gridCol w:w="109"/>
        <w:gridCol w:w="278"/>
        <w:gridCol w:w="278"/>
        <w:gridCol w:w="171"/>
        <w:gridCol w:w="109"/>
        <w:gridCol w:w="109"/>
        <w:gridCol w:w="109"/>
        <w:gridCol w:w="204"/>
        <w:gridCol w:w="252"/>
        <w:gridCol w:w="115"/>
        <w:gridCol w:w="109"/>
        <w:gridCol w:w="109"/>
        <w:gridCol w:w="109"/>
        <w:gridCol w:w="196"/>
        <w:gridCol w:w="736"/>
        <w:gridCol w:w="109"/>
        <w:gridCol w:w="109"/>
        <w:gridCol w:w="109"/>
        <w:gridCol w:w="109"/>
        <w:gridCol w:w="270"/>
        <w:gridCol w:w="600"/>
        <w:gridCol w:w="151"/>
        <w:gridCol w:w="109"/>
        <w:gridCol w:w="109"/>
        <w:gridCol w:w="109"/>
        <w:gridCol w:w="196"/>
        <w:gridCol w:w="751"/>
        <w:gridCol w:w="109"/>
        <w:gridCol w:w="109"/>
        <w:gridCol w:w="109"/>
        <w:gridCol w:w="109"/>
        <w:gridCol w:w="196"/>
        <w:gridCol w:w="436"/>
        <w:gridCol w:w="109"/>
        <w:gridCol w:w="109"/>
        <w:gridCol w:w="109"/>
        <w:gridCol w:w="109"/>
        <w:gridCol w:w="196"/>
        <w:gridCol w:w="646"/>
        <w:gridCol w:w="109"/>
        <w:gridCol w:w="109"/>
        <w:gridCol w:w="109"/>
        <w:gridCol w:w="109"/>
        <w:gridCol w:w="214"/>
        <w:gridCol w:w="477"/>
        <w:gridCol w:w="120"/>
        <w:gridCol w:w="109"/>
        <w:gridCol w:w="109"/>
        <w:gridCol w:w="109"/>
        <w:gridCol w:w="196"/>
        <w:gridCol w:w="646"/>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w:t>
              <w:b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Lisata Therapeutics,</w:t>
              <w:br/>
              <w:t>Inc.</w:t>
              <w:br/>
              <w:t>Stockholders'</w:t>
              <w:b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w:t>
              <w:br/>
              <w:t>Controlling</w:t>
              <w:br/>
              <w:t>Interest in</w:t>
              <w:br/>
              <w:t>Subsidiary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Equity</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8,308 </w:t>
            </w:r>
          </w:p>
        </w:tc>
        <w:tc>
          <w:tcPr>
            <w:tcW w:w="171"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52"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15"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577,283 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0"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151"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(533,482)</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42,997 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7"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w:t>
            </w:r>
          </w:p>
        </w:tc>
        <w:tc>
          <w:tcPr>
            <w:tcW w:w="120"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42,743 </w:t>
            </w:r>
          </w:p>
        </w:tc>
        <w:tc>
          <w:tcPr>
            <w:tcW w:w="154"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(5,044)</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(5,044)</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(5,044)</w:t>
            </w:r>
          </w:p>
        </w:tc>
        <w:tc>
          <w:tcPr>
            <w:tcW w:w="154"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proceeds from issuances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8,322 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577,552 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(538,526)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1939" w:type="dxa"/>
        <w:jc w:val="center"/>
        <w:tblInd w:w="0" w:type="dxa"/>
        <w:tblLayout w:type="fixed"/>
        <w:tblCellMar>
          <w:top w:w="28" w:type="dxa"/>
          <w:left w:w="28" w:type="dxa"/>
          <w:bottom w:w="28" w:type="dxa"/>
          <w:right w:w="28" w:type="dxa"/>
        </w:tblCellMar>
      </w:tblPr>
      <w:tblGrid>
        <w:gridCol w:w="544"/>
        <w:gridCol w:w="268"/>
        <w:gridCol w:w="269"/>
        <w:gridCol w:w="109"/>
        <w:gridCol w:w="109"/>
        <w:gridCol w:w="109"/>
        <w:gridCol w:w="278"/>
        <w:gridCol w:w="278"/>
        <w:gridCol w:w="171"/>
        <w:gridCol w:w="109"/>
        <w:gridCol w:w="109"/>
        <w:gridCol w:w="109"/>
        <w:gridCol w:w="204"/>
        <w:gridCol w:w="252"/>
        <w:gridCol w:w="115"/>
        <w:gridCol w:w="109"/>
        <w:gridCol w:w="109"/>
        <w:gridCol w:w="109"/>
        <w:gridCol w:w="196"/>
        <w:gridCol w:w="736"/>
        <w:gridCol w:w="109"/>
        <w:gridCol w:w="109"/>
        <w:gridCol w:w="109"/>
        <w:gridCol w:w="109"/>
        <w:gridCol w:w="307"/>
        <w:gridCol w:w="542"/>
        <w:gridCol w:w="172"/>
        <w:gridCol w:w="109"/>
        <w:gridCol w:w="109"/>
        <w:gridCol w:w="109"/>
        <w:gridCol w:w="196"/>
        <w:gridCol w:w="751"/>
        <w:gridCol w:w="109"/>
        <w:gridCol w:w="109"/>
        <w:gridCol w:w="109"/>
        <w:gridCol w:w="109"/>
        <w:gridCol w:w="196"/>
        <w:gridCol w:w="436"/>
        <w:gridCol w:w="109"/>
        <w:gridCol w:w="109"/>
        <w:gridCol w:w="109"/>
        <w:gridCol w:w="109"/>
        <w:gridCol w:w="196"/>
        <w:gridCol w:w="646"/>
        <w:gridCol w:w="109"/>
        <w:gridCol w:w="109"/>
        <w:gridCol w:w="109"/>
        <w:gridCol w:w="109"/>
        <w:gridCol w:w="214"/>
        <w:gridCol w:w="477"/>
        <w:gridCol w:w="120"/>
        <w:gridCol w:w="109"/>
        <w:gridCol w:w="109"/>
        <w:gridCol w:w="109"/>
        <w:gridCol w:w="196"/>
        <w:gridCol w:w="646"/>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w:t>
              <w:br/>
              <w:t>Paid-in</w:t>
              <w:b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Other</w:t>
              <w:br/>
              <w:t>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Treasury</w:t>
              <w:b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Lisata Therapeutics,</w:t>
              <w:br/>
              <w:t>Inc.</w:t>
              <w:br/>
              <w:t>Stockholders'</w:t>
              <w:b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Non-</w:t>
              <w:br/>
              <w:t>Controlling</w:t>
              <w:br/>
              <w:t>Interest in</w:t>
              <w:br/>
              <w:t>Subsidiary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Equity</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8,151 </w:t>
            </w:r>
          </w:p>
        </w:tc>
        <w:tc>
          <w:tcPr>
            <w:tcW w:w="171"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52"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15"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576,971 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2"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w:t>
            </w:r>
          </w:p>
        </w:tc>
        <w:tc>
          <w:tcPr>
            <w:tcW w:w="172"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(528,081)</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48,148 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7"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w:t>
            </w:r>
          </w:p>
        </w:tc>
        <w:tc>
          <w:tcPr>
            <w:tcW w:w="120"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47,894 </w:t>
            </w:r>
          </w:p>
        </w:tc>
        <w:tc>
          <w:tcPr>
            <w:tcW w:w="154"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(10,445)</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(10,445)</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(10,445)</w:t>
            </w:r>
          </w:p>
        </w:tc>
        <w:tc>
          <w:tcPr>
            <w:tcW w:w="154"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proceeds from issuances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loss on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8,322 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577,552 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(538,526)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 </w:t>
                      </w:r>
                    </w:p>
                  </w:txbxContent>
                </v:textbox>
                <w10:wrap type="none"/>
              </v:rect>
            </w:pict>
          </mc:Fallback>
        </mc:AlternateContent>
      </w:r>
    </w:p>
    <w:p>
      <w:pPr>
        <w:pStyle w:val="TextBody"/>
        <w:bidi w:val="0"/>
        <w:spacing w:lineRule="auto" w:line="288" w:before="0" w:after="0"/>
        <w:jc w:val="left"/>
        <w:rPr/>
      </w:pPr>
      <w:hyperlink w:anchor="i7bbfdc1bacb84fd0b83109c9a78b2c53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LISATA THERAPEUTICS,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p>
      <w:pPr>
        <w:pStyle w:val="TextBody"/>
        <w:bidi w:val="0"/>
        <w:spacing w:lineRule="auto" w:line="288" w:before="0" w:after="0"/>
        <w:jc w:val="left"/>
        <w:rPr>
          <w:color w:val="000000"/>
        </w:rPr>
      </w:pPr>
      <w:r>
        <w:rPr>
          <w:color w:val="000000"/>
        </w:rPr>
        <w:t> </w:t>
      </w:r>
    </w:p>
    <w:tbl>
      <w:tblPr>
        <w:tblW w:w="7644" w:type="dxa"/>
        <w:jc w:val="left"/>
        <w:tblInd w:w="0" w:type="dxa"/>
        <w:tblLayout w:type="fixed"/>
        <w:tblCellMar>
          <w:top w:w="28" w:type="dxa"/>
          <w:left w:w="28" w:type="dxa"/>
          <w:bottom w:w="28" w:type="dxa"/>
          <w:right w:w="28" w:type="dxa"/>
        </w:tblCellMar>
      </w:tblPr>
      <w:tblGrid>
        <w:gridCol w:w="1891"/>
        <w:gridCol w:w="1658"/>
        <w:gridCol w:w="1671"/>
        <w:gridCol w:w="196"/>
        <w:gridCol w:w="721"/>
        <w:gridCol w:w="109"/>
        <w:gridCol w:w="109"/>
        <w:gridCol w:w="109"/>
        <w:gridCol w:w="109"/>
        <w:gridCol w:w="196"/>
        <w:gridCol w:w="721"/>
        <w:gridCol w:w="154"/>
      </w:tblGrid>
      <w:tr>
        <w:trPr/>
        <w:tc>
          <w:tcPr>
            <w:tcW w:w="1891"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0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right"/>
              <w:rPr>
                <w:color w:val="000000"/>
              </w:rPr>
            </w:pPr>
            <w:r>
              <w:rPr>
                <w:color w:val="000000"/>
              </w:rPr>
              <w:t> </w:t>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disposal of fixed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equity method investment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Amortization/accretion on marketable securities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and other current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accrued liabilities and other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(12,380)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10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marketable securities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 of marketable securities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 Impilo Therapeutics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investing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0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options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 payments on net share settlement equity awards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proceeds from issuance of common stock</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financing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Effect of exchange rate changes on cash</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and cash equivalents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beginning of period</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 </w:t>
                      </w:r>
                    </w:p>
                  </w:txbxContent>
                </v:textbox>
                <w10:wrap type="none"/>
              </v:rect>
            </w:pict>
          </mc:Fallback>
        </mc:AlternateContent>
      </w:r>
    </w:p>
    <w:p>
      <w:pPr>
        <w:pStyle w:val="TextBody"/>
        <w:bidi w:val="0"/>
        <w:spacing w:lineRule="auto" w:line="288" w:before="0" w:after="0"/>
        <w:jc w:val="left"/>
        <w:rPr/>
      </w:pPr>
      <w:hyperlink w:anchor="i7bbfdc1bacb84fd0b83109c9a78b2c53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LISATA THERAPEUTICS, INC. AND SUBSIDIARIES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Note 1 – The Business</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Lisata Therapeutics, Inc. (together with its subsidiaries, the “Company”) is a clinical-stage pharmaceutical company dedicated to the discovery, development, and commercialization of innovative therapies for the treatment of solid tumors and other major diseases. The Company's investigational product, certepetide (LSTA1), is designed to activate a novel uptake pathway that allows co-administered or tethered (i.e., molecularly bound) anti-cancer drugs to target and penetrate solid tumors more effectively. Certepetide actuates this active transport system in a tumor-specific manner, resulting in systemically co-administered anti-cancer drugs more efficiently penetrating and accumulating in the tumor, while normal tissues are expected to be unaffected. Certepetide has also been shown to modify the tumor microenvironment (“TME”) by reducing T-regulatory cells and augmenting cytotoxic T cells, thereby making tumors more susceptible to immunotherapies and inhibiting the metastatic cascade (i.e., the spread of cancer to other parts of the body). The Company and its collaborators have amassed significant non-clinical data demonstrating enhanced delivery of a range of existing and emerging anti-cancer therapies, including chemotherapeutics, immunotherapies, and RNA-based therapeutics. To date, certepetide has also demonstrated favorable safety, tolerability and activity in completed and ongoing clinical trials designed to enhance delivery of standard-of-care chemotherapy for pancreatic cancer. The Company is exploring certepetide as a means to enable a variety of treatment modalities to treat a range of solid tumors more effectively. Currently, certepetide is the subject of several Phase 2 clinical studies being conducted globally in a variety of solid tumor types, including metastatic pancreatic ductal adenocarcinoma (mPDAC), cholangiocarcinoma, appendiceal cancer, colon cancer and glioblastoma multiforme in combination with a variety of anti-cancer regimens.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leadership team has decades of collective biopharmaceutical and pharmaceutical product development experience across a variety of therapeutic categories and at all stages of development from preclinical through to product registration and launch. The Company's goal is to develop and commercialize products that address important unmet medical needs. </w:t>
      </w:r>
    </w:p>
    <w:p>
      <w:pPr>
        <w:pStyle w:val="TextBody"/>
        <w:bidi w:val="0"/>
        <w:spacing w:lineRule="auto" w:line="288" w:before="0" w:after="16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Consolidated Financial Statements have been prepared in accordance with accounting principles generally accepted in the United States of America (“U.S. GAAP”) for interim financial information and with the instructions to Form 10-Q and Article 10 of Regulation S-X of the SEC for interim financial information. Accordingly, they do not include all of the information and footnotes required by generally accepted accounting principles for complete financial statements. In the opinion of management, the accompanying Consolidated Financial Statements of the Company and its subsidiaries, which are unaudited, include all normal and recurring adjustments considered necessary to present fairly the Company’s financial position as of June 30, 2024, and the results of its operations and its cash flows for the periods presented. The unaudited consolidated financial statements herein should be read together with the historical consolidated financial statements of the Company for the years ended December 31, 2023 and 2022 included in our 2023 Form 10-K. Operating results for the three and six months ended June 30, 2024 are not necessarily indicative of the results that may be expected for the year ending December 31, 2024.</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Estimates also affect the reported amounts of expenses during the reporting period. The Company bases its estimates on historical experience and other assumptions believed to be reasonable under the circumstances, the results of which form the basis for making judgments about the carrying value of assets and liabilities that are not readily apparent from other sources. The Company makes critical estimates and assumptions in determining stock-based awards values. Accordingly, actual results could differ from those estimates and assumptions.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Principles of Consolidation</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include the accounts of Lisata Therapeutics, Inc. and its wholly owned and majority owned subsidiaries and affiliates. All intercompany activities have been eliminated in consolidation.</w:t>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12 </w:t>
                      </w:r>
                    </w:p>
                  </w:txbxContent>
                </v:textbox>
                <w10:wrap type="none"/>
              </v:rect>
            </w:pict>
          </mc:Fallback>
        </mc:AlternateContent>
      </w:r>
    </w:p>
    <w:p>
      <w:pPr>
        <w:pStyle w:val="TextBody"/>
        <w:bidi w:val="0"/>
        <w:spacing w:lineRule="auto" w:line="288" w:before="0" w:after="0"/>
        <w:jc w:val="left"/>
        <w:rPr/>
      </w:pPr>
      <w:hyperlink w:anchor="i7bbfdc1bacb84fd0b83109c9a78b2c53_7">
        <w:r>
          <w:rPr>
            <w:rStyle w:val="InternetLink"/>
            <w:rFonts w:ascii="Times New Roman;sans-serif" w:hAnsi="Times New Roman;sans-serif"/>
            <w:b w:val="false"/>
            <w:color w:val="0000FF"/>
            <w:sz w:val="16"/>
            <w:u w:val="single"/>
          </w:rPr>
          <w:t>Index</w:t>
        </w:r>
      </w:hyperlink>
    </w:p>
    <w:p>
      <w:pPr>
        <w:pStyle w:val="TextBody"/>
        <w:bidi w:val="0"/>
        <w:spacing w:before="0" w:after="160"/>
        <w:jc w:val="both"/>
        <w:rPr/>
      </w:pPr>
      <w:r>
        <w:rPr/>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Foreign Currency Remeasurement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reporting currency is the U.S. Dollar. The functional currency of Lisata Therapeutics Australia Pty Ltd., which is a foreign subsidiary of the Company, is the Australian Dollar. The assets and liabilities of Lisata Therapeutics Australia Pty Ltd. are translated into U.S. Dollars at the exchange rates in effect at each balance sheet date, and the results of operations are translated using the average exchange rates prevailing throughout the reporting period. Adjustments resulting from translating foreign functional currency financial statements into U.S. Dollars are included in the foreign currency translation adjustment, a component of accumulated other comprehensive income (loss) in stockholders'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Note 2 – Summary of Significant Accounting Policies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include short-term, highly liquid, investments with maturities of ninety days or less when purchased. </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Concentration of Risks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credit risk from its portfolio of cash, cash equivalents and marketable securities. Under its investment policy, the Company limits amounts invested in such securities by credit rating, maturity, industry group, investment type and issuer, except for securities issued by the U.S. government. Cash is held at major banks in the United States and may exceed federally insured limits. The goals of the Company's investment policy, in order of priority, are as follows: safety and preservation of principal and diversification of risk, liquidity of investments sufficient to meet cash flow requirements, and a competitive after-tax rate of return.</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Marketable Securities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determines the appropriate classification of its marketable securities at the time of purchase and reevaluates such designation at each balance sheet date. All of the Company's marketable securities are considered as available-for-sale and carried at estimated fair values and reported in cash equivalents and marketable securities. Unrealized gains and losses on available-for-sale securities are excluded from net income and reported in accumulated other comprehensive income (loss) as a separate component of stockholders' equity. Other income (expense), net, includes interest, dividends, amortization of purchase premiums and discounts, realized gains and losses on sales of securities and other-than-temporary declines in the fair value of securities, if any. The cost of securities sold is based on the specific identification method. The Company regularly reviews all of its investments for other-than-temporary declines in fair value. The Company's review includes the consideration of the cause of the impairment, including the creditworthiness of the security issuers, the number of securities in an unrealized loss position, the severity and duration of the unrealized losses, whether the Company has the intent to sell the securities and whether it is more likely than not that it will be required to sell the securities before the recovery of their amortized cost basis. When the Company determines that the decline in fair value of an investment is below its accounting basis and this decline is other-than-temporary, it reduces the carrying value of the security it holds and records a loss for the amount of such decline.</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Property and Equipment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cost of property and equipment is depreciated over the estimated useful lives of the related assets. Depreciation is computed on the straight-line method. Repairs and maintenance expenditures that do not extend original asset lives are charged to expense as incurred. The estimated useful lives of property and equipment are as follows:</w:t>
      </w:r>
    </w:p>
    <w:tbl>
      <w:tblPr>
        <w:tblW w:w="3298" w:type="dxa"/>
        <w:jc w:val="center"/>
        <w:tblInd w:w="0" w:type="dxa"/>
        <w:tblLayout w:type="fixed"/>
        <w:tblCellMar>
          <w:top w:w="28" w:type="dxa"/>
          <w:left w:w="28" w:type="dxa"/>
          <w:bottom w:w="28" w:type="dxa"/>
          <w:right w:w="28" w:type="dxa"/>
        </w:tblCellMar>
      </w:tblPr>
      <w:tblGrid>
        <w:gridCol w:w="781"/>
        <w:gridCol w:w="687"/>
        <w:gridCol w:w="691"/>
        <w:gridCol w:w="333"/>
        <w:gridCol w:w="333"/>
        <w:gridCol w:w="473"/>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 years</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 years</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 years</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Life of lease</w:t>
            </w:r>
          </w:p>
        </w:tc>
      </w:tr>
    </w:tbl>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Long-lived Assets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Long-lived assets consist of property and equipment. The assets are amortized on a straight-line basis over their respective useful lives. The Company reviews long-lived assets for impairment whenever events or changes in circumstances indicate that the carrying amount of an asset exceeds the fair value of the asset. If other events or changes in circumstances indicate that the carrying amount of an asset that the Company expects to hold and use may not be recoverable, the Company will estimate the undiscounted future cash flows expected to result from the use of the asset and/or its eventual disposition, and recognize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13 </w:t>
                      </w:r>
                    </w:p>
                  </w:txbxContent>
                </v:textbox>
                <w10:wrap type="none"/>
              </v:rect>
            </w:pict>
          </mc:Fallback>
        </mc:AlternateContent>
      </w:r>
    </w:p>
    <w:p>
      <w:pPr>
        <w:pStyle w:val="TextBody"/>
        <w:bidi w:val="0"/>
        <w:spacing w:lineRule="auto" w:line="288" w:before="0" w:after="0"/>
        <w:jc w:val="left"/>
        <w:rPr/>
      </w:pPr>
      <w:hyperlink w:anchor="i7bbfdc1bacb84fd0b83109c9a78b2c53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impairment loss, if any. The impairment loss, if determined to be necessary, would be measured as the amount by which the carrying amount of the assets exceeds the fair value of the assets.</w:t>
      </w:r>
    </w:p>
    <w:p>
      <w:pPr>
        <w:pStyle w:val="TextBody"/>
        <w:bidi w:val="0"/>
        <w:spacing w:lineRule="auto" w:line="288" w:before="0" w:after="160"/>
        <w:jc w:val="both"/>
        <w:rPr/>
      </w:pPr>
      <w:r>
        <w:rPr>
          <w:rFonts w:ascii="Times New Roman;sans-serif" w:hAnsi="Times New Roman;sans-serif"/>
          <w:b/>
          <w:i/>
          <w:color w:val="000000"/>
          <w:sz w:val="20"/>
        </w:rPr>
        <w:t>Share-Based Compensation</w:t>
      </w:r>
      <w:r>
        <w:rPr>
          <w:color w:val="000000"/>
        </w:rPr>
        <w:t>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expenses all share-based payment awards to employees, directors, and consultants, including grants of stock options, warrants, and restricted stock, over the requisite service period based on the grant date fair value of the awards. For awards with performance-based vesting criteria, the Company estimates the probability of achievement of the performance criteria and recognizes compensation expense related to those awards expected to vest. The Company determines the fair value of option awards using the Black-Scholes option-pricing model which uses both historical and current market data to estimate the fair value. This method incorporates various assumptions such as the risk-free interest rate, expected volatility, expected dividend yield and expected life of the options or warrants. Share-based compensation expense also includes an estimate, which is made at the time of the grant, of the number of awards that are expected to be forfeited. The fair value of the Company’s restricted stock and restricted stock units is based on the closing market price of the Company’s common stock on the date of grant. </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Loss Per Share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Basic loss per share is based on the weighted effect of all common shares issued and outstanding and is calculated by dividing net loss attributable to common stockholders by the weighted average shares outstanding during the period. Diluted loss per share is calculated by dividing net loss attributable to common stockholders by the weighted average number of common shares used in the basic loss per share calculation plus the number of common shares that would be issued assuming conversion of all potentially dilutive securities outstanding. Diluted loss per share is not presented as such potentially dilutive securities are anti-dilutive to losses incurred in all periods presented. </w:t>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Treasury Stock</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Treasury stock purchases are accounted for under the cost method whereby the entire cost of the acquired stock is recorded as treasury stock. Gains or losses on the subsequent reissuance of shares are credited or charged to additional paid in capital.</w:t>
      </w:r>
    </w:p>
    <w:p>
      <w:pPr>
        <w:pStyle w:val="TextBody"/>
        <w:bidi w:val="0"/>
        <w:spacing w:lineRule="auto" w:line="288" w:before="0" w:after="160"/>
        <w:jc w:val="both"/>
        <w:rPr/>
      </w:pPr>
      <w:r>
        <w:rPr>
          <w:rFonts w:ascii="Times New Roman;sans-serif" w:hAnsi="Times New Roman;sans-serif"/>
          <w:b/>
          <w:i/>
          <w:color w:val="000000"/>
          <w:sz w:val="20"/>
        </w:rPr>
        <w:t>Research and Development Costs</w:t>
      </w:r>
      <w:r>
        <w:rPr>
          <w:color w:val="000000"/>
        </w:rPr>
        <w:t>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(“R&amp;D”) expenses include salaries, benefits, and other headcount related costs, clinical trial and related clinical manufacturing costs, contract and other outside service fees including sponsored research agreements, and facilities and overhead costs. The Company expenses the costs associated with research and development activities when incurred.</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further drive the Company’s initiatives, the Company will continue targeting key governmental agencies and not-for-profit organizations to contribute funds for the Company’s research and development programs. The Company accounts for such grants as a deduction to the related expense in research and development operating expenses when earned.</w:t>
      </w:r>
    </w:p>
    <w:p>
      <w:pPr>
        <w:pStyle w:val="TextBody"/>
        <w:bidi w:val="0"/>
        <w:spacing w:lineRule="auto" w:line="288" w:before="0" w:after="160"/>
        <w:jc w:val="both"/>
        <w:rPr/>
      </w:pPr>
      <w:r>
        <w:rPr>
          <w:rFonts w:ascii="Times New Roman;sans-serif" w:hAnsi="Times New Roman;sans-serif"/>
          <w:b/>
          <w:i/>
          <w:color w:val="000000"/>
          <w:sz w:val="20"/>
        </w:rPr>
        <w:t>In-process Research and Development Expense</w:t>
      </w:r>
      <w:r>
        <w:rPr>
          <w:color w:val="000000"/>
        </w:rPr>
        <w:t xml:space="preserve">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Upfront payments that relate to the acquisition of a new drug compound, as well as pre-commercial milestone payments, are immediately expensed as IPR&amp;D in the period in which they are incurred, provided that the new drug compound did not also include processes or activities that would constitute a “business” as defined under U.S. GAAP, the drug has not achieved regulatory approval for marketing and, absent obtaining such approval, has no established alternative future use. The Company accounts for contingent consideration payable upon achievement of certain regulatory, development or sales milestones in such asset acquisitions when the underlying contingency is probable and estimable. Milestone payments made to third parties subsequent to regulatory approval will be capitalized as intangible assets and amortized over the estimated remaining useful life of the related product.</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Intangible Asset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intangible asset consists of a single asset, a license agreement with Qilu Pharmaceutical, Co., Ltd. (“Qilu”) acquired in the Company's acquisition of Cend Therapeutics, Inc (the “Cend Merger”), with a value of $0.4 million. The intangible asset is stated at fair value and is amortized using the straight-line method over its estimated useful life of 5 years. Amortization expense was $18 thousand and $35 thousand for the three and six months ended June 30, 2024, respectively, and $18 thousand and $35 thousand for the three and six months ended June 30, 2023, respectively. The intangible asset is reviewed for potential impairment when events or circumstances indicate that carrying amounts may not be recoverable. The projected amortization expense is $71 thousand per year for the next 3.25 years. </w:t>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14 </w:t>
                      </w:r>
                    </w:p>
                  </w:txbxContent>
                </v:textbox>
                <w10:wrap type="none"/>
              </v:rect>
            </w:pict>
          </mc:Fallback>
        </mc:AlternateContent>
      </w:r>
    </w:p>
    <w:p>
      <w:pPr>
        <w:pStyle w:val="TextBody"/>
        <w:bidi w:val="0"/>
        <w:spacing w:lineRule="auto" w:line="288" w:before="0" w:after="0"/>
        <w:jc w:val="left"/>
        <w:rPr/>
      </w:pPr>
      <w:hyperlink w:anchor="i7bbfdc1bacb84fd0b83109c9a78b2c53_7">
        <w:r>
          <w:rPr>
            <w:rStyle w:val="InternetLink"/>
            <w:rFonts w:ascii="Times New Roman;sans-serif" w:hAnsi="Times New Roman;sans-serif"/>
            <w:b w:val="false"/>
            <w:color w:val="0000FF"/>
            <w:sz w:val="16"/>
            <w:u w:val="single"/>
          </w:rPr>
          <w:t>Index</w:t>
        </w:r>
      </w:hyperlink>
    </w:p>
    <w:p>
      <w:pPr>
        <w:pStyle w:val="TextBody"/>
        <w:bidi w:val="0"/>
        <w:spacing w:before="0" w:after="160"/>
        <w:jc w:val="both"/>
        <w:rPr/>
      </w:pPr>
      <w:r>
        <w:rPr/>
      </w:r>
    </w:p>
    <w:p>
      <w:pPr>
        <w:pStyle w:val="TextBody"/>
        <w:bidi w:val="0"/>
        <w:spacing w:before="0" w:after="160"/>
        <w:jc w:val="both"/>
        <w:rPr/>
      </w:pPr>
      <w:r>
        <w:rPr/>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license and collaboration arrangements to determine whether units of account within the arrangement exhibit the characteristics of a vendor and customer relationship. For arrangements and units of account where a customer relationship exists, the Company applies the revenue recognition guidance. The Company recognizes revenue upon the transfer of promised goods or services to customers in an amount that reflects the consideration to which the Company expects to be entitled in exchange for those goods or services. To determine revenue recognition for contracts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the performance obligations. At contract inception, the Company assesses the goods or services promised within each contract and assesses whether each promised good or service is distinct and determines those that are performance obligations. The Company then recognizes as revenue the amount of the transaction price that is allocated to the respective performance obligation when (or as) the performance obligation is satisfied. Taxes imposed by governmental authorities on the Company's revenue, such as sales taxes and withholding taxes, are excluded from net revenue.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If a license to the Company’s intellectual property is determined to be distinct from the other performance obligations identified in the arrangement, the Company recognizes revenues from non-refundable, upfront fees allocated to the license when the license is transferred to the licensee and the licensee is able to use and benefit from the license. If licenses are bundled with other performance obligations, the Company would utilize judgment to assess the nature of the combined performance obligation to determine whether the combined performance obligation is satisfied over time or at a point in time and, if over time, the appropriate method of measuring progress for purposes of recognizing revenue. There was no revenue recognized for the three and six months ended June 30, 2024 and 2023.</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Milestones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the inception of each arrangement that includes milestone payments (variable consideration),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Company or the Company’s collaboration partner’s control, such as regulatory approvals, are generally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milestones and any related constraint, and if necessary, adjusts the Company’s estimate of the overall transaction price. Any such adjustments are allocated on a cumulative catch-up basis to satisfied and partially satisfied performance obligations, with the consideration allocated to an ongoing performance obligation being recognized over the period of performance. For the three and six months ended June 30, 2024 and June 30, 2023, the Company has not recognized revenue related to milestones.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Royalties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arrangements that include sales-based royalties, including milestone payments based on the level of sales, and for which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from any collaborative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15 </w:t>
                      </w:r>
                    </w:p>
                  </w:txbxContent>
                </v:textbox>
                <w10:wrap type="none"/>
              </v:rect>
            </w:pict>
          </mc:Fallback>
        </mc:AlternateContent>
      </w:r>
    </w:p>
    <w:p>
      <w:pPr>
        <w:pStyle w:val="TextBody"/>
        <w:bidi w:val="0"/>
        <w:spacing w:lineRule="auto" w:line="288" w:before="0" w:after="0"/>
        <w:jc w:val="left"/>
        <w:rPr/>
      </w:pPr>
      <w:hyperlink w:anchor="i7bbfdc1bacb84fd0b83109c9a78b2c53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3 – Available-for-Sale Securities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summary of available-for-sale securities recorded in cash and cash equivalents or marketable securities in our Consolidated Balance Sheets (in thousands):</w:t>
      </w:r>
    </w:p>
    <w:tbl>
      <w:tblPr>
        <w:tblW w:w="10838" w:type="dxa"/>
        <w:jc w:val="center"/>
        <w:tblInd w:w="0" w:type="dxa"/>
        <w:tblLayout w:type="fixed"/>
        <w:tblCellMar>
          <w:top w:w="28" w:type="dxa"/>
          <w:left w:w="28" w:type="dxa"/>
          <w:bottom w:w="28" w:type="dxa"/>
          <w:right w:w="28" w:type="dxa"/>
        </w:tblCellMar>
      </w:tblPr>
      <w:tblGrid>
        <w:gridCol w:w="449"/>
        <w:gridCol w:w="263"/>
        <w:gridCol w:w="264"/>
        <w:gridCol w:w="196"/>
        <w:gridCol w:w="646"/>
        <w:gridCol w:w="109"/>
        <w:gridCol w:w="109"/>
        <w:gridCol w:w="109"/>
        <w:gridCol w:w="109"/>
        <w:gridCol w:w="334"/>
        <w:gridCol w:w="410"/>
        <w:gridCol w:w="187"/>
        <w:gridCol w:w="109"/>
        <w:gridCol w:w="109"/>
        <w:gridCol w:w="109"/>
        <w:gridCol w:w="280"/>
        <w:gridCol w:w="494"/>
        <w:gridCol w:w="157"/>
        <w:gridCol w:w="109"/>
        <w:gridCol w:w="109"/>
        <w:gridCol w:w="109"/>
        <w:gridCol w:w="196"/>
        <w:gridCol w:w="646"/>
        <w:gridCol w:w="109"/>
        <w:gridCol w:w="109"/>
        <w:gridCol w:w="109"/>
        <w:gridCol w:w="109"/>
        <w:gridCol w:w="196"/>
        <w:gridCol w:w="646"/>
        <w:gridCol w:w="109"/>
        <w:gridCol w:w="109"/>
        <w:gridCol w:w="109"/>
        <w:gridCol w:w="109"/>
        <w:gridCol w:w="334"/>
        <w:gridCol w:w="410"/>
        <w:gridCol w:w="187"/>
        <w:gridCol w:w="109"/>
        <w:gridCol w:w="109"/>
        <w:gridCol w:w="109"/>
        <w:gridCol w:w="325"/>
        <w:gridCol w:w="424"/>
        <w:gridCol w:w="182"/>
        <w:gridCol w:w="109"/>
        <w:gridCol w:w="109"/>
        <w:gridCol w:w="109"/>
        <w:gridCol w:w="196"/>
        <w:gridCol w:w="646"/>
        <w:gridCol w:w="154"/>
      </w:tblGrid>
      <w:tr>
        <w:trPr/>
        <w:tc>
          <w:tcPr>
            <w:tcW w:w="44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 Fair Value</w:t>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funds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 debt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before="0" w:after="160"/>
        <w:ind w:left="0" w:right="0" w:firstLine="360"/>
        <w:jc w:val="both"/>
        <w:rPr/>
      </w:pPr>
      <w:r>
        <w:rPr/>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Estimated fair values of available-for-sale securities are generally based on prices obtained from commercial pricing services. The following table summarizes the classification of the available-for-sale securities in the Company's Consolidated Balance Sheets (in thousands):</w:t>
      </w:r>
    </w:p>
    <w:tbl>
      <w:tblPr>
        <w:tblW w:w="4855" w:type="dxa"/>
        <w:jc w:val="center"/>
        <w:tblInd w:w="0" w:type="dxa"/>
        <w:tblLayout w:type="fixed"/>
        <w:tblCellMar>
          <w:top w:w="28" w:type="dxa"/>
          <w:left w:w="28" w:type="dxa"/>
          <w:bottom w:w="28" w:type="dxa"/>
          <w:right w:w="28" w:type="dxa"/>
        </w:tblCellMar>
      </w:tblPr>
      <w:tblGrid>
        <w:gridCol w:w="673"/>
        <w:gridCol w:w="592"/>
        <w:gridCol w:w="594"/>
        <w:gridCol w:w="228"/>
        <w:gridCol w:w="779"/>
        <w:gridCol w:w="117"/>
        <w:gridCol w:w="109"/>
        <w:gridCol w:w="109"/>
        <w:gridCol w:w="109"/>
        <w:gridCol w:w="300"/>
        <w:gridCol w:w="1026"/>
        <w:gridCol w:w="219"/>
      </w:tblGrid>
      <w:tr>
        <w:trPr/>
        <w:tc>
          <w:tcPr>
            <w:tcW w:w="67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23,860 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16,715 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33,829 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44,657 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portfolio of available-for-sale securities by contractual maturity (in thousands):</w:t>
      </w:r>
    </w:p>
    <w:tbl>
      <w:tblPr>
        <w:tblW w:w="5110" w:type="dxa"/>
        <w:jc w:val="center"/>
        <w:tblInd w:w="0" w:type="dxa"/>
        <w:tblLayout w:type="fixed"/>
        <w:tblCellMar>
          <w:top w:w="28" w:type="dxa"/>
          <w:left w:w="28" w:type="dxa"/>
          <w:bottom w:w="28" w:type="dxa"/>
          <w:right w:w="28" w:type="dxa"/>
        </w:tblCellMar>
      </w:tblPr>
      <w:tblGrid>
        <w:gridCol w:w="668"/>
        <w:gridCol w:w="587"/>
        <w:gridCol w:w="590"/>
        <w:gridCol w:w="252"/>
        <w:gridCol w:w="862"/>
        <w:gridCol w:w="130"/>
        <w:gridCol w:w="109"/>
        <w:gridCol w:w="109"/>
        <w:gridCol w:w="109"/>
        <w:gridCol w:w="329"/>
        <w:gridCol w:w="1125"/>
        <w:gridCol w:w="240"/>
      </w:tblGrid>
      <w:tr>
        <w:trPr/>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than one year</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33,829 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Greater than one year</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33,843 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33,829 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4 – Property and Equipment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consisted of the following (in thousands):</w:t>
      </w:r>
    </w:p>
    <w:tbl>
      <w:tblPr>
        <w:tblW w:w="5577" w:type="dxa"/>
        <w:jc w:val="center"/>
        <w:tblInd w:w="0" w:type="dxa"/>
        <w:tblLayout w:type="fixed"/>
        <w:tblCellMar>
          <w:top w:w="28" w:type="dxa"/>
          <w:left w:w="28" w:type="dxa"/>
          <w:bottom w:w="28" w:type="dxa"/>
          <w:right w:w="28" w:type="dxa"/>
        </w:tblCellMar>
      </w:tblPr>
      <w:tblGrid>
        <w:gridCol w:w="934"/>
        <w:gridCol w:w="820"/>
        <w:gridCol w:w="826"/>
        <w:gridCol w:w="302"/>
        <w:gridCol w:w="667"/>
        <w:gridCol w:w="156"/>
        <w:gridCol w:w="109"/>
        <w:gridCol w:w="109"/>
        <w:gridCol w:w="109"/>
        <w:gridCol w:w="392"/>
        <w:gridCol w:w="866"/>
        <w:gridCol w:w="287"/>
      </w:tblGrid>
      <w:tr>
        <w:trPr/>
        <w:tc>
          <w:tcPr>
            <w:tcW w:w="934"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gross</w:t>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ind w:left="0" w:right="0" w:firstLine="360"/>
        <w:jc w:val="center"/>
        <w:rPr/>
      </w:pPr>
      <w:r>
        <w:rPr/>
      </w:r>
    </w:p>
    <w:p>
      <w:pPr>
        <w:pStyle w:val="TextBody"/>
        <w:bidi w:val="0"/>
        <w:spacing w:lineRule="auto" w:line="288" w:before="2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results included depreciation expense of approximately $56 thousand and $60 thousand for the six months ended June 30, 2024 and 2023, respectively.</w:t>
      </w:r>
    </w:p>
    <w:p>
      <w:pPr>
        <w:pStyle w:val="TextBody"/>
        <w:bidi w:val="0"/>
        <w:spacing w:before="20" w:after="12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both"/>
        <w:rPr/>
      </w:pPr>
      <w:r>
        <w:rPr/>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16 </w:t>
                      </w:r>
                    </w:p>
                  </w:txbxContent>
                </v:textbox>
                <w10:wrap type="none"/>
              </v:rect>
            </w:pict>
          </mc:Fallback>
        </mc:AlternateContent>
      </w:r>
    </w:p>
    <w:p>
      <w:pPr>
        <w:pStyle w:val="TextBody"/>
        <w:bidi w:val="0"/>
        <w:spacing w:lineRule="auto" w:line="288" w:before="0" w:after="0"/>
        <w:jc w:val="left"/>
        <w:rPr/>
      </w:pPr>
      <w:hyperlink w:anchor="i7bbfdc1bacb84fd0b83109c9a78b2c53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5 – Income (Loss) Per Share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2024 and 2023, the Company incurred net losses and therefore no common stock equivalents were utilized in the calculation of diluted loss per share as they are anti-dilutive in the periods presented. At June 30, 2024 and 2023, the Company excluded the following potentially dilutive securities (in thousands):</w:t>
      </w:r>
    </w:p>
    <w:tbl>
      <w:tblPr>
        <w:tblW w:w="3803" w:type="dxa"/>
        <w:jc w:val="left"/>
        <w:tblInd w:w="0" w:type="dxa"/>
        <w:tblLayout w:type="fixed"/>
        <w:tblCellMar>
          <w:top w:w="28" w:type="dxa"/>
          <w:left w:w="28" w:type="dxa"/>
          <w:bottom w:w="28" w:type="dxa"/>
          <w:right w:w="28" w:type="dxa"/>
        </w:tblCellMar>
      </w:tblPr>
      <w:tblGrid>
        <w:gridCol w:w="678"/>
        <w:gridCol w:w="596"/>
        <w:gridCol w:w="601"/>
        <w:gridCol w:w="308"/>
        <w:gridCol w:w="308"/>
        <w:gridCol w:w="156"/>
        <w:gridCol w:w="109"/>
        <w:gridCol w:w="109"/>
        <w:gridCol w:w="109"/>
        <w:gridCol w:w="308"/>
        <w:gridCol w:w="308"/>
        <w:gridCol w:w="213"/>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6 – Fair Value Measurements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of financial assets and liabilities that are being measured and reported are defined as the exchange price that would be received to sell an asset or paid to transfer a liability in an orderly transaction between market participants in the principal market at the measurement date (exit price). The Company is required to classify fair value measurements in one of the following categories: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Level 1 inputs are defined as quoted prices (unadjusted) in active markets for identical assets or liabilities that the reporting entity has the ability to access at the measurement date.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Level 2 inputs are defined as inputs other than quoted prices included within Level 1 that are observable for the assets or liabilities, either directly or indirectly.</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3 inputs are defined as unobservable inputs for the assets or liabilities.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assets and liabilities are classified based on the lowest level of input that is significant to the fair value measurement. The Company’s assessment of the significance of a particular input to the fair value measurement requires judgment and may affect the valuation of the fair value of assets and liabilities and their placement within the fair value hierarchy levels.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financial assets and liabilities that were accounted for at fair value on a recurring basis as of June 30, 2024 and December 31, 2023 were as follows (in thousands):</w:t>
      </w:r>
    </w:p>
    <w:tbl>
      <w:tblPr>
        <w:tblW w:w="11140" w:type="dxa"/>
        <w:jc w:val="center"/>
        <w:tblInd w:w="0" w:type="dxa"/>
        <w:tblLayout w:type="fixed"/>
        <w:tblCellMar>
          <w:top w:w="28" w:type="dxa"/>
          <w:left w:w="28" w:type="dxa"/>
          <w:bottom w:w="28" w:type="dxa"/>
          <w:right w:w="28" w:type="dxa"/>
        </w:tblCellMar>
      </w:tblPr>
      <w:tblGrid>
        <w:gridCol w:w="519"/>
        <w:gridCol w:w="457"/>
        <w:gridCol w:w="465"/>
        <w:gridCol w:w="109"/>
        <w:gridCol w:w="109"/>
        <w:gridCol w:w="109"/>
        <w:gridCol w:w="196"/>
        <w:gridCol w:w="646"/>
        <w:gridCol w:w="109"/>
        <w:gridCol w:w="109"/>
        <w:gridCol w:w="109"/>
        <w:gridCol w:w="109"/>
        <w:gridCol w:w="196"/>
        <w:gridCol w:w="556"/>
        <w:gridCol w:w="109"/>
        <w:gridCol w:w="109"/>
        <w:gridCol w:w="109"/>
        <w:gridCol w:w="109"/>
        <w:gridCol w:w="196"/>
        <w:gridCol w:w="40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406"/>
        <w:gridCol w:w="109"/>
        <w:gridCol w:w="109"/>
        <w:gridCol w:w="109"/>
        <w:gridCol w:w="109"/>
        <w:gridCol w:w="196"/>
        <w:gridCol w:w="646"/>
        <w:gridCol w:w="154"/>
      </w:tblGrid>
      <w:tr>
        <w:trPr/>
        <w:tc>
          <w:tcPr>
            <w:tcW w:w="51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 -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44,657 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values of cash, cash equivalents, accounts payable and accrued expenses approximate fair value as of June 30, 2024 and December 31, 2023, due to the short maturity nature of these items.</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17 </w:t>
                      </w:r>
                    </w:p>
                  </w:txbxContent>
                </v:textbox>
                <w10:wrap type="none"/>
              </v:rect>
            </w:pict>
          </mc:Fallback>
        </mc:AlternateContent>
      </w:r>
    </w:p>
    <w:p>
      <w:pPr>
        <w:pStyle w:val="TextBody"/>
        <w:bidi w:val="0"/>
        <w:spacing w:lineRule="auto" w:line="288" w:before="0" w:after="0"/>
        <w:jc w:val="left"/>
        <w:rPr/>
      </w:pPr>
      <w:hyperlink w:anchor="i7bbfdc1bacb84fd0b83109c9a78b2c53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7 – Accrued Liabilities</w:t>
      </w:r>
    </w:p>
    <w:p>
      <w:pPr>
        <w:pStyle w:val="TextBody"/>
        <w:bidi w:val="0"/>
        <w:spacing w:lineRule="auto" w:line="288" w:before="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as of June 30, 2024 and December 31, 2023 were as follows (in thousands):</w:t>
      </w:r>
    </w:p>
    <w:tbl>
      <w:tblPr>
        <w:tblW w:w="6730" w:type="dxa"/>
        <w:jc w:val="center"/>
        <w:tblInd w:w="0" w:type="dxa"/>
        <w:tblLayout w:type="fixed"/>
        <w:tblCellMar>
          <w:top w:w="28" w:type="dxa"/>
          <w:left w:w="28" w:type="dxa"/>
          <w:bottom w:w="28" w:type="dxa"/>
          <w:right w:w="28" w:type="dxa"/>
        </w:tblCellMar>
      </w:tblPr>
      <w:tblGrid>
        <w:gridCol w:w="1351"/>
        <w:gridCol w:w="1187"/>
        <w:gridCol w:w="1196"/>
        <w:gridCol w:w="253"/>
        <w:gridCol w:w="741"/>
        <w:gridCol w:w="131"/>
        <w:gridCol w:w="109"/>
        <w:gridCol w:w="109"/>
        <w:gridCol w:w="109"/>
        <w:gridCol w:w="332"/>
        <w:gridCol w:w="970"/>
        <w:gridCol w:w="242"/>
      </w:tblGrid>
      <w:tr>
        <w:trPr/>
        <w:tc>
          <w:tcPr>
            <w:tcW w:w="1351"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employee benefits and related taxes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2,665 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and R&amp;D related liabilities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&amp; tax consulting liabilities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 current</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3,729 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4,169 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8 – Operating Leases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an operating lease for one office which expires in 2025. The Company estimates its incremental borrowing rate at lease commencement to determine the present value of lease payments as most of the Company's leases do not provide an implicit rate of return. The Company recognizes lease expense on a straight-line basis over the lease term. For lease agreements entered into or reassessed after the adoption of ASU No. 2016-02, Leases (Topic 842), the Company elected to account for non-lease components associated with its leases and lease components as a single lease component. The Company's lease includes an option for the Company to extend the lease term and/or sub-lease space in whole or in part.</w:t>
      </w:r>
    </w:p>
    <w:p>
      <w:pPr>
        <w:pStyle w:val="TextBody"/>
        <w:bidi w:val="0"/>
        <w:spacing w:before="0" w:after="16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18 </w:t>
                      </w:r>
                    </w:p>
                  </w:txbxContent>
                </v:textbox>
                <w10:wrap type="none"/>
              </v:rect>
            </w:pict>
          </mc:Fallback>
        </mc:AlternateContent>
      </w:r>
    </w:p>
    <w:p>
      <w:pPr>
        <w:pStyle w:val="TextBody"/>
        <w:bidi w:val="0"/>
        <w:spacing w:lineRule="auto" w:line="288" w:before="0" w:after="0"/>
        <w:jc w:val="left"/>
        <w:rPr/>
      </w:pPr>
      <w:hyperlink w:anchor="i7bbfdc1bacb84fd0b83109c9a78b2c53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and right-of-use assets were recorded in the following captions of our balance sheet as follows (in thousands):</w:t>
      </w:r>
    </w:p>
    <w:tbl>
      <w:tblPr>
        <w:tblW w:w="5801" w:type="dxa"/>
        <w:jc w:val="center"/>
        <w:tblInd w:w="0" w:type="dxa"/>
        <w:tblLayout w:type="fixed"/>
        <w:tblCellMar>
          <w:top w:w="28" w:type="dxa"/>
          <w:left w:w="28" w:type="dxa"/>
          <w:bottom w:w="28" w:type="dxa"/>
          <w:right w:w="28" w:type="dxa"/>
        </w:tblCellMar>
      </w:tblPr>
      <w:tblGrid>
        <w:gridCol w:w="1016"/>
        <w:gridCol w:w="892"/>
        <w:gridCol w:w="896"/>
        <w:gridCol w:w="302"/>
        <w:gridCol w:w="667"/>
        <w:gridCol w:w="156"/>
        <w:gridCol w:w="109"/>
        <w:gridCol w:w="109"/>
        <w:gridCol w:w="109"/>
        <w:gridCol w:w="392"/>
        <w:gridCol w:w="866"/>
        <w:gridCol w:w="287"/>
      </w:tblGrid>
      <w:tr>
        <w:trPr/>
        <w:tc>
          <w:tcPr>
            <w:tcW w:w="101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w:t>
            </w:r>
          </w:p>
        </w:tc>
        <w:tc>
          <w:tcPr>
            <w:tcW w:w="1125"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Right-of-Use Asset</w:t>
            </w:r>
          </w:p>
        </w:tc>
        <w:tc>
          <w:tcPr>
            <w:tcW w:w="302"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56"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308 </w:t>
            </w:r>
          </w:p>
        </w:tc>
        <w:tc>
          <w:tcPr>
            <w:tcW w:w="287"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12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969"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56"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287"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3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the weighted average remaining lease term for our operating lease was 1.25 years, and the weighted average discount rate for our operating lease was 9.625%. As of December 31, 2023, the weighted average remaining lease term for our operating leases was 1.75 years, and the weighted average discount rate for our operating leases was 9.625%.</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under the lease agreement as of June 30, 2024 were as follows (in thousands):</w:t>
      </w:r>
    </w:p>
    <w:tbl>
      <w:tblPr>
        <w:tblW w:w="4500" w:type="dxa"/>
        <w:jc w:val="center"/>
        <w:tblInd w:w="0" w:type="dxa"/>
        <w:tblLayout w:type="fixed"/>
        <w:tblCellMar>
          <w:top w:w="28" w:type="dxa"/>
          <w:left w:w="28" w:type="dxa"/>
          <w:bottom w:w="28" w:type="dxa"/>
          <w:right w:w="28" w:type="dxa"/>
        </w:tblCellMar>
      </w:tblPr>
      <w:tblGrid>
        <w:gridCol w:w="1091"/>
        <w:gridCol w:w="958"/>
        <w:gridCol w:w="966"/>
        <w:gridCol w:w="376"/>
        <w:gridCol w:w="833"/>
        <w:gridCol w:w="276"/>
      </w:tblGrid>
      <w:tr>
        <w:trPr/>
        <w:tc>
          <w:tcPr>
            <w:tcW w:w="1091"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Years ended</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Operating Leases</w:t>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209"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276"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1209"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276"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Amounts representing interest</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376"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276"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9 – Stockholders' Equity</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Equity Issuances</w:t>
      </w:r>
    </w:p>
    <w:p>
      <w:pPr>
        <w:pStyle w:val="TextBody"/>
        <w:bidi w:val="0"/>
        <w:spacing w:lineRule="auto" w:line="288" w:before="0" w:after="16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At The Market Offering Agreement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4, 2021, the Company entered into an At The Market Offering Agreement (the “ATM Agreement”) with H.C. Wainwright &amp; Co., LLC, as sales agent, in connection with an “at the market offering” under which the Company from time to time may offer and sell shares of its common stock, having an aggregate offering price of up to $50.0 million. As of the date of this filing and so long as the Company’s public float remains below $75.0 million, the Company is subject to limitations pursuant to General Instruction I.B.6 of Form S-3 (the “Baby Shelf Limitation”), which limits the amount the Company can offer to up to one-third of its public float during any trailing 12-month period. Subsequent to the filing of the Company's Registration Statement on Form S-3 (File No. 333-279034) on May 1, 2024, the aggregate market value of its outstanding common stock held by non-affiliates was approximately $26.7 million. Pursuant to the Baby Shelf Limitation, since the aggregate market value of the Company's outstanding common stock held by non-affiliates was below $75.0 million at the time of such S-3 filing, the aggregate amount of securities that the Company is permitted to offer and sell is now $8,915,094, which is equal to one-third of the aggregate market value of our common stock held by non-affiliates as of March 21, 2024. If the Company’s public float exceeds $75.0 million on a future measurement date, it will no longer be subject to the Baby Shelf Limitation. There were no issuances of common stock under the ATM Agreement for the three and six months ended June 30, 2024. Since inception, the Company has issued 64,394 shares of common stock under the ATM Agreement for net proceeds of $270,774. </w:t>
      </w:r>
    </w:p>
    <w:p>
      <w:pPr>
        <w:pStyle w:val="TextBody"/>
        <w:bidi w:val="0"/>
        <w:spacing w:before="0" w:after="160"/>
        <w:ind w:left="0" w:right="0" w:firstLine="360"/>
        <w:jc w:val="both"/>
        <w:rPr/>
      </w:pPr>
      <w:r>
        <w:rPr/>
      </w:r>
    </w:p>
    <w:p>
      <w:pPr>
        <w:pStyle w:val="TextBody"/>
        <w:bidi w:val="0"/>
        <w:spacing w:before="0" w:after="160"/>
        <w:ind w:left="0" w:right="0" w:firstLine="360"/>
        <w:jc w:val="both"/>
        <w:rPr/>
      </w:pPr>
      <w:r>
        <w:rPr/>
      </w:r>
    </w:p>
    <w:p>
      <w:pPr>
        <w:pStyle w:val="TextBody"/>
        <w:bidi w:val="0"/>
        <w:spacing w:before="0" w:after="160"/>
        <w:ind w:left="0" w:right="0" w:firstLine="360"/>
        <w:jc w:val="both"/>
        <w:rPr/>
      </w:pPr>
      <w:r>
        <w:rPr/>
      </w:r>
    </w:p>
    <w:p>
      <w:pPr>
        <w:pStyle w:val="TextBody"/>
        <w:bidi w:val="0"/>
        <w:spacing w:before="0" w:after="160"/>
        <w:ind w:left="0" w:right="0" w:firstLine="360"/>
        <w:jc w:val="both"/>
        <w:rPr/>
      </w:pPr>
      <w:r>
        <w:rPr/>
      </w:r>
    </w:p>
    <w:p>
      <w:pPr>
        <w:pStyle w:val="TextBody"/>
        <w:bidi w:val="0"/>
        <w:spacing w:before="0" w:after="16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19 </w:t>
                      </w:r>
                    </w:p>
                  </w:txbxContent>
                </v:textbox>
                <w10:wrap type="none"/>
              </v:rect>
            </w:pict>
          </mc:Fallback>
        </mc:AlternateContent>
      </w:r>
    </w:p>
    <w:p>
      <w:pPr>
        <w:pStyle w:val="TextBody"/>
        <w:bidi w:val="0"/>
        <w:spacing w:lineRule="auto" w:line="288" w:before="0" w:after="0"/>
        <w:jc w:val="left"/>
        <w:rPr/>
      </w:pPr>
      <w:hyperlink w:anchor="i7bbfdc1bacb84fd0b83109c9a78b2c53_7">
        <w:r>
          <w:rPr>
            <w:rStyle w:val="InternetLink"/>
            <w:rFonts w:ascii="Times New Roman;sans-serif" w:hAnsi="Times New Roman;sans-serif"/>
            <w:b w:val="false"/>
            <w:color w:val="0000FF"/>
            <w:sz w:val="16"/>
            <w:u w:val="single"/>
          </w:rPr>
          <w:t>Index</w:t>
        </w:r>
      </w:hyperlink>
    </w:p>
    <w:p>
      <w:pPr>
        <w:pStyle w:val="TextBody"/>
        <w:bidi w:val="0"/>
        <w:spacing w:before="0" w:after="160"/>
        <w:ind w:left="0" w:right="0" w:firstLine="36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Stock Options and Warrants</w:t>
      </w:r>
    </w:p>
    <w:p>
      <w:pPr>
        <w:pStyle w:val="TextBody"/>
        <w:bidi w:val="0"/>
        <w:spacing w:before="0" w:after="0"/>
        <w:jc w:val="left"/>
        <w:rPr/>
      </w:pPr>
      <w:r>
        <w:rPr/>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for stock options and warrants for the six months ended June 30, 2024:</w:t>
      </w:r>
    </w:p>
    <w:tbl>
      <w:tblPr>
        <w:tblW w:w="10596" w:type="dxa"/>
        <w:jc w:val="center"/>
        <w:tblInd w:w="0" w:type="dxa"/>
        <w:tblLayout w:type="fixed"/>
        <w:tblCellMar>
          <w:top w:w="28" w:type="dxa"/>
          <w:left w:w="28" w:type="dxa"/>
          <w:bottom w:w="28" w:type="dxa"/>
          <w:right w:w="28" w:type="dxa"/>
        </w:tblCellMar>
      </w:tblPr>
      <w:tblGrid>
        <w:gridCol w:w="348"/>
        <w:gridCol w:w="306"/>
        <w:gridCol w:w="307"/>
        <w:gridCol w:w="109"/>
        <w:gridCol w:w="109"/>
        <w:gridCol w:w="109"/>
        <w:gridCol w:w="435"/>
        <w:gridCol w:w="436"/>
        <w:gridCol w:w="161"/>
        <w:gridCol w:w="109"/>
        <w:gridCol w:w="109"/>
        <w:gridCol w:w="109"/>
        <w:gridCol w:w="225"/>
        <w:gridCol w:w="556"/>
        <w:gridCol w:w="109"/>
        <w:gridCol w:w="109"/>
        <w:gridCol w:w="109"/>
        <w:gridCol w:w="109"/>
        <w:gridCol w:w="260"/>
        <w:gridCol w:w="260"/>
        <w:gridCol w:w="261"/>
        <w:gridCol w:w="109"/>
        <w:gridCol w:w="109"/>
        <w:gridCol w:w="109"/>
        <w:gridCol w:w="196"/>
        <w:gridCol w:w="556"/>
        <w:gridCol w:w="109"/>
        <w:gridCol w:w="109"/>
        <w:gridCol w:w="109"/>
        <w:gridCol w:w="109"/>
        <w:gridCol w:w="435"/>
        <w:gridCol w:w="436"/>
        <w:gridCol w:w="161"/>
        <w:gridCol w:w="109"/>
        <w:gridCol w:w="109"/>
        <w:gridCol w:w="109"/>
        <w:gridCol w:w="196"/>
        <w:gridCol w:w="556"/>
        <w:gridCol w:w="109"/>
        <w:gridCol w:w="109"/>
        <w:gridCol w:w="109"/>
        <w:gridCol w:w="109"/>
        <w:gridCol w:w="260"/>
        <w:gridCol w:w="260"/>
        <w:gridCol w:w="261"/>
        <w:gridCol w:w="109"/>
        <w:gridCol w:w="109"/>
        <w:gridCol w:w="109"/>
        <w:gridCol w:w="202"/>
        <w:gridCol w:w="419"/>
        <w:gridCol w:w="160"/>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Warrants</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Weighted 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Weighted Average Remaining Contractual Term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Aggregate Intrinsic Value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Weighted 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Weighted Average Remaining Contractual Term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Aggregate Intrinsic Value (In Thousands)</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Outstanding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1,322,501 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1,421,744 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132,575 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Outstanding at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1,453,913 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1,421,744 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Vested at June 30, 2024</w:t>
              <w:br/>
              <w:t>or expected to vest in the future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1,445,256 </w:t>
            </w:r>
          </w:p>
        </w:tc>
        <w:tc>
          <w:tcPr>
            <w:tcW w:w="16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1,421,744 </w:t>
            </w:r>
          </w:p>
        </w:tc>
        <w:tc>
          <w:tcPr>
            <w:tcW w:w="16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Vested at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1,286,121 </w:t>
            </w:r>
          </w:p>
        </w:tc>
        <w:tc>
          <w:tcPr>
            <w:tcW w:w="16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1,421,744 </w:t>
            </w:r>
          </w:p>
        </w:tc>
        <w:tc>
          <w:tcPr>
            <w:tcW w:w="16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1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ind w:left="0" w:right="0" w:firstLine="360"/>
        <w:jc w:val="both"/>
        <w:rPr/>
      </w:pPr>
      <w:r>
        <w:rPr/>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Restricted Stock</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2024 and 2023, the Company issued restricted stock for services as follows (in thousands, except share data):</w:t>
      </w:r>
    </w:p>
    <w:tbl>
      <w:tblPr>
        <w:tblW w:w="5110" w:type="dxa"/>
        <w:jc w:val="center"/>
        <w:tblInd w:w="0" w:type="dxa"/>
        <w:tblLayout w:type="fixed"/>
        <w:tblCellMar>
          <w:top w:w="28" w:type="dxa"/>
          <w:left w:w="28" w:type="dxa"/>
          <w:bottom w:w="28" w:type="dxa"/>
          <w:right w:w="28" w:type="dxa"/>
        </w:tblCellMar>
      </w:tblPr>
      <w:tblGrid>
        <w:gridCol w:w="906"/>
        <w:gridCol w:w="798"/>
        <w:gridCol w:w="801"/>
        <w:gridCol w:w="109"/>
        <w:gridCol w:w="109"/>
        <w:gridCol w:w="109"/>
        <w:gridCol w:w="245"/>
        <w:gridCol w:w="526"/>
        <w:gridCol w:w="136"/>
        <w:gridCol w:w="136"/>
        <w:gridCol w:w="136"/>
        <w:gridCol w:w="136"/>
        <w:gridCol w:w="245"/>
        <w:gridCol w:w="526"/>
        <w:gridCol w:w="192"/>
      </w:tblGrid>
      <w:tr>
        <w:trPr/>
        <w:tc>
          <w:tcPr>
            <w:tcW w:w="90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Number of restricted stock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203,800 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159,950 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Value of restricted stock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628 </w:t>
            </w:r>
          </w:p>
        </w:tc>
        <w:tc>
          <w:tcPr>
            <w:tcW w:w="1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480 </w:t>
            </w:r>
          </w:p>
        </w:tc>
        <w:tc>
          <w:tcPr>
            <w:tcW w:w="19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vesting terms of restricted stock issuances are generally between one and four years.</w:t>
      </w:r>
    </w:p>
    <w:p>
      <w:pPr>
        <w:pStyle w:val="TextBody"/>
        <w:bidi w:val="0"/>
        <w:spacing w:before="0" w:after="160"/>
        <w:ind w:left="0" w:right="0" w:firstLine="360"/>
        <w:jc w:val="both"/>
        <w:rPr/>
      </w:pPr>
      <w:r>
        <w:rPr/>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changes in non-vested restricted stock for the six months ended June 30, 2024:</w:t>
      </w:r>
    </w:p>
    <w:tbl>
      <w:tblPr>
        <w:tblW w:w="7556" w:type="dxa"/>
        <w:jc w:val="center"/>
        <w:tblInd w:w="0" w:type="dxa"/>
        <w:tblLayout w:type="fixed"/>
        <w:tblCellMar>
          <w:top w:w="28" w:type="dxa"/>
          <w:left w:w="28" w:type="dxa"/>
          <w:bottom w:w="28" w:type="dxa"/>
          <w:right w:w="28" w:type="dxa"/>
        </w:tblCellMar>
      </w:tblPr>
      <w:tblGrid>
        <w:gridCol w:w="908"/>
        <w:gridCol w:w="796"/>
        <w:gridCol w:w="801"/>
        <w:gridCol w:w="569"/>
        <w:gridCol w:w="569"/>
        <w:gridCol w:w="571"/>
        <w:gridCol w:w="109"/>
        <w:gridCol w:w="109"/>
        <w:gridCol w:w="109"/>
        <w:gridCol w:w="724"/>
        <w:gridCol w:w="1722"/>
        <w:gridCol w:w="569"/>
      </w:tblGrid>
      <w:tr>
        <w:trPr/>
        <w:tc>
          <w:tcPr>
            <w:tcW w:w="90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Restricted Stock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Weighted Average Grant-Date Fair Value</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Non-vested at December 31, 2023</w:t>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125,775 </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5.86 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during the Year:</w:t>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Granted</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203,800 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Vested</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(99,686)</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Forfeited</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Non-vested at June 30, 2024</w:t>
            </w:r>
          </w:p>
        </w:tc>
        <w:tc>
          <w:tcPr>
            <w:tcW w:w="11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229,889 </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3.67 </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ind w:left="0" w:right="0" w:firstLine="3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20 </w:t>
                      </w:r>
                    </w:p>
                  </w:txbxContent>
                </v:textbox>
                <w10:wrap type="none"/>
              </v:rect>
            </w:pict>
          </mc:Fallback>
        </mc:AlternateContent>
      </w:r>
    </w:p>
    <w:p>
      <w:pPr>
        <w:pStyle w:val="TextBody"/>
        <w:bidi w:val="0"/>
        <w:spacing w:lineRule="auto" w:line="288" w:before="0" w:after="0"/>
        <w:jc w:val="left"/>
        <w:rPr/>
      </w:pPr>
      <w:hyperlink w:anchor="i7bbfdc1bacb84fd0b83109c9a78b2c53_7">
        <w:r>
          <w:rPr>
            <w:rStyle w:val="InternetLink"/>
            <w:rFonts w:ascii="Times New Roman;sans-serif" w:hAnsi="Times New Roman;sans-serif"/>
            <w:b w:val="false"/>
            <w:color w:val="0000FF"/>
            <w:sz w:val="16"/>
            <w:u w:val="single"/>
          </w:rPr>
          <w:t>Index</w:t>
        </w:r>
      </w:hyperlink>
    </w:p>
    <w:p>
      <w:pPr>
        <w:pStyle w:val="TextBody"/>
        <w:bidi w:val="0"/>
        <w:spacing w:before="0" w:after="160"/>
        <w:jc w:val="both"/>
        <w:rPr/>
      </w:pPr>
      <w:r>
        <w:rPr/>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2024 and 2023, the Company issued restricted stock units for services as follows (in thousands, except share data):</w:t>
      </w:r>
    </w:p>
    <w:tbl>
      <w:tblPr>
        <w:tblW w:w="5173" w:type="dxa"/>
        <w:jc w:val="center"/>
        <w:tblInd w:w="0" w:type="dxa"/>
        <w:tblLayout w:type="fixed"/>
        <w:tblCellMar>
          <w:top w:w="28" w:type="dxa"/>
          <w:left w:w="28" w:type="dxa"/>
          <w:bottom w:w="28" w:type="dxa"/>
          <w:right w:w="28" w:type="dxa"/>
        </w:tblCellMar>
      </w:tblPr>
      <w:tblGrid>
        <w:gridCol w:w="1047"/>
        <w:gridCol w:w="922"/>
        <w:gridCol w:w="926"/>
        <w:gridCol w:w="245"/>
        <w:gridCol w:w="526"/>
        <w:gridCol w:w="136"/>
        <w:gridCol w:w="136"/>
        <w:gridCol w:w="136"/>
        <w:gridCol w:w="136"/>
        <w:gridCol w:w="245"/>
        <w:gridCol w:w="526"/>
        <w:gridCol w:w="192"/>
      </w:tblGrid>
      <w:tr>
        <w:trPr/>
        <w:tc>
          <w:tcPr>
            <w:tcW w:w="104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Number of restricted stock units issued</w:t>
            </w:r>
          </w:p>
        </w:tc>
        <w:tc>
          <w:tcPr>
            <w:tcW w:w="7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205,300 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188,850 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Value of restricted stock units issued </w:t>
            </w:r>
          </w:p>
        </w:tc>
        <w:tc>
          <w:tcPr>
            <w:tcW w:w="24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632 </w:t>
            </w:r>
          </w:p>
        </w:tc>
        <w:tc>
          <w:tcPr>
            <w:tcW w:w="1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567 </w:t>
            </w:r>
          </w:p>
        </w:tc>
        <w:tc>
          <w:tcPr>
            <w:tcW w:w="19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weighted average estimated fair value of restricted stock units issued for services in the six months ended June 30, 2024 and 2023 was $3.08 and $3.00 per share, respectively. The fair value of the restricted stock units was determined using the Company’s closing stock price on the date of issuance. The vesting terms of restricted stock unit issuances are generally one year, or upon the achievement of performance-based milestones.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changes in non-vested restricted stock units for the six months ended June 30, 2024:</w:t>
      </w:r>
    </w:p>
    <w:tbl>
      <w:tblPr>
        <w:tblW w:w="7466" w:type="dxa"/>
        <w:jc w:val="center"/>
        <w:tblInd w:w="0" w:type="dxa"/>
        <w:tblLayout w:type="fixed"/>
        <w:tblCellMar>
          <w:top w:w="28" w:type="dxa"/>
          <w:left w:w="28" w:type="dxa"/>
          <w:bottom w:w="28" w:type="dxa"/>
          <w:right w:w="28" w:type="dxa"/>
        </w:tblCellMar>
      </w:tblPr>
      <w:tblGrid>
        <w:gridCol w:w="908"/>
        <w:gridCol w:w="796"/>
        <w:gridCol w:w="801"/>
        <w:gridCol w:w="539"/>
        <w:gridCol w:w="539"/>
        <w:gridCol w:w="541"/>
        <w:gridCol w:w="109"/>
        <w:gridCol w:w="109"/>
        <w:gridCol w:w="109"/>
        <w:gridCol w:w="724"/>
        <w:gridCol w:w="1722"/>
        <w:gridCol w:w="569"/>
      </w:tblGrid>
      <w:tr>
        <w:trPr/>
        <w:tc>
          <w:tcPr>
            <w:tcW w:w="90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Weighted Average Grant-Date Fair Value</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Non-vested at December 31, 2023</w:t>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112,800 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during the Year:</w:t>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Granted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205,300 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Vested</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Forfeited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Non-vested at June 30, 2024</w:t>
            </w:r>
          </w:p>
        </w:tc>
        <w:tc>
          <w:tcPr>
            <w:tcW w:w="10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218,100 </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3.27 </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10 – Share-Based Compensation</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Share-Based Compensation</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utilizes share-based compensation in the form of stock options, restricted stock, and restricted stock units. The following table summarizes the components of share-based compensation expense for the three and six months ended June 30, 2024 and 2023 (in thousands):</w:t>
      </w:r>
    </w:p>
    <w:tbl>
      <w:tblPr>
        <w:tblW w:w="8576" w:type="dxa"/>
        <w:jc w:val="center"/>
        <w:tblInd w:w="0" w:type="dxa"/>
        <w:tblLayout w:type="fixed"/>
        <w:tblCellMar>
          <w:top w:w="28" w:type="dxa"/>
          <w:left w:w="28" w:type="dxa"/>
          <w:bottom w:w="28" w:type="dxa"/>
          <w:right w:w="28" w:type="dxa"/>
        </w:tblCellMar>
      </w:tblPr>
      <w:tblGrid>
        <w:gridCol w:w="1245"/>
        <w:gridCol w:w="1092"/>
        <w:gridCol w:w="1098"/>
        <w:gridCol w:w="251"/>
        <w:gridCol w:w="556"/>
        <w:gridCol w:w="130"/>
        <w:gridCol w:w="130"/>
        <w:gridCol w:w="130"/>
        <w:gridCol w:w="130"/>
        <w:gridCol w:w="251"/>
        <w:gridCol w:w="556"/>
        <w:gridCol w:w="130"/>
        <w:gridCol w:w="109"/>
        <w:gridCol w:w="109"/>
        <w:gridCol w:w="109"/>
        <w:gridCol w:w="213"/>
        <w:gridCol w:w="471"/>
        <w:gridCol w:w="110"/>
        <w:gridCol w:w="110"/>
        <w:gridCol w:w="110"/>
        <w:gridCol w:w="110"/>
        <w:gridCol w:w="213"/>
        <w:gridCol w:w="622"/>
        <w:gridCol w:w="110"/>
        <w:gridCol w:w="109"/>
        <w:gridCol w:w="109"/>
        <w:gridCol w:w="109"/>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compensation cost related to unvested awards not yet recognized and the weighted-average periods over which the awards were expected to be recognized at June 30, 2024 were as follows (in thousands):</w:t>
      </w:r>
    </w:p>
    <w:tbl>
      <w:tblPr>
        <w:tblW w:w="10205" w:type="dxa"/>
        <w:jc w:val="center"/>
        <w:tblInd w:w="0" w:type="dxa"/>
        <w:tblLayout w:type="fixed"/>
        <w:tblCellMar>
          <w:top w:w="28" w:type="dxa"/>
          <w:left w:w="28" w:type="dxa"/>
          <w:bottom w:w="28" w:type="dxa"/>
          <w:right w:w="28" w:type="dxa"/>
        </w:tblCellMar>
      </w:tblPr>
      <w:tblGrid>
        <w:gridCol w:w="2111"/>
        <w:gridCol w:w="1799"/>
        <w:gridCol w:w="1807"/>
        <w:gridCol w:w="283"/>
        <w:gridCol w:w="626"/>
        <w:gridCol w:w="146"/>
        <w:gridCol w:w="109"/>
        <w:gridCol w:w="109"/>
        <w:gridCol w:w="109"/>
        <w:gridCol w:w="409"/>
        <w:gridCol w:w="908"/>
        <w:gridCol w:w="215"/>
        <w:gridCol w:w="109"/>
        <w:gridCol w:w="109"/>
        <w:gridCol w:w="109"/>
        <w:gridCol w:w="314"/>
        <w:gridCol w:w="695"/>
        <w:gridCol w:w="238"/>
      </w:tblGrid>
      <w:tr>
        <w:trPr/>
        <w:tc>
          <w:tcPr>
            <w:tcW w:w="2111"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5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Restricted Stock</w:t>
            </w:r>
          </w:p>
        </w:tc>
      </w:tr>
      <w:tr>
        <w:trPr/>
        <w:tc>
          <w:tcPr>
            <w:tcW w:w="57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compensation cost</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weighted-average period in years of compensation cost to be recognized</w:t>
            </w:r>
          </w:p>
        </w:tc>
        <w:tc>
          <w:tcPr>
            <w:tcW w:w="10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r>
    </w:tbl>
    <w:p>
      <w:pPr>
        <w:pStyle w:val="TextBody"/>
        <w:bidi w:val="0"/>
        <w:spacing w:before="0" w:after="0"/>
        <w:jc w:val="center"/>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21 </w:t>
                      </w:r>
                    </w:p>
                  </w:txbxContent>
                </v:textbox>
                <w10:wrap type="none"/>
              </v:rect>
            </w:pict>
          </mc:Fallback>
        </mc:AlternateContent>
      </w:r>
    </w:p>
    <w:p>
      <w:pPr>
        <w:pStyle w:val="TextBody"/>
        <w:bidi w:val="0"/>
        <w:spacing w:lineRule="auto" w:line="288" w:before="0" w:after="0"/>
        <w:jc w:val="left"/>
        <w:rPr/>
      </w:pPr>
      <w:hyperlink w:anchor="i7bbfdc1bacb84fd0b83109c9a78b2c53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fair value of shares vested and the weighted average estimated fair values of shares granted for the six months ended June 30, 2024 and 2023 were as follows (in thousands):</w:t>
      </w:r>
    </w:p>
    <w:tbl>
      <w:tblPr>
        <w:tblW w:w="7182" w:type="dxa"/>
        <w:jc w:val="center"/>
        <w:tblInd w:w="0" w:type="dxa"/>
        <w:tblLayout w:type="fixed"/>
        <w:tblCellMar>
          <w:top w:w="28" w:type="dxa"/>
          <w:left w:w="28" w:type="dxa"/>
          <w:bottom w:w="28" w:type="dxa"/>
          <w:right w:w="28" w:type="dxa"/>
        </w:tblCellMar>
      </w:tblPr>
      <w:tblGrid>
        <w:gridCol w:w="1678"/>
        <w:gridCol w:w="1471"/>
        <w:gridCol w:w="1485"/>
        <w:gridCol w:w="219"/>
        <w:gridCol w:w="532"/>
        <w:gridCol w:w="113"/>
        <w:gridCol w:w="113"/>
        <w:gridCol w:w="113"/>
        <w:gridCol w:w="113"/>
        <w:gridCol w:w="219"/>
        <w:gridCol w:w="532"/>
        <w:gridCol w:w="113"/>
        <w:gridCol w:w="109"/>
        <w:gridCol w:w="109"/>
        <w:gridCol w:w="109"/>
        <w:gridCol w:w="154"/>
      </w:tblGrid>
      <w:tr>
        <w:trPr/>
        <w:tc>
          <w:tcPr>
            <w:tcW w:w="1678"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 of shares vested</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estimated fair value of shares granted</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pStyle w:val="TextBody"/>
        <w:bidi w:val="0"/>
        <w:spacing w:lineRule="auto" w:line="288" w:before="0" w:after="160"/>
        <w:jc w:val="left"/>
        <w:rPr>
          <w:rFonts w:ascii="Times New Roman;sans-serif" w:hAnsi="Times New Roman;sans-serif"/>
          <w:b/>
          <w:i/>
          <w:color w:val="000000"/>
          <w:sz w:val="20"/>
        </w:rPr>
      </w:pPr>
      <w:r>
        <w:rPr>
          <w:rFonts w:ascii="Times New Roman;sans-serif" w:hAnsi="Times New Roman;sans-serif"/>
          <w:b/>
          <w:i/>
          <w:color w:val="000000"/>
          <w:sz w:val="20"/>
        </w:rPr>
        <w:t>Valuation Assumptions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stock options at the date of grant was estimated using the Black-Scholes option pricing model. The expected volatility is based upon historical volatility of the Company’s stock. The expected term for the options is based upon observation of actual time elapsed between date of grant and exercise of options for all employees. The expected term for the warrants is based upon the contractual term of the warrants.</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11 – Income Taxes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assessing the realizability of deferred tax assets, including the net operating loss carryforwards (NOLs), the Company assesses the available positive and negative evidence to estimate if sufficient future taxable income will be generated to utilize its existing deferred tax assets. Based on its assessment, the Company has provided a full valuation allowance against its net deferred tax assets as their future utilization remains uncertain at this time.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and 2022, the Company had approximately $43.7 million and $33.7 million respectively, of Federal NOLs available to offset future taxable income expiring from 2030 through 2036. The Company performed an analysis and determined that they had an ownership change of greater than 50% on September 15, 2022. As a result of the ownership change, $88.2 million of Federal NOLs will expire unutilized. The Company wrote off that portion of the deferred tax asset and reduced the corresponding valuation allowance resulting in approximately $34.0 million of remaining Federal NOLs as of December 31, 2022. The write off of the deferred tax asset and the corresponding reduction in valuation allowance has no impact to the balance sheet or income statement. Losses incurred before the ownership change on September 15, 2022 will be subject to an annual limitation of zero while losses incurred after September 15, 2022 will not be subject to limitations.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Cend Therapeutics, Inc. (“Cend”) had approximately $3.6 million of Federal NOLs available to offset future taxable income. The Company performed an analysis and determined that there was an ownership change of greater than 50% on September 15, 2022. As of September 15, 2022 Cend has approximately $3.1 million of Federal and $4.3 million of state NOLs. The state NOLs will expire from the 2036 through 2042 tax years. Using a fair market value of $36.1 million and applying an applicable federal rate of 2.54% Cend will have an annual limitation of approximately $917 thousand each year. The Federal NOL of $459 thousand incurred in the post-acquisition period September 15, 2022 to December 31, 2022 is not subject to limitation and does not expire. As of December 31, 2023 and 2022, Cend’s wholly owned Australian subsidiary had approximately $2.4 million and $1.8 million, respectively, of NOLs which will be carried forward and do not expire. There is a full valuation allowance against the NOLs.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federal research and development credit carryforwards of $0.5 million expiring from 2027 through 2034 if unutilized, and state research and development credit carryforwards of $0.1 million, which carryforward indefinitely. Utilization of these credits may be subject to an annual limitation based on changes in ownership.</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and 2022, the Company had State NOLs available in New Jersey of $19.4 million and $35.5 million, respectively, California of $9.2 million and $9.2 million, respectively, and New York City of $1.9 million and $1.9 million, respectively, to offset future taxable income expiring from 2032 through 2043. The usage of the Company’s NOLs is limited given the change in ownership.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applies the Financial Accounting Standards Board provisions for uncertain tax positions. The Company utilizes the two-step process to determine the amount of recognized tax benefit. For tax positions meeting the more-likely-than-not threshold, the amount recognized in the consolidated financial statements is the largest benefit that has a greater than 50% likelihood of being realized upon ultimate settlement with the relevant taxing authority. The Company recognizes interest and penalties associated with certain tax positions as a component of income tax expense.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and 2022, the Company’s uncertain tax positions were $344 thousand and $344 thousand, respectively. The uncertain tax positions are due to the acquisition of Cend related to Federal and state credits and certain state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22 </w:t>
                      </w:r>
                    </w:p>
                  </w:txbxContent>
                </v:textbox>
                <w10:wrap type="none"/>
              </v:rect>
            </w:pict>
          </mc:Fallback>
        </mc:AlternateContent>
      </w:r>
    </w:p>
    <w:p>
      <w:pPr>
        <w:pStyle w:val="TextBody"/>
        <w:bidi w:val="0"/>
        <w:spacing w:lineRule="auto" w:line="288" w:before="0" w:after="0"/>
        <w:jc w:val="left"/>
        <w:rPr/>
      </w:pPr>
      <w:hyperlink w:anchor="i7bbfdc1bacb84fd0b83109c9a78b2c53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NOLs. The Company will continue to evaluate its uncertain tax positions in future periods. The Company does not believe there will be any material changes in its unrecognized tax positions over the next year.</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years prior to 2020, the federal statute of limitations is closed for assessing tax. The Company’s state tax returns remain open to examination for a period of three to four years from the date of the tax return filing.</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4, 2024, the Company received final approval from the New Jersey Economic Development Authority (“NJEDA”) under the Technology Business Tax Certificate Transfer Program (“Program”) to sell $8.9 million of its New Jersey net operating losses (“NJ NOLs”), which were subsequently sold to a qualifying and approved buyer pursuant to the Program for net proceeds of $0.7 million. The sale of NJ NOLs resulted in a $0.8 million deferred income tax benefit and a loss on sale of $0.1 million recorded in other income (expense) in the consolidated financial statements.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16, 2022, the Inflation Reduction Act was signed into law. The Inflation Reduction Act includes various tax provisions, which are effective for tax years beginning on or after January 1, 2023. For tax years beginning after December 31, 2021, the Tax Cuts &amp; Jobs Act of 2017 eliminated the option to deduct research and development expenditures as incurred and instead required taxpayers to capitalize and amortize them over five or 15 years beginning in 2022. Since the Company is in a net operating loss position, the capitalization of research and development costs did not have a material impact on the Company’s results of operations for the year ended December 31, 2023. The Company will continue to monitor the possible future impact of changes in tax legislation. </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Note 12 – Australia Research and Development Tax Incentive</w:t>
      </w:r>
    </w:p>
    <w:p>
      <w:pPr>
        <w:pStyle w:val="TextBody"/>
        <w:bidi w:val="0"/>
        <w:spacing w:before="0" w:after="0"/>
        <w:jc w:val="left"/>
        <w:rPr/>
      </w:pPr>
      <w:r>
        <w:rPr/>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Australian subsidiary, which conducts core research and development activities, is eligible to receive a refundable tax incentive between 43.5% to 48.5% (depending upon the income tax rate) for qualified research and development activities. As of June 30, 2024 and December 31, 2023, the Company had $1.0 million and $1.0 million, respectively, recorded as an income tax incentive receivable in prepaid and other current assets in the consolidated balance sheets, as the Company determined that the expenses met the eligibility criteria and the amounts claimed are expected to be received shortly after the related tax returns are filed. On July 26, 2024, the Company's Australian subsidiary received a $0.9 million tax refund from the Australian Taxation Office related to the 2023 tax year.</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Note 13 – Contingencies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Contingencies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subject to legal proceedings and claims, either asserted or unasserted, that arise in the ordinary course of business. While the outcome of pending claims cannot be predicted with certainty, the Company does not believe that the outcome of any pending claims will have a material adverse effect on the Company's financial condition or operating results. The Company has elected to recognize expense for legal fees as incurred when the legal services are provided.</w:t>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May 2021, Cend received a written threat of litigation on behalf of a Chinese entity called Lingmed Limited (“Lingmed”) claiming Lingmed was entitled to a success fee based on Cend’s Collaboration and License Agreement with Qilu Pharmaceuticals. Cend responded by denying that Lingmed is entitled to a success fee under the terms of their agreement. In May 2022, Cend was served with a complaint filed by Lingmed in the San Diego County Superior Court, alleging claims for breach of contract, fraud and declaratory relief. Cend’s response to the complaint was filed on June 6, 2022 and denied all of Lingmed’s material allegations. Lingmed filed an answer to Cend’s response on July 11, 2022, denying all of the Company’s material allegations. On March 25, 2024 the Company entered into a settlement agreement whereby the Company was required to pay Lingmed $0.5 million within 30 days of the effective date and the Company effected payment on April 4, 2024. Lingmed is also entitled to 5.0% of any future milestone payments received by the Company under the license agreement with Qilu in addition to a sum of $250 thousand with respect to the first future milestone received by the Company. On April 9, 2024, pursuant to the parties’ joint request, the Court entered a dismissal with prejudice of the entire action as to all parties and all claims and the matter was settled.</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Note 14 – Technology Transfer Agreement</w:t>
      </w:r>
    </w:p>
    <w:p>
      <w:pPr>
        <w:pStyle w:val="TextBody"/>
        <w:bidi w:val="0"/>
        <w:spacing w:lineRule="auto" w:line="276" w:before="0" w:after="160"/>
        <w:jc w:val="both"/>
        <w:rPr>
          <w:rFonts w:ascii="Times New Roman;sans-serif" w:hAnsi="Times New Roman;sans-serif"/>
          <w:b/>
          <w:i/>
          <w:color w:val="000000"/>
          <w:sz w:val="20"/>
        </w:rPr>
      </w:pPr>
      <w:r>
        <w:rPr>
          <w:rFonts w:ascii="Times New Roman;sans-serif" w:hAnsi="Times New Roman;sans-serif"/>
          <w:b/>
          <w:i/>
          <w:color w:val="000000"/>
          <w:sz w:val="20"/>
        </w:rPr>
        <w:t xml:space="preserve">Impilo Therapeutics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2023, the Company entered into a technology transfer agreement with Impilo Therapeutics (“Impilo”) under which the Company transferred its rights to its tumor penetrating nanocomplex (TPN) platform to Impilo. As consideration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23 </w:t>
                      </w:r>
                    </w:p>
                  </w:txbxContent>
                </v:textbox>
                <w10:wrap type="none"/>
              </v:rect>
            </w:pict>
          </mc:Fallback>
        </mc:AlternateContent>
      </w:r>
    </w:p>
    <w:p>
      <w:pPr>
        <w:pStyle w:val="TextBody"/>
        <w:bidi w:val="0"/>
        <w:spacing w:lineRule="auto" w:line="288" w:before="0" w:after="0"/>
        <w:jc w:val="left"/>
        <w:rPr/>
      </w:pPr>
      <w:hyperlink w:anchor="i7bbfdc1bacb84fd0b83109c9a78b2c53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technology transfer, Impilo issued a total of 766,000 shares of its pre-seed preferred stock to the Company. On October 3, 2023 in connection with the Sanford Burnham Prebys license agreement (Note 15) Impilo cancelled the original stock certificate for 766,000 shares and reissued 574,500 shares of its pre-seed preferred stock to the Company.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15, 2024, the Company purchased a Simple Agreement for Future Equity ("SAFE") from Impilo for $100,000. As of June 30, 2024 and December 31, 2023 the Company owned 38.6% of Impilo. This investment was expensed under the equity method of accounting for the six months ended June 30, 2024 in other expense, net in the accompanying statement of operations. The SAFE has a valuation cap of $30.0 million and an 80% discount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p>
    <w:p>
      <w:pPr>
        <w:pStyle w:val="TextBody"/>
        <w:bidi w:val="0"/>
        <w:spacing w:lineRule="auto" w:line="288" w:before="0" w:after="160"/>
        <w:jc w:val="left"/>
        <w:rPr>
          <w:rFonts w:ascii="Times New Roman;sans-serif" w:hAnsi="Times New Roman;sans-serif"/>
          <w:b/>
          <w:color w:val="000000"/>
          <w:sz w:val="20"/>
          <w:u w:val="single"/>
        </w:rPr>
      </w:pPr>
      <w:r>
        <w:rPr>
          <w:rFonts w:ascii="Times New Roman;sans-serif" w:hAnsi="Times New Roman;sans-serif"/>
          <w:b/>
          <w:color w:val="000000"/>
          <w:sz w:val="20"/>
          <w:u w:val="single"/>
        </w:rPr>
        <w:t>Note 15 – License Agreements</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Sanford Burnham Prebys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2015, Cend entered into a license agreement with Sanford Burnham Prebys (“SBP”) under which Cend was granted an exclusive, worldwide, royalty-bearing license to certain patent rights and know-how controlled by SBP related to the development of certepetide. At the time the license agreement was entered into, Cend’s founding shareholder was an executive at SBP. The agreement provides the Company with the rights to grant and authorize sublicenses to use, sell, and otherwise exploit the patent rights. As consideration for the license, Cend issued a total of 382,030 shares of common stock, as adjusted for the Reverse Stock Split and Exchange Ratio. The Company is required to pay an annual license maintenance fee of $10,000 increasing to $20,000 on year seven of the agreement. The Company could also be required to make milestone payments to SBP upon completion of certain regulatory and commercial milestones. The aggregate potential milestone payments are approximately $10.6 million. The Company has also agreed to pay SBP royalties of 4% of net sales of products sold by the Company, or through a sublicense, subject to certain reductions. Additionally, the Company is obligated to pay SBP 25% of any sublicensing income, which, pursuant to the technology transfer agreement with Impilo, resulted in SBP receiving 191,500 shares of the Company’s pre-seed preferred stock in Impilo on October 3, 2023.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agreement will expire upon the later of (i) the final abandonment of all pending patent applications within the licensed patents or (ii) the expiration of the last to expire patent within the licensed patents. The agreement may be terminated in its entirety by the Company at any time by giving SBP sixty days’ prior written notice. The agreement may be terminated in its entirety by SBP if the Company, at any time, defaults in the payment of any sum when due and fails to make such payment within thirty days after receipt of written notice. The agreement may be terminated in its entirety by either SBP or the Company (i) in the event of an uncured material breach by the other party, or (ii) in the event the other party (a) files for, or is involuntarily petitioned with, bankruptcy (other than dissolution or winding up for the purposes of reconstruction or amalgamation), (b) makes an assignment of all or substantially all of its assets for the benefit of creditors, or (c) has a receiver or trustee is appointed and is unable to secure a dismissal, stay or other suspension of such proceedings within thirty days. Upon termination of the agreement for any reason, all rights and obligations of the Company with respect to the patents and patent applications shall terminate and revert to SBP.</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SBP did not own shares of the Company’s common stock as of June 30, 2024. </w:t>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ind w:left="0" w:right="0" w:firstLine="360"/>
        <w:jc w:val="both"/>
        <w:rPr/>
      </w:pPr>
      <w:r>
        <w:rPr/>
      </w:r>
    </w:p>
    <w:p>
      <w:pPr>
        <w:pStyle w:val="TextBody"/>
        <w:bidi w:val="0"/>
        <w:spacing w:lineRule="auto" w:line="288" w:before="0" w:after="160"/>
        <w:jc w:val="both"/>
        <w:rPr>
          <w:rFonts w:ascii="Times New Roman;sans-serif" w:hAnsi="Times New Roman;sans-serif"/>
          <w:b/>
          <w:color w:val="000000"/>
          <w:sz w:val="20"/>
          <w:u w:val="single"/>
        </w:rPr>
      </w:pPr>
      <w:r>
        <w:rPr>
          <w:rFonts w:ascii="Times New Roman;sans-serif" w:hAnsi="Times New Roman;sans-serif"/>
          <w:b/>
          <w:color w:val="000000"/>
          <w:sz w:val="20"/>
          <w:u w:val="single"/>
        </w:rPr>
        <w:t>Note 16 – Research Collaboration and License Agreement</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Exclusive License and Collaboration Agreement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2021, Cend entered into an Exclusive License and Collaboration Agreement (the “Qilu Agreement”) in which Cend granted an exclusive license to Qilu for the development and commercialization of certepetide in the Territory (defined as the Greater Area of China including China, Macau, Hong Kong, and Taiwan). Under the terms of the agreement, Qilu is solely responsible for the development of certepetide in its Territory. In consideration for the license, Qilu made an upfront payment of $10.0 million to Cend, which was recognized as revenue by Cend prior to the Company's acquisition of Cend on September 15, 2022 (the “Cend Merger”). In addition, Cend received and recognized as revenue a $5.0 million development milestone prior to the Cend Merger. The Company is eligible to receive additional developmental and commercial milestone payments up to $96.0 million and $125.0 million, respectively, tiered royalties on net sales ranging from 10% to 15%, and tiered sublicensing revenues ranging from 12% to 35%.</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25, 2024 the Company entered into a settlement agreement with Lingmed whereby Lingmed is entitled to 5.0% of any future milestone payments received by the Company under the Qilu Agreement, in addition, Lingmed is also entitled to a sum of $250 thousand with respect to the first future milestone received by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24 </w:t>
                      </w:r>
                    </w:p>
                  </w:txbxContent>
                </v:textbox>
                <w10:wrap type="none"/>
              </v:rect>
            </w:pict>
          </mc:Fallback>
        </mc:AlternateContent>
      </w:r>
    </w:p>
    <w:p>
      <w:pPr>
        <w:pStyle w:val="TextBody"/>
        <w:bidi w:val="0"/>
        <w:spacing w:lineRule="auto" w:line="288" w:before="0" w:after="0"/>
        <w:jc w:val="left"/>
        <w:rPr/>
      </w:pPr>
      <w:hyperlink w:anchor="i7bbfdc1bacb84fd0b83109c9a78b2c53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Unless terminated early, the Qilu Agreement will continue in effect until the expiration of all Qilu payment obligations. Either party may terminate the Qilu Agreement if an undisputed material breach by the other party is not cured within a defined period of time, or upon notice for insolvency-related events of the other party that are not discharged within a defined time period. Qilu may terminate the Qilu Agreement in its entirety, at any time with at least sixty days written notice. All rights and obligations of Qilu with respect to such licensed patents and patent applications would terminate simultaneously.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25 </w:t>
                      </w:r>
                    </w:p>
                  </w:txbxContent>
                </v:textbox>
                <w10:wrap type="none"/>
              </v:rect>
            </w:pict>
          </mc:Fallback>
        </mc:AlternateContent>
      </w:r>
    </w:p>
    <w:p>
      <w:pPr>
        <w:pStyle w:val="TextBody"/>
        <w:bidi w:val="0"/>
        <w:spacing w:lineRule="auto" w:line="288" w:before="0" w:after="0"/>
        <w:jc w:val="left"/>
        <w:rPr/>
      </w:pPr>
      <w:hyperlink w:anchor="i7bbfdc1bacb84fd0b83109c9a78b2c53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Management’s Discussion and Analysis of Financial Condition and Results of Operations contains forward-looking statements that are subject to significant risks and uncertainties. There is no guarantee that our clinical development programs will be successful or result in the necessary regulatory approvals. Our actual results could differ materially from those anticipated in these forward-looking statements as a result of various factors, including those set forth under “Cautionary Note Regarding Forward-Looking Statements” herein and under “Risk Factors” in our 2023 Form 10-K. The following discussion should be read in conjunction with our consolidated financial statements and related notes thereto included elsewhere in this Quarterly Report and in our 2023 Form 10-K.</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 clinical-stage pharmaceutical company dedicated to the discovery, development, and commercialization of innovative therapies for the treatment of solid tumors and other major diseases. Our investigational product, certepetide (LSTA1), is designed to activate a novel uptake pathway that allows co-administered or tethered (i.e., molecularly bound) anti-cancer drugs to target and penetrate solid tumors more effectively. Certepetide actuates this active transport system in a tumor-specific manner, resulting in systemically co-administered anti-cancer drugs more efficiently penetrating and accumulating in the tumor, while normal tissues are expected to be unaffected. Certepetide has also been shown to modify the tumor microenvironment (“TME”) by reducing T-regulatory cells and augmenting cytotoxic T cells, thereby making tumors more susceptible to immunotherapies and inhibiting the metastatic cascade (i.e., the spread of cancer to other parts of the body). We and our collaborators have amassed significant non-clinical data demonstrating enhanced delivery of a range of existing and emerging anti-cancer therapies, including chemotherapeutics, immunotherapies, and RNA-based therapeutics. To date, certepetide has also demonstrated favorable safety, tolerability and activity in completed and ongoing clinical trials designed to enhance delivery of standard-of-care chemotherapy for pancreatic cancer. We are exploring certepetide as a means to enable a variety of treatment modalities to treat a range of solid tumors more effectively. Currently, certepetide is the subject of several Phase 2 clinical studies being conducted globally in a variety of solid tumor types, including metastatic pancreatic ductal adenocarcinoma (mPDAC), cholangiocarcinoma, appendiceal cancer, colon cancer and glioblastoma multiforme in combination with a variety of anti-cancer regimens.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leadership team has decades of collective biopharmaceutical and pharmaceutical product development experience across a variety of therapeutic categories and at all stages of development from preclinical through to product registration and launch. Our goal is to develop and commercialize products that address important unmet medical needs. </w:t>
      </w:r>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Targeted Solid Tumor Penetration via CendR Active Transport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Many solid tumor cancers, including, for example, pancreatic ductal adenocarcinoma (“PDAC”) and cholangiocarcinoma, are surrounded by dense fibrotic tissue, known as the tumor stroma. This stroma often limits the efficacy of current chemotherapies for these cancers. Emerging immunotherapies, including but not limited to checkpoint inhibitors and adoptive cell therapies (e.g., chimeric antigen receptor T cells (CAR-Ts)), also face challenges in penetrating solid tumors. Many tumors also exhibit an immunosuppressive TME, which suppresses a patient's immune system and can thus limit the effectiveness of immunotherapies and/or contribute to metastases. These factors negatively impact the ability of many therapeutic agents to effectively treat these cancers.</w:t>
      </w:r>
    </w:p>
    <w:p>
      <w:pPr>
        <w:pStyle w:val="TextBody"/>
        <w:bidi w:val="0"/>
        <w:spacing w:lineRule="auto" w:line="288" w:before="0" w:after="160"/>
        <w:ind w:left="0" w:right="0" w:firstLine="360"/>
        <w:jc w:val="both"/>
        <w:rPr/>
      </w:pPr>
      <w:r>
        <w:rPr>
          <w:rFonts w:ascii="Times New Roman;sans-serif" w:hAnsi="Times New Roman;sans-serif"/>
          <w:b w:val="false"/>
          <w:color w:val="000000"/>
          <w:sz w:val="20"/>
        </w:rPr>
        <w:t xml:space="preserve">To address the tumor stroma’s role as a primary impediment to effective treatment, our approach is to activate the C-end rule (“CendR”), or CendR active transport mechanism, a naturally occurring transport system. Our investigational drug, certepetide (a specific </w:t>
      </w:r>
      <w:r>
        <w:rPr>
          <w:rFonts w:ascii="Times New Roman;sans-serif" w:hAnsi="Times New Roman;sans-serif"/>
          <w:b w:val="false"/>
          <w:i/>
          <w:color w:val="000000"/>
          <w:sz w:val="20"/>
        </w:rPr>
        <w:t>internalizing</w:t>
      </w:r>
      <w:r>
        <w:rPr>
          <w:color w:val="000000"/>
        </w:rPr>
        <w:t xml:space="preserve"> </w:t>
      </w:r>
      <w:r>
        <w:rPr>
          <w:rFonts w:ascii="Times New Roman;sans-serif" w:hAnsi="Times New Roman;sans-serif"/>
          <w:b w:val="false"/>
          <w:color w:val="000000"/>
          <w:sz w:val="20"/>
        </w:rPr>
        <w:t>R-G-D or iRGD peptide), activates this transport system in a tumor-specific manner (Sugahara, Science, 2010). Certepetide enables more selective and efficient uptake of systemically administered anti-cancer drugs resulting in more intratumoral drug accumulation. The overall expected result is enhanced anticancer activity without an increase in adverse side effects. While it is possible to couple/tether or conjugate some anticancer drugs to certepetide, we believe that our initial approach of co-administration of certepetide with anti-cancer therapies is advantageous. Co-administration does not create a new chemical entity (“NCE”) with its attendant development and regulatory hurdles, thereby providing an anticipated faster-to-clinic and faster-to-market product opportunity for a range of co-administration therapies. That said, an attractive life-cycle management strategy for certepetide would be to molecularly bind it to a variety of anti-cancer agents (as an alternative to co-administration), thereby creating new NCEs with the potential for distinct patent protection, compositionally or otherwise.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Certepetide has demonstrated favorable safety, tolerability, and activity to date in clinical trials enhancing the delivery of standard-of-care chemotherapies for mPDAC. Certepetide’s cancer-targeted delivery may also enable emerging solid tumor treatment modalities to prove more effective. </w:t>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26 </w:t>
                      </w:r>
                    </w:p>
                  </w:txbxContent>
                </v:textbox>
                <w10:wrap type="none"/>
              </v:rect>
            </w:pict>
          </mc:Fallback>
        </mc:AlternateContent>
      </w:r>
    </w:p>
    <w:p>
      <w:pPr>
        <w:pStyle w:val="TextBody"/>
        <w:bidi w:val="0"/>
        <w:spacing w:lineRule="auto" w:line="288" w:before="0" w:after="0"/>
        <w:jc w:val="left"/>
        <w:rPr/>
      </w:pPr>
      <w:hyperlink w:anchor="i7bbfdc1bacb84fd0b83109c9a78b2c53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both"/>
        <w:rPr>
          <w:rFonts w:ascii="Times New Roman;sans-serif" w:hAnsi="Times New Roman;sans-serif"/>
          <w:b/>
          <w:i/>
          <w:color w:val="000000"/>
          <w:sz w:val="20"/>
        </w:rPr>
      </w:pPr>
      <w:r>
        <w:rPr>
          <w:rFonts w:ascii="Times New Roman;sans-serif" w:hAnsi="Times New Roman;sans-serif"/>
          <w:b/>
          <w:i/>
          <w:color w:val="000000"/>
          <w:sz w:val="20"/>
        </w:rPr>
        <w:t>Certepetide as a treatment for solid tumor cancers in combination with other anti-cancer agents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Certepetide is an investigational drug that actuates the CendR active transport mechanism. Certepetide has been shown to modify the TME, making it less immunosuppressive and thereby making the tumor more susceptible to attack by the immune system while also inhibiting the metastastic cascade. It targets tumor vasculature, endothelial cells, tumor cells and some intratumoral immunosuppressive cells by its selective affinity for alpha-v beta-3 and beta-5 integrins that are upregulated on these cells. Certepetide is a nine amino acid cyclic internalizing RGD (“iRGD”) peptide that, once bound to these integrins, undergoes proteolytic cleavage to release a linear peptide fragment, called a CendR peptide fragment. The CendR peptide fragment then binds with high selectivity and affinity to an adjacent receptor, called neuropilin-1, also upregulated in solid tumors, to activate a novel uptake pathway that allows circulating anticancer drugs to more selectively and effectively penetrate solid tumors. The ability of certepetide and iRGD peptides to modify the TME to enhance delivery and efficacy of co-administered drugs has been demonstrated in many preclinical models in a range of solid tumors. Lisata, its collaborators, and research groups around the world have published over 350 related scientific papers in this regard.</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Clinically, certepetide was the subject of a completed Phase 1b/2a trial inclusive of 31 first-line mPDAC patients, of which 29 were evaluable. Results from the trial showed that the safety profile of the certepetide combination regimen was similar to standard of care (“SoC”) alone with certepetide being well-tolerated with no-dose limiting toxicities. An Objective Response Rate (“ORR”) of 59% was observed, compared to the 23% ORR observed in the “MPACT” clinical trial that served as the basis for approval of nab-paclitaxel for use in combination with gemcitabine for the treatment of first line, mPDAC (Von Hoff, et al. 2013). A Disease Control Rate (“DCR”) (partial and complete responses plus stable disease) of over 79% was also observed in comparison to a DCR of 48% observed in the MPACT trial. Reduction in the level of circulating tumor biomarker CA19-9 was observed in 96% of patients versus 61% in the MPACT trial. Importantly, median progression-free survival and median overall survival of nearly ten months and over thirteen months were observed versus less than six months and less than nine months, respectively, in the MPACT trial. These results have been published in The Lancet Gastroenterology and Hepatology (Dean, et al. 2022).</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certepetide is currently the subject of multiple ongoing and planned clinical trials being conducted globally in a variety of solid tumor types and in combination with several chemotherapy and immunotherapy anti-cancer regimens. The following diagram summarizes these studies. </w:t>
      </w:r>
    </w:p>
    <w:p>
      <w:pPr>
        <w:pStyle w:val="TextBody"/>
        <w:bidi w:val="0"/>
        <w:spacing w:before="0" w:after="160"/>
        <w:ind w:left="0" w:right="0" w:firstLine="360"/>
        <w:jc w:val="both"/>
        <w:rPr/>
      </w:pPr>
      <w:r>
        <w:rPr/>
        <w:drawing>
          <wp:inline distT="0" distB="0" distL="0" distR="0">
            <wp:extent cx="6286500" cy="3533775"/>
            <wp:effectExtent l="0" t="0" r="0" b="0"/>
            <wp:docPr id="27"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 descr=""/>
                    <pic:cNvPicPr>
                      <a:picLocks noChangeAspect="1" noChangeArrowheads="1"/>
                    </pic:cNvPicPr>
                  </pic:nvPicPr>
                  <pic:blipFill>
                    <a:blip r:embed="rId2"/>
                    <a:stretch>
                      <a:fillRect/>
                    </a:stretch>
                  </pic:blipFill>
                  <pic:spPr bwMode="auto">
                    <a:xfrm>
                      <a:off x="0" y="0"/>
                      <a:ext cx="6286500" cy="3533775"/>
                    </a:xfrm>
                    <a:prstGeom prst="rect">
                      <a:avLst/>
                    </a:prstGeom>
                  </pic:spPr>
                </pic:pic>
              </a:graphicData>
            </a:graphic>
          </wp:inline>
        </w:drawing>
      </w:r>
    </w:p>
    <w:p>
      <w:pPr>
        <w:pStyle w:val="TextBody"/>
        <w:bidi w:val="0"/>
        <w:spacing w:before="0" w:after="160"/>
        <w:ind w:left="0" w:right="0" w:firstLine="360"/>
        <w:jc w:val="both"/>
        <w:rPr/>
      </w:pPr>
      <w:r>
        <w:rPr/>
      </w:r>
    </w:p>
    <w:p>
      <w:pPr>
        <w:pStyle w:val="TextBody"/>
        <w:bidi w:val="0"/>
        <w:spacing w:before="0" w:after="160"/>
        <w:ind w:left="0" w:right="0" w:firstLine="360"/>
        <w:jc w:val="both"/>
        <w:rPr/>
      </w:pPr>
      <w:r>
        <w:rPr/>
      </w:r>
    </w:p>
    <w:p>
      <w:pPr>
        <w:pStyle w:val="TextBody"/>
        <w:bidi w:val="0"/>
        <w:spacing w:before="0" w:after="160"/>
        <w:ind w:left="0" w:right="0" w:firstLine="360"/>
        <w:jc w:val="both"/>
        <w:rPr/>
      </w:pPr>
      <w:r>
        <w:rPr/>
      </w:r>
    </w:p>
    <w:p>
      <w:pPr>
        <w:pStyle w:val="TextBody"/>
        <w:bidi w:val="0"/>
        <w:spacing w:before="0" w:after="16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27 </w:t>
                      </w:r>
                    </w:p>
                  </w:txbxContent>
                </v:textbox>
                <w10:wrap type="none"/>
              </v:rect>
            </w:pict>
          </mc:Fallback>
        </mc:AlternateContent>
      </w:r>
    </w:p>
    <w:p>
      <w:pPr>
        <w:pStyle w:val="TextBody"/>
        <w:bidi w:val="0"/>
        <w:spacing w:lineRule="auto" w:line="288" w:before="0" w:after="0"/>
        <w:jc w:val="left"/>
        <w:rPr/>
      </w:pPr>
      <w:hyperlink w:anchor="i7bbfdc1bacb84fd0b83109c9a78b2c53_7">
        <w:r>
          <w:rPr>
            <w:rStyle w:val="InternetLink"/>
            <w:rFonts w:ascii="Times New Roman;sans-serif" w:hAnsi="Times New Roman;sans-serif"/>
            <w:b w:val="false"/>
            <w:color w:val="0000FF"/>
            <w:sz w:val="16"/>
            <w:u w:val="single"/>
          </w:rPr>
          <w:t>Index</w:t>
        </w:r>
      </w:hyperlink>
    </w:p>
    <w:p>
      <w:pPr>
        <w:pStyle w:val="TextBody"/>
        <w:bidi w:val="0"/>
        <w:spacing w:before="0" w:after="160"/>
        <w:ind w:left="0" w:right="0" w:firstLine="360"/>
        <w:jc w:val="both"/>
        <w:rPr/>
      </w:pPr>
      <w:r>
        <w:rPr/>
      </w:r>
    </w:p>
    <w:p>
      <w:pPr>
        <w:pStyle w:val="TextBody"/>
        <w:bidi w:val="0"/>
        <w:spacing w:lineRule="auto" w:line="288" w:before="0" w:after="16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Additional Out-licensing Opportunities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intellectual property portfolio is comprised of notable programs available for out-licensing and/or partnering in order to augment or continue their clinical development. Our current long-term strategy focuses on advancing our therapies through development with the ultimate objective of obtaining market authorizations and entering commercialization, either alone or with partners, to provide treatment options to patients suffering from life-threatening medical conditions. We believe that we are well-positioned to realize potentially meaningful value increases within our own proprietary pipeline if we are successful in advancing our product candidates to their next significant development milestones.</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160"/>
        <w:jc w:val="both"/>
        <w:rPr/>
      </w:pPr>
      <w:r>
        <w:rPr/>
      </w:r>
    </w:p>
    <w:p>
      <w:pPr>
        <w:pStyle w:val="TextBody"/>
        <w:bidi w:val="0"/>
        <w:spacing w:lineRule="auto" w:line="288" w:before="240" w:after="16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40" w:after="160"/>
        <w:jc w:val="both"/>
        <w:rPr>
          <w:rFonts w:ascii="Times New Roman;sans-serif" w:hAnsi="Times New Roman;sans-serif"/>
          <w:b/>
          <w:i/>
          <w:color w:val="000000"/>
          <w:sz w:val="20"/>
        </w:rPr>
      </w:pPr>
      <w:r>
        <w:rPr>
          <w:rFonts w:ascii="Times New Roman;sans-serif" w:hAnsi="Times New Roman;sans-serif"/>
          <w:b/>
          <w:i/>
          <w:color w:val="000000"/>
          <w:sz w:val="20"/>
        </w:rPr>
        <w:t xml:space="preserve">Three Months Ended June 30, 2024 Compared to Three Months Ended June 30, 2023 </w:t>
      </w:r>
    </w:p>
    <w:p>
      <w:pPr>
        <w:pStyle w:val="TextBody"/>
        <w:bidi w:val="0"/>
        <w:spacing w:lineRule="auto" w:line="288" w:before="24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results of operations for the three months ended June 30, 2024 and June 30, 2023 (in thousands):</w:t>
      </w:r>
    </w:p>
    <w:tbl>
      <w:tblPr>
        <w:tblW w:w="5925" w:type="dxa"/>
        <w:jc w:val="left"/>
        <w:tblInd w:w="0" w:type="dxa"/>
        <w:tblLayout w:type="fixed"/>
        <w:tblCellMar>
          <w:top w:w="28" w:type="dxa"/>
          <w:left w:w="28" w:type="dxa"/>
          <w:bottom w:w="28" w:type="dxa"/>
          <w:right w:w="28" w:type="dxa"/>
        </w:tblCellMar>
      </w:tblPr>
      <w:tblGrid>
        <w:gridCol w:w="787"/>
        <w:gridCol w:w="692"/>
        <w:gridCol w:w="695"/>
        <w:gridCol w:w="218"/>
        <w:gridCol w:w="701"/>
        <w:gridCol w:w="121"/>
        <w:gridCol w:w="121"/>
        <w:gridCol w:w="121"/>
        <w:gridCol w:w="121"/>
        <w:gridCol w:w="218"/>
        <w:gridCol w:w="701"/>
        <w:gridCol w:w="121"/>
        <w:gridCol w:w="109"/>
        <w:gridCol w:w="109"/>
        <w:gridCol w:w="109"/>
        <w:gridCol w:w="196"/>
        <w:gridCol w:w="631"/>
        <w:gridCol w:w="154"/>
      </w:tblGrid>
      <w:tr>
        <w:trPr/>
        <w:tc>
          <w:tcPr>
            <w:tcW w:w="7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4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10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Research and development</w:t>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General and administrative</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Total operating expenses</w:t>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Loss from operations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w:t>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from income taxes</w:t>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(2,330)</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18"/>
              </w:rPr>
              <w:t>Net loss</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(5,044)</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(4,027)</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360"/>
        <w:jc w:val="both"/>
        <w:rPr/>
      </w:pPr>
      <w:r>
        <w:rPr>
          <w:color w:val="000000"/>
        </w:rPr>
        <w:t> </w:t>
      </w:r>
      <w:r>
        <w:rPr>
          <w:rFonts w:ascii="Times New Roman;sans-serif" w:hAnsi="Times New Roman;sans-serif"/>
          <w:b w:val="false"/>
          <w:color w:val="000000"/>
          <w:sz w:val="20"/>
        </w:rPr>
        <w:t>Overall, net losses were $5.0 million for the three months ended June 30, 2024, compared to $4.0 million for the three months ended June 30, 2023.</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Operating Expenses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2024, operating expenses totaled $5.5 million, compared to $6.9 million for the three months ended June 30, 2023, representing a decrease of $1.4 million or 19.7%. Operating expenses are comprised of the following: </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Research and development expenses were approximately $2.6 million for the three months ended June 30, 2024, compared to $3.2 million for the three months ended June 30, 2023, representing a decrease of $0.6 million or 17.7%. This was primarily due to a reduction in expenses associated with the Phase 2b ASCEND trial which completed enrollment in the prior year, lower spend on chemistry, manufacturing and control (“CMC”) related expenses and lower equity expense partially offset by an increase in expenses associated with our enrollment activities in the current year for our certepetide Phase 2a proof-of-concept Bolster trial.</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General and administrative expenses were approximately $2.9 million for the three months ended June 30, 2024, compared to $3.7 million for the three months ended June 30, 2023, representing a decrease of $0.8 million or 21.3%. This was primarily due to one-off related severance costs in the prior year associated with the elimination of the Chief Business Officer position on May 1, 2023, a reduction in equity expense and a decrease in directors and officers insurance premiums in the current year.</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to minimize our use of cash, we have used a variety of equity instruments to compensate employees, consultants and other service providers. The use of these instruments has resulted in charges to the results of operations, which have been significant in the past.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28 </w:t>
                      </w:r>
                    </w:p>
                  </w:txbxContent>
                </v:textbox>
                <w10:wrap type="none"/>
              </v:rect>
            </w:pict>
          </mc:Fallback>
        </mc:AlternateContent>
      </w:r>
    </w:p>
    <w:p>
      <w:pPr>
        <w:pStyle w:val="TextBody"/>
        <w:bidi w:val="0"/>
        <w:spacing w:lineRule="auto" w:line="288" w:before="0" w:after="0"/>
        <w:jc w:val="left"/>
        <w:rPr/>
      </w:pPr>
      <w:hyperlink w:anchor="i7bbfdc1bacb84fd0b83109c9a78b2c53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Other Income (Expense)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is comprised primarily of investment income from cash, cash equivalents and marketable securities for the three months ended June 30, 2024 and 2023.</w:t>
      </w:r>
    </w:p>
    <w:p>
      <w:pPr>
        <w:pStyle w:val="TextBody"/>
        <w:bidi w:val="0"/>
        <w:spacing w:before="240" w:after="160"/>
        <w:jc w:val="both"/>
        <w:rPr/>
      </w:pPr>
      <w:r>
        <w:rPr/>
      </w:r>
    </w:p>
    <w:p>
      <w:pPr>
        <w:pStyle w:val="TextBody"/>
        <w:bidi w:val="0"/>
        <w:spacing w:lineRule="auto" w:line="288" w:before="240" w:after="160"/>
        <w:jc w:val="both"/>
        <w:rPr>
          <w:rFonts w:ascii="Times New Roman;sans-serif" w:hAnsi="Times New Roman;sans-serif"/>
          <w:b/>
          <w:i/>
          <w:color w:val="000000"/>
          <w:sz w:val="20"/>
        </w:rPr>
      </w:pPr>
      <w:r>
        <w:rPr>
          <w:rFonts w:ascii="Times New Roman;sans-serif" w:hAnsi="Times New Roman;sans-serif"/>
          <w:b/>
          <w:i/>
          <w:color w:val="000000"/>
          <w:sz w:val="20"/>
        </w:rPr>
        <w:t>Six Months Ended June 30, 2024 Compared to Six Months Ended June 30, 2023</w:t>
      </w:r>
    </w:p>
    <w:p>
      <w:pPr>
        <w:pStyle w:val="TextBody"/>
        <w:bidi w:val="0"/>
        <w:spacing w:lineRule="auto" w:line="288" w:before="240" w:after="1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results of operations for the six months ended June 30, 2024 and June 30, 2023:</w:t>
      </w:r>
    </w:p>
    <w:tbl>
      <w:tblPr>
        <w:tblW w:w="5561" w:type="dxa"/>
        <w:jc w:val="left"/>
        <w:tblInd w:w="0" w:type="dxa"/>
        <w:tblLayout w:type="fixed"/>
        <w:tblCellMar>
          <w:top w:w="28" w:type="dxa"/>
          <w:left w:w="28" w:type="dxa"/>
          <w:bottom w:w="28" w:type="dxa"/>
          <w:right w:w="28" w:type="dxa"/>
        </w:tblCellMar>
      </w:tblPr>
      <w:tblGrid>
        <w:gridCol w:w="727"/>
        <w:gridCol w:w="640"/>
        <w:gridCol w:w="642"/>
        <w:gridCol w:w="196"/>
        <w:gridCol w:w="721"/>
        <w:gridCol w:w="109"/>
        <w:gridCol w:w="109"/>
        <w:gridCol w:w="109"/>
        <w:gridCol w:w="109"/>
        <w:gridCol w:w="196"/>
        <w:gridCol w:w="721"/>
        <w:gridCol w:w="109"/>
        <w:gridCol w:w="109"/>
        <w:gridCol w:w="109"/>
        <w:gridCol w:w="109"/>
        <w:gridCol w:w="196"/>
        <w:gridCol w:w="496"/>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from income taxes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(10,214)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Overall, net losses were $10.4 million for the six months ended June 30, 2024, compared to $10.2 million for the six months ended June 30, 2023.</w:t>
      </w:r>
    </w:p>
    <w:p>
      <w:pPr>
        <w:pStyle w:val="TextBody"/>
        <w:bidi w:val="0"/>
        <w:spacing w:lineRule="auto" w:line="288" w:before="240" w:after="160"/>
        <w:jc w:val="both"/>
        <w:rPr>
          <w:rFonts w:ascii="Times New Roman;sans-serif" w:hAnsi="Times New Roman;sans-serif"/>
          <w:b/>
          <w:color w:val="000000"/>
          <w:sz w:val="20"/>
        </w:rPr>
      </w:pPr>
      <w:r>
        <w:rPr>
          <w:rFonts w:ascii="Times New Roman;sans-serif" w:hAnsi="Times New Roman;sans-serif"/>
          <w:b/>
          <w:color w:val="000000"/>
          <w:sz w:val="20"/>
        </w:rPr>
        <w:t>Operating Expenses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six months ended June 30, 2024, operating expenses totaled $12.1 million compared to $13.7 million for the six months ended June 30, 2023, representing a decrease of 11.6%. Operating expenses are comprised of the following: </w:t>
      </w:r>
    </w:p>
    <w:p>
      <w:pPr>
        <w:pStyle w:val="TextBody"/>
        <w:bidi w:val="0"/>
        <w:spacing w:before="0" w:after="0"/>
        <w:jc w:val="left"/>
        <w:rPr/>
      </w:pPr>
      <w:r>
        <w:rPr/>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Research and development expenses were approximately $5.8 million for the six months ended June 30, 2024, compared to $6.3 million for the six months ended June 30, 2023, representing a decrease of $0.5 million or 7.9%. This was primarily due to a reduction in expenses associated with the Phase 2b ASCEND trial which completed enrollment in the prior year, lower spend on chemistry, manufacturing and control (“CMC”) related expenses and lower equity expense partially offset by an increase in expenses associated with our enrollment activities in the current year for our certepetide Phase 2a proof-of-concept Bolster trial.</w:t>
      </w:r>
    </w:p>
    <w:p>
      <w:pPr>
        <w:pStyle w:val="TextBody"/>
        <w:bidi w:val="0"/>
        <w:spacing w:lineRule="auto" w:line="288" w:before="0" w:after="160"/>
        <w:ind w:left="0" w:right="0" w:hanging="360"/>
        <w:jc w:val="both"/>
        <w:rPr/>
      </w:pPr>
      <w:r>
        <w:rPr>
          <w:color w:val="000000"/>
        </w:rPr>
        <w:t>•</w:t>
      </w:r>
      <w:r>
        <w:rPr>
          <w:rFonts w:ascii="Times New Roman;sans-serif" w:hAnsi="Times New Roman;sans-serif"/>
          <w:b w:val="false"/>
          <w:color w:val="000000"/>
          <w:sz w:val="20"/>
        </w:rPr>
        <w:t>General and administrative expenses were approximately $6.3 million for the six months ended June 30, 2024, compared to $7.4 million for the six months ended June 30, 2023, representing a decrease of $1.1 million or 14.9%. This was primarily due to one-off related severance costs in the prior year associated with the elimination of the Chief Business Officer position on May 1, 2023, a reduction in equity expense, a decrease in directors and officers insurance premiums, and a reduction in spend on legal fees partially offset by one-off settlement related costs.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to minimize our use of cash, we have used a variety of equity instruments to compensate employees, consultants and other service providers. The use of these instruments has resulted in charges to the results of operations, which have been significant in the past.</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Other Income (Expense)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other income (expense) is comprised primarily of investment income from cash, cash equivalents and marketable securities and losses on sales related to the sales of our New Jersey net operating losses (“NJ NOLs”) for the six months 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29 </w:t>
                      </w:r>
                    </w:p>
                  </w:txbxContent>
                </v:textbox>
                <w10:wrap type="none"/>
              </v:rect>
            </w:pict>
          </mc:Fallback>
        </mc:AlternateContent>
      </w:r>
    </w:p>
    <w:p>
      <w:pPr>
        <w:pStyle w:val="TextBody"/>
        <w:bidi w:val="0"/>
        <w:spacing w:lineRule="auto" w:line="288" w:before="0" w:after="0"/>
        <w:jc w:val="left"/>
        <w:rPr/>
      </w:pPr>
      <w:hyperlink w:anchor="i7bbfdc1bacb84fd0b83109c9a78b2c53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June 30, 2024 and 2023 and an investment in Impilo which was fully expensed under the equity method of accounting within the current year period. </w:t>
      </w:r>
    </w:p>
    <w:p>
      <w:pPr>
        <w:pStyle w:val="TextBody"/>
        <w:bidi w:val="0"/>
        <w:spacing w:lineRule="auto" w:line="288" w:before="240" w:after="160"/>
        <w:jc w:val="both"/>
        <w:rPr>
          <w:rFonts w:ascii="Times New Roman;sans-serif" w:hAnsi="Times New Roman;sans-serif"/>
          <w:b/>
          <w:color w:val="000000"/>
          <w:sz w:val="20"/>
        </w:rPr>
      </w:pPr>
      <w:r>
        <w:rPr>
          <w:rFonts w:ascii="Times New Roman;sans-serif" w:hAnsi="Times New Roman;sans-serif"/>
          <w:b/>
          <w:color w:val="000000"/>
          <w:sz w:val="20"/>
        </w:rPr>
        <w:t>Income Tax Benefit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2024, we received final approval from the New Jersey Economic Development Authority (“NJEDA”) under the Technology Business Tax Certificate Transfer Program (the “Program”) to sell a percentage of our NJ NOLs, which were subsequently sold to a qualifying and approved buyer pursuant to the Program for net proceeds of $0.7 million. The $0.8 million of our NJ NOL tax benefits have been recorded as a benefit from income taxes and the loss on sale of $0.1 million recorded in other income (expense).</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2023, we received final approval from the NJEDA under the Program to sell a percentage of our NJ NOLs, which were subsequently sold to a qualifying and approved buyer pursuant to the Program for net proceeds of $2.2 million. The $2.3 million of NJ NOLs related tax benefits have been recorded as a benefit from income taxes and the loss on sale of $0.1 million recorded in other income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30 </w:t>
                      </w:r>
                    </w:p>
                  </w:txbxContent>
                </v:textbox>
                <w10:wrap type="none"/>
              </v:rect>
            </w:pict>
          </mc:Fallback>
        </mc:AlternateContent>
      </w:r>
    </w:p>
    <w:p>
      <w:pPr>
        <w:pStyle w:val="TextBody"/>
        <w:bidi w:val="0"/>
        <w:spacing w:lineRule="auto" w:line="288" w:before="0" w:after="0"/>
        <w:jc w:val="left"/>
        <w:rPr/>
      </w:pPr>
      <w:hyperlink w:anchor="i7bbfdc1bacb84fd0b83109c9a78b2c53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Analysis of Liquidity and Capital Resources</w:t>
      </w:r>
    </w:p>
    <w:p>
      <w:pPr>
        <w:pStyle w:val="TextBody"/>
        <w:bidi w:val="0"/>
        <w:spacing w:lineRule="auto" w:line="288" w:before="0" w:after="160"/>
        <w:ind w:left="0" w:right="0" w:firstLine="360"/>
        <w:jc w:val="both"/>
        <w:rPr/>
      </w:pPr>
      <w:r>
        <w:rPr>
          <w:rFonts w:ascii="Times New Roman;sans-serif" w:hAnsi="Times New Roman;sans-serif"/>
          <w:b w:val="false"/>
          <w:color w:val="000000"/>
          <w:sz w:val="20"/>
        </w:rPr>
        <w:t>As of</w:t>
      </w:r>
      <w:r>
        <w:rPr>
          <w:color w:val="000000"/>
        </w:rPr>
        <w:t> </w:t>
      </w:r>
      <w:r>
        <w:rPr>
          <w:rFonts w:ascii="Times New Roman;sans-serif" w:hAnsi="Times New Roman;sans-serif"/>
          <w:b w:val="false"/>
          <w:color w:val="000000"/>
          <w:sz w:val="20"/>
        </w:rPr>
        <w:t>June 30, 2024, we had cash, cash equivalents and marketable securities of approximately $38.3 million, working capital of approximately $37.5 million, and stockholders’ equity of approximately $38.2 million.</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2024, we met our immediate cash requirements through existing cash balances. Additionally, we used equity and equity-linked instruments to pay for services and compensation.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or provided by, operating, investing and financing activities were as follows (in thousands): </w:t>
      </w:r>
    </w:p>
    <w:tbl>
      <w:tblPr>
        <w:tblW w:w="6819" w:type="dxa"/>
        <w:jc w:val="left"/>
        <w:tblInd w:w="0" w:type="dxa"/>
        <w:tblLayout w:type="fixed"/>
        <w:tblCellMar>
          <w:top w:w="28" w:type="dxa"/>
          <w:left w:w="28" w:type="dxa"/>
          <w:bottom w:w="28" w:type="dxa"/>
          <w:right w:w="28" w:type="dxa"/>
        </w:tblCellMar>
      </w:tblPr>
      <w:tblGrid>
        <w:gridCol w:w="1525"/>
        <w:gridCol w:w="1343"/>
        <w:gridCol w:w="1347"/>
        <w:gridCol w:w="211"/>
        <w:gridCol w:w="796"/>
        <w:gridCol w:w="109"/>
        <w:gridCol w:w="109"/>
        <w:gridCol w:w="109"/>
        <w:gridCol w:w="109"/>
        <w:gridCol w:w="211"/>
        <w:gridCol w:w="796"/>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16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Operating Activities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cash used in operating activities during the six months ended June 30, 2024 was $12.3 million, which is comprised of (i) our net loss of $10.4 million, adjusted for non-cash expenses totaling $0.6 million (which includes adjustments for equity-based compensation, depreciation and amortization, loss from equity method investment, and amortization/accretion of marketable securities), and (ii) changes in operating assets and liabilities using approximately $2.5 million.</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cash used in operating activities during the six months ended June 30, 2023 was $12.4 million, which is comprised of (i) our net loss of $10.2 million, adjusted for non-cash expenses totaling $0.9 million (which includes adjustments for equity-based compensation, depreciation and amortization, a loss on disposal of fixed assets, and amortization/accretion of marketable securities) and (ii) changes in operating assets and liabilities using approximately $3.1 million.</w:t>
      </w:r>
    </w:p>
    <w:p>
      <w:pPr>
        <w:pStyle w:val="TextBody"/>
        <w:bidi w:val="0"/>
        <w:spacing w:lineRule="auto" w:line="288" w:before="0" w:after="1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Investing Activities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cash provided by investing activities during the six months ended June 30, 2024 totaled $18.1 million and was primarily due to net sales of marketable securities (net of purchases of marketable securities) partially offset by an investment of $0.1 million in Impilo.</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cash provided by investing activities during the six months ended June 30, 2023 totaled $3.6 million and was primarily due to net sales of marketable securities (net of purchases of marketable securities).</w:t>
      </w:r>
    </w:p>
    <w:p>
      <w:pPr>
        <w:pStyle w:val="TextBody"/>
        <w:bidi w:val="0"/>
        <w:spacing w:lineRule="auto" w:line="288" w:before="0" w:after="160"/>
        <w:jc w:val="both"/>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Financing Activities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used in financing activities during the six months ended June 30, 2024 totaled $0.1 million and consisted primarily of tax withholding-related payments on net share settlement equity awards to employees.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cash provided by financing activities during the six months ended June 30, 2023 totaled $0.4 million and consisted of proceeds from the issuance of shares through our ATM Agreement of $0.3 million, option exercise proceeds of $0.2 million partially offset by tax withholding-related payments of $0.1 million on net share settlement equity awards to employees.</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Liquidity and Capital Requirements Outlook</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meet our short and long-term liquidity needs, we expect to use existing cash balances, marketable securities and a variety of other means. Other sources of liquidity could include additional potential issuances of debt or equity securities in public or private financings, partnerships and/or collaborations and/or sale of assets. Our history of operating losses and liquidity challenges may make it difficult for us to raise capital on acceptable terms or at all. The demand for the equity and debt of pharmaceutical companies like ours is dependent upon many factors, including the general state of the financial markets. During times of extreme market volatility, capital may not be available on favorable terms, if at all. Our inability to obtain such additional capital could materially and adversely affect our business operations. We will also continue to seek, as appropriate, grants for scientific and clinical studies from various governmental agencies and foundations, and other sources of non-dilutive funding. We believe that our cash on hand and marketable securities will enable us to fund current operating expenses for at least the next 12 months following the issuance of our financial statements. Our future capital requirements are difficult to forecast and will depend on many factors including the timing and nature of any other strategic transactions that we undertake; and our ability to establish and maintain collaboration partnerships, in-license/out-license or other similar arrangements and the financial terms of such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31 </w:t>
                      </w:r>
                    </w:p>
                  </w:txbxContent>
                </v:textbox>
                <w10:wrap type="none"/>
              </v:rect>
            </w:pict>
          </mc:Fallback>
        </mc:AlternateContent>
      </w:r>
    </w:p>
    <w:p>
      <w:pPr>
        <w:pStyle w:val="TextBody"/>
        <w:bidi w:val="0"/>
        <w:spacing w:lineRule="auto" w:line="288" w:before="0" w:after="0"/>
        <w:jc w:val="left"/>
        <w:rPr/>
      </w:pPr>
      <w:hyperlink w:anchor="i7bbfdc1bacb84fd0b83109c9a78b2c53_7">
        <w:r>
          <w:rPr>
            <w:rStyle w:val="InternetLink"/>
            <w:rFonts w:ascii="Times New Roman;sans-serif" w:hAnsi="Times New Roman;sans-serif"/>
            <w:b w:val="false"/>
            <w:color w:val="0000FF"/>
            <w:sz w:val="16"/>
            <w:u w:val="single"/>
          </w:rPr>
          <w:t>Index</w:t>
        </w:r>
      </w:hyperlink>
    </w:p>
    <w:p>
      <w:pPr>
        <w:pStyle w:val="TextBody"/>
        <w:bidi w:val="0"/>
        <w:spacing w:before="0" w:after="160"/>
        <w:ind w:left="0" w:right="0" w:firstLine="360"/>
        <w:jc w:val="both"/>
        <w:rPr/>
      </w:pPr>
      <w:r>
        <w:rPr/>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4, 2021, we entered into the ATM Agreement with H.C. Wainwright &amp; Co., LLC as sales agent, in connection with an “at the market offering” under which we from time to time may offer and sell shares of our common stock having an aggregate offering price of up to $50.0 million. As of the date of this filing and so long as our public float remains below $75.0 million, we are subject to limitations pursuant to General Instruction I.B.6 of Form S-3 (the “Baby Shelf Limitation”), which limits the amount we can offer to up to one-third of our public float during any trailing 12-month period. Subsequent to the filing of our Registration Statement on Form S-3 (File No. 333-279034) on May 1, 2024, the aggregate market value of our outstanding common stock held by non-affiliates was approximately $26.7 million. Pursuant to the Baby Shelf Limitation, since the aggregate market value of our outstanding common stock held by non-affiliates was below $75.0 million at the time of such S-3 filing, the aggregate amount of securities that we are permitted to offer and sell is now $8,915,094, which was equal to one-third of the aggregate market value of our common stock held by non-affiliates as of March 21, 2024. If our public float exceeds $75.0 million on a future measurement date, the Company will no longer be subject to the Baby Shelf Limitation. There were no issuances of common stock under the ATM Agreement for the three and six months ended June 30, 2024. Since inception we have issued 64,394 shares of common stock under the ATM Agreement for net proceeds of $270,774.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continue to seek capital through a number of means, there can be no assurance that additional financing will be available on acceptable terms, if at all, and our negotiating position in capital generating efforts may worsen as existing resources are used. Additional equity financing may be dilutive to our stockholders; debt financing, if available, may involve significant cash payment obligations and covenants that restrict our ability to operate as a business; our stock price may not reach levels necessary to induce option or warrant exercises; and asset sales may not be possible on terms we consider acceptable. If we are unable to access capital necessary to meet our long-term liquidity needs, we may have to delay the expansion of our business or raise funds on terms that we currently consider unfavorable.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do not have any off-balance sheet arrangements.</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our critical accounting policies and estimates during the three and six months ended June 30, 2024, compared to those reported in our 2023 Form 10-K.</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 xml:space="preserve">ITEM 4.  CONTROLS AND PROCEDURES </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 xml:space="preserve">(a)  Disclosure Controls and Procedures </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Disclosure controls and procedures are our controls and other procedures that are designed to ensure that information required to be disclosed in the reports that we file or submit under the Securities Exchange Act of 1934 (as defined in Rules 13a-15(e) and 15d-15(e)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the reports that we file under the Exchange Act is accumulated and communicated to management, including our Chief Executive Officer, who serves as our principal executive officer and who served as our principal financial officer until April 15, 2024, and our Senior Vice President, Finance and Treasury and Chief Accounting Officer, who has served as our principal financial officer from April 15, 2024 to present (together, the “Evaluating Officers”), as appropriate, to allow timely decisions regarding required disclosure. In designing and evaluating the disclosure controls and procedures, management recognizes that any controls and procedures, no matter how well-designed and operated, can provide only reasonable assurance of achieving the desired control objectives. Due to the inherent limitations of control systems, not all misstatements may be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Controls and procedures can only provide reasonable, not absolute, assurance that the above objectives have been met.</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we evaluated, with the participation of our management, including our Evaluating Officers, the effectiveness of our disclosure controls and procedures as defined in Rules 13a-15(e) and 15d-15(e) under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32 </w:t>
                      </w:r>
                    </w:p>
                  </w:txbxContent>
                </v:textbox>
                <w10:wrap type="none"/>
              </v:rect>
            </w:pict>
          </mc:Fallback>
        </mc:AlternateContent>
      </w:r>
    </w:p>
    <w:p>
      <w:pPr>
        <w:pStyle w:val="TextBody"/>
        <w:bidi w:val="0"/>
        <w:spacing w:lineRule="auto" w:line="288" w:before="0" w:after="0"/>
        <w:jc w:val="left"/>
        <w:rPr/>
      </w:pPr>
      <w:hyperlink w:anchor="i7bbfdc1bacb84fd0b83109c9a78b2c53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that evaluation, our Evaluating Officers concluded that our disclosure controls and procedures were effective, at the reasonable assurance level, in ensuring that information required to be disclosed by us in the reports that we file or submit under the Exchange Act is recorded, processed, summarized and reported, within the time periods specified in the SEC’s rules and forms and is accumulated and communicated to management, including the Evaluating Officers, as appropriate to allow timely decisions regarding required disclosure.</w:t>
      </w: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(b)  Changes in Internal Control over Financial Reporting</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April 15, 2024, the Company’s Board of Directors appointed James Nisco as the Company’s Senior Vice President, Finance and Treasury and Chief Accounting Officer, effective immediately, and Mr. Nisco simultaneously began serving as our principal financial officer and principal accounting officer.</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than as disclosed in this Item 4, there were no changes in our internal control over financial reporting, as such term is defined in Exchange Act Rule 13a-15, that occurred during our last quarter to which this Quarterly Report relates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33 </w:t>
                      </w:r>
                    </w:p>
                  </w:txbxContent>
                </v:textbox>
                <w10:wrap type="none"/>
              </v:rect>
            </w:pict>
          </mc:Fallback>
        </mc:AlternateContent>
      </w:r>
    </w:p>
    <w:p>
      <w:pPr>
        <w:pStyle w:val="TextBody"/>
        <w:bidi w:val="0"/>
        <w:spacing w:lineRule="auto" w:line="288" w:before="0" w:after="0"/>
        <w:jc w:val="left"/>
        <w:rPr/>
      </w:pPr>
      <w:hyperlink w:anchor="i7bbfdc1bacb84fd0b83109c9a78b2c53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OTHER INFORMATION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Other than as disclosed in “Note 13 – Contingencies” set forth in the Notes to Unaudited Consolidated Financial Statements, which are included herein, there are no material changes to the disclosures previously reported in our 2023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risk factors previously reported in our 2023 Form 10-K. See the risk factors set forth in our 2023 Annual Report on Form 10-K under the caption “Item 1A - Risk Factors.”</w:t>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16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0" w:after="16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bidi w:val="0"/>
        <w:spacing w:before="0" w:after="16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and six months ended June 30, 2024, no director or officer of the Company adopted, modified or terminated a “Rule 10b5-1 trading arrangement” or “non-Rule 10b5-1 trading arrangement,” as each term is defined in Item 408(a) of Regulation S-K. </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Exhibit Index appearing immediately after the signature page to this Form 10-Q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34 </w:t>
                      </w:r>
                    </w:p>
                  </w:txbxContent>
                </v:textbox>
                <w10:wrap type="none"/>
              </v:rect>
            </w:pict>
          </mc:Fallback>
        </mc:AlternateContent>
      </w:r>
    </w:p>
    <w:p>
      <w:pPr>
        <w:pStyle w:val="TextBody"/>
        <w:bidi w:val="0"/>
        <w:spacing w:lineRule="auto" w:line="288" w:before="0" w:after="0"/>
        <w:jc w:val="left"/>
        <w:rPr/>
      </w:pPr>
      <w:hyperlink w:anchor="i7bbfdc1bacb84fd0b83109c9a78b2c53_7">
        <w:r>
          <w:rPr>
            <w:rStyle w:val="InternetLink"/>
            <w:rFonts w:ascii="Times New Roman;sans-serif" w:hAnsi="Times New Roman;sans-serif"/>
            <w:b w:val="false"/>
            <w:color w:val="0000FF"/>
            <w:sz w:val="16"/>
            <w:u w:val="single"/>
          </w:rPr>
          <w:t>Index</w:t>
        </w:r>
      </w:hyperlink>
    </w:p>
    <w:p>
      <w:pPr>
        <w:pStyle w:val="TextBody"/>
        <w:bidi w:val="0"/>
        <w:spacing w:lineRule="auto" w:line="288" w:before="0" w:after="16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160"/>
        <w:jc w:val="center"/>
        <w:rPr/>
      </w:pPr>
      <w:r>
        <w:rPr/>
      </w:r>
    </w:p>
    <w:p>
      <w:pPr>
        <w:pStyle w:val="TextBody"/>
        <w:bidi w:val="0"/>
        <w:spacing w:lineRule="auto" w:line="288" w:before="0" w:after="16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10205" w:type="dxa"/>
        <w:jc w:val="center"/>
        <w:tblInd w:w="0" w:type="dxa"/>
        <w:tblLayout w:type="fixed"/>
        <w:tblCellMar>
          <w:top w:w="28" w:type="dxa"/>
          <w:left w:w="28" w:type="dxa"/>
          <w:bottom w:w="28" w:type="dxa"/>
          <w:right w:w="28" w:type="dxa"/>
        </w:tblCellMar>
      </w:tblPr>
      <w:tblGrid>
        <w:gridCol w:w="475"/>
        <w:gridCol w:w="418"/>
        <w:gridCol w:w="420"/>
        <w:gridCol w:w="109"/>
        <w:gridCol w:w="109"/>
        <w:gridCol w:w="109"/>
        <w:gridCol w:w="2505"/>
        <w:gridCol w:w="2505"/>
        <w:gridCol w:w="3555"/>
      </w:tblGrid>
      <w:tr>
        <w:trPr/>
        <w:tc>
          <w:tcPr>
            <w:tcW w:w="475"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5" w:type="dxa"/>
            <w:tcBorders/>
            <w:vAlign w:val="center"/>
          </w:tcPr>
          <w:p>
            <w:pPr>
              <w:pStyle w:val="TableContents"/>
              <w:bidi w:val="0"/>
              <w:spacing w:before="0" w:after="283"/>
              <w:jc w:val="left"/>
              <w:rPr>
                <w:sz w:val="4"/>
                <w:szCs w:val="4"/>
              </w:rPr>
            </w:pPr>
            <w:r>
              <w:rPr>
                <w:sz w:val="4"/>
                <w:szCs w:val="4"/>
              </w:rPr>
            </w:r>
          </w:p>
        </w:tc>
        <w:tc>
          <w:tcPr>
            <w:tcW w:w="2505" w:type="dxa"/>
            <w:tcBorders/>
            <w:vAlign w:val="center"/>
          </w:tcPr>
          <w:p>
            <w:pPr>
              <w:pStyle w:val="TableContents"/>
              <w:bidi w:val="0"/>
              <w:spacing w:before="0" w:after="283"/>
              <w:jc w:val="left"/>
              <w:rPr>
                <w:sz w:val="4"/>
                <w:szCs w:val="4"/>
              </w:rPr>
            </w:pPr>
            <w:r>
              <w:rPr>
                <w:sz w:val="4"/>
                <w:szCs w:val="4"/>
              </w:rPr>
            </w:r>
          </w:p>
        </w:tc>
        <w:tc>
          <w:tcPr>
            <w:tcW w:w="3555" w:type="dxa"/>
            <w:tcBorders/>
            <w:vAlign w:val="center"/>
          </w:tcPr>
          <w:p>
            <w:pPr>
              <w:pStyle w:val="TableContents"/>
              <w:bidi w:val="0"/>
              <w:spacing w:before="0" w:after="283"/>
              <w:jc w:val="left"/>
              <w:rPr>
                <w:sz w:val="4"/>
                <w:szCs w:val="4"/>
              </w:rPr>
            </w:pPr>
            <w:r>
              <w:rPr>
                <w:sz w:val="4"/>
                <w:szCs w:val="4"/>
              </w:rPr>
            </w:r>
          </w:p>
        </w:tc>
      </w:tr>
      <w:tr>
        <w:trPr/>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5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5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LISATA THERAPEUTICS, INC.</w:t>
            </w:r>
          </w:p>
        </w:tc>
      </w:tr>
      <w:tr>
        <w:trPr/>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12,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5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 xml:space="preserve">/s/ David J. Mazzo, PhD </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Name: David J. Mazzo, PhD </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President &amp; Chief Executive Officer</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13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 James Nisco</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James Nisco</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SVP, Finance and Treasury and Chief Accounting Officer (Principal Financial Officer and Principal Accounting Officer)</w:t>
            </w:r>
          </w:p>
        </w:tc>
      </w:tr>
    </w:tbl>
    <w:p>
      <w:pPr>
        <w:pStyle w:val="TextBody"/>
        <w:bidi w:val="0"/>
        <w:spacing w:before="0" w:after="66"/>
        <w:ind w:left="0" w:right="0" w:firstLine="315"/>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35 </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LISATA THERAPEUTICS,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263"/>
        <w:gridCol w:w="218"/>
        <w:gridCol w:w="221"/>
        <w:gridCol w:w="109"/>
        <w:gridCol w:w="109"/>
        <w:gridCol w:w="109"/>
        <w:gridCol w:w="2685"/>
        <w:gridCol w:w="2685"/>
        <w:gridCol w:w="3806"/>
      </w:tblGrid>
      <w:tr>
        <w:trPr/>
        <w:tc>
          <w:tcPr>
            <w:tcW w:w="26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06" w:type="dxa"/>
            <w:tcBorders/>
            <w:vAlign w:val="center"/>
          </w:tcPr>
          <w:p>
            <w:pPr>
              <w:pStyle w:val="TableContents"/>
              <w:bidi w:val="0"/>
              <w:spacing w:before="0" w:after="283"/>
              <w:jc w:val="left"/>
              <w:rPr>
                <w:sz w:val="4"/>
                <w:szCs w:val="4"/>
              </w:rPr>
            </w:pPr>
            <w:r>
              <w:rPr>
                <w:sz w:val="4"/>
                <w:szCs w:val="4"/>
              </w:rPr>
            </w:r>
          </w:p>
        </w:tc>
      </w:tr>
      <w:tr>
        <w:trPr/>
        <w:tc>
          <w:tcPr>
            <w:tcW w:w="7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lsta-ex311_20240630.htm">
              <w:r>
                <w:rPr>
                  <w:rStyle w:val="InternetLink"/>
                  <w:rFonts w:ascii="Times New Roman;sans-serif" w:hAnsi="Times New Roman;sans-serif"/>
                  <w:b w:val="false"/>
                  <w:color w:val="0000FF"/>
                  <w:sz w:val="18"/>
                  <w:u w:val="single"/>
                </w:rPr>
                <w:t>31.1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Certification of Principal Executive Officer pursuant to Section 302 of the Sarbanes-Oxley Act of 2002</w:t>
            </w:r>
          </w:p>
        </w:tc>
      </w:tr>
      <w:tr>
        <w:trPr/>
        <w:tc>
          <w:tcPr>
            <w:tcW w:w="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lsta-ex312_20240630.htm">
              <w:r>
                <w:rPr>
                  <w:rStyle w:val="InternetLink"/>
                  <w:rFonts w:ascii="Times New Roman;sans-serif" w:hAnsi="Times New Roman;sans-serif"/>
                  <w:b w:val="false"/>
                  <w:color w:val="0000FF"/>
                  <w:sz w:val="18"/>
                  <w:u w:val="single"/>
                </w:rPr>
                <w:t>31.2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Certification of Principal Financial Officer pursuant to Section 302 of the Sarbanes-Oxley Act of 2002</w:t>
            </w:r>
          </w:p>
        </w:tc>
      </w:tr>
      <w:tr>
        <w:trPr/>
        <w:tc>
          <w:tcPr>
            <w:tcW w:w="7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lsta-ex321_20240630.htm">
              <w:r>
                <w:rPr>
                  <w:rStyle w:val="InternetLink"/>
                  <w:rFonts w:ascii="Times New Roman;sans-serif" w:hAnsi="Times New Roman;sans-serif"/>
                  <w:b w:val="false"/>
                  <w:color w:val="0000FF"/>
                  <w:sz w:val="18"/>
                  <w:u w:val="single"/>
                </w:rPr>
                <w:t>32.1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Certification of Principal Executive Officer pursuant to 18 U.S.C. Section 1350, as adopted pursuant to Section 906 of the Sarbanes-Oxley Act of 2002</w:t>
            </w:r>
          </w:p>
        </w:tc>
      </w:tr>
      <w:tr>
        <w:trPr/>
        <w:tc>
          <w:tcPr>
            <w:tcW w:w="7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lsta-ex322_20240630.htm">
              <w:r>
                <w:rPr>
                  <w:rStyle w:val="InternetLink"/>
                  <w:rFonts w:ascii="Times New Roman;sans-serif" w:hAnsi="Times New Roman;sans-serif"/>
                  <w:b w:val="false"/>
                  <w:color w:val="0000FF"/>
                  <w:sz w:val="18"/>
                  <w:u w:val="single"/>
                </w:rPr>
                <w:t>32.2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Certification of Principal Financial Officer pursuant to 18 U.S.C. Section 1350, as adopted pursuant to Section 906 of the Sarbanes-Oxley Act of 2002</w:t>
            </w:r>
          </w:p>
        </w:tc>
      </w:tr>
      <w:tr>
        <w:trPr/>
        <w:tc>
          <w:tcPr>
            <w:tcW w:w="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 - the instance document does not appear in the Interactive Data File because its XBRL tags are embedded within the Inline XBRL document</w:t>
            </w:r>
          </w:p>
        </w:tc>
      </w:tr>
      <w:tr>
        <w:trPr/>
        <w:tc>
          <w:tcPr>
            <w:tcW w:w="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w:t>
            </w:r>
          </w:p>
        </w:tc>
      </w:tr>
      <w:tr>
        <w:trPr/>
        <w:tc>
          <w:tcPr>
            <w:tcW w:w="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Calculation Linkbase</w:t>
            </w:r>
          </w:p>
        </w:tc>
      </w:tr>
      <w:tr>
        <w:trPr/>
        <w:tc>
          <w:tcPr>
            <w:tcW w:w="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w:t>
            </w:r>
          </w:p>
        </w:tc>
      </w:tr>
      <w:tr>
        <w:trPr/>
        <w:tc>
          <w:tcPr>
            <w:tcW w:w="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Label Linkbase</w:t>
            </w:r>
          </w:p>
        </w:tc>
      </w:tr>
      <w:tr>
        <w:trPr/>
        <w:tc>
          <w:tcPr>
            <w:tcW w:w="7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Presentation Linkbase</w:t>
            </w:r>
          </w:p>
        </w:tc>
      </w:tr>
      <w:tr>
        <w:trPr/>
        <w:tc>
          <w:tcPr>
            <w:tcW w:w="7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(formatted as inline XBRL and contained in Exhibit 101)</w:t>
            </w:r>
          </w:p>
        </w:tc>
      </w:tr>
    </w:tbl>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_______________</w:t>
      </w:r>
    </w:p>
    <w:tbl>
      <w:tblPr>
        <w:tblW w:w="2096" w:type="dxa"/>
        <w:jc w:val="center"/>
        <w:tblInd w:w="0" w:type="dxa"/>
        <w:tblLayout w:type="fixed"/>
        <w:tblCellMar>
          <w:top w:w="28" w:type="dxa"/>
          <w:left w:w="28" w:type="dxa"/>
          <w:bottom w:w="28" w:type="dxa"/>
          <w:right w:w="28" w:type="dxa"/>
        </w:tblCellMar>
      </w:tblPr>
      <w:tblGrid>
        <w:gridCol w:w="124"/>
        <w:gridCol w:w="109"/>
        <w:gridCol w:w="109"/>
        <w:gridCol w:w="514"/>
        <w:gridCol w:w="514"/>
        <w:gridCol w:w="7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 UNDER SECTION 302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David J. Mazzo, PhD, certify that: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Lisata Therapeutics, Inc.;</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my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12, 2024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/s/ David J. Mazzo, PhD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Name: David J. Mazzo, PhD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Title: President &amp; Chief Executive Officer</w:t>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 UNDER SECTION 302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James Nisco, certify that: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Lisata Therapeutics, Inc.;</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my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12, 2024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/s/ James Nisco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Name: James Nisco</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Title: Senior Vice President, Finance and Treasury and Chief Accounting Officer</w:t>
      </w:r>
    </w:p>
    <w:p>
      <w:pPr>
        <w:pStyle w:val="TextBody"/>
        <w:bidi w:val="0"/>
        <w:spacing w:lineRule="auto" w:line="288"/>
        <w:jc w:val="both"/>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Principal Accounting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Lisata Therapeutics, Inc. (the “Company”) for the quarter ended June 30, 2024 filed with the Securities and Exchange Commission on the date hereof (the “Report”), I, David J. Mazzo, President and Chief Executive Officer of the Company, certify, pursuant to 18 U.S.C. Section 1350, as adopted pursuant to Section 906 of the Sarbanes-Oxley Act of 2002, to my knowledge that:</w:t>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of the Company as of the dates presented and the results of operations of the Company for the periods presented.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Dated:  August 12, 2024 </w:t>
      </w:r>
    </w:p>
    <w:p>
      <w:pPr>
        <w:pStyle w:val="TextBody"/>
        <w:bidi w:val="0"/>
        <w:spacing w:lineRule="auto" w:line="288" w:before="0" w:after="0"/>
        <w:jc w:val="left"/>
        <w:rPr>
          <w:color w:val="000000"/>
        </w:rPr>
      </w:pPr>
      <w:r>
        <w:rPr>
          <w:color w:val="000000"/>
        </w:rPr>
        <w:t> </w:t>
      </w:r>
    </w:p>
    <w:tbl>
      <w:tblPr>
        <w:tblW w:w="5772" w:type="dxa"/>
        <w:jc w:val="center"/>
        <w:tblInd w:w="0" w:type="dxa"/>
        <w:tblLayout w:type="fixed"/>
        <w:tblCellMar>
          <w:top w:w="28" w:type="dxa"/>
          <w:left w:w="28" w:type="dxa"/>
          <w:bottom w:w="28" w:type="dxa"/>
          <w:right w:w="28" w:type="dxa"/>
        </w:tblCellMar>
      </w:tblPr>
      <w:tblGrid>
        <w:gridCol w:w="124"/>
        <w:gridCol w:w="109"/>
        <w:gridCol w:w="109"/>
        <w:gridCol w:w="1591"/>
        <w:gridCol w:w="1591"/>
        <w:gridCol w:w="22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/s/ David J. Mazzo, PhD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J. Mazzo, PhD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&amp; Chief Executive Officer (Principal Executive Officer)</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p>
      <w:pPr>
        <w:pStyle w:val="TextBody"/>
        <w:bidi w:val="0"/>
        <w:spacing w:lineRule="auto" w:line="288" w:before="0" w:after="0"/>
        <w:jc w:val="both"/>
        <w:rPr>
          <w:color w:val="000000"/>
        </w:rPr>
      </w:pPr>
      <w:r>
        <w:rPr>
          <w:color w:val="000000"/>
        </w:rPr>
        <w:t> </w:t>
      </w:r>
    </w:p>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Lisata Therapeutics, Inc. (the “Company”) for the quarter ended June 30, 2024 filed with the Securities and Exchange Commission on the date hereof (the “Report”), I, James Nisco, Senior Vice President, Finance and Treasury and Chief Accounting Officer of the Company, certify, pursuant to 18 U.S.C. Section 1350, as adopted pursuant to Section 906 of the Sarbanes-Oxley Act of 2002, to my knowledge that:</w:t>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as amended;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of the Company as of the dates presented and the results of operations of the Company for the periods presented.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Dated:  August 12, 2024 </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93"/>
        <w:gridCol w:w="2893"/>
        <w:gridCol w:w="40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3" w:type="dxa"/>
            <w:tcBorders/>
            <w:vAlign w:val="center"/>
          </w:tcPr>
          <w:p>
            <w:pPr>
              <w:pStyle w:val="TableContents"/>
              <w:bidi w:val="0"/>
              <w:spacing w:before="0" w:after="283"/>
              <w:jc w:val="left"/>
              <w:rPr>
                <w:sz w:val="4"/>
                <w:szCs w:val="4"/>
              </w:rPr>
            </w:pPr>
            <w:r>
              <w:rPr>
                <w:sz w:val="4"/>
                <w:szCs w:val="4"/>
              </w:rPr>
            </w:r>
          </w:p>
        </w:tc>
        <w:tc>
          <w:tcPr>
            <w:tcW w:w="2893" w:type="dxa"/>
            <w:tcBorders/>
            <w:vAlign w:val="center"/>
          </w:tcPr>
          <w:p>
            <w:pPr>
              <w:pStyle w:val="TableContents"/>
              <w:bidi w:val="0"/>
              <w:spacing w:before="0" w:after="283"/>
              <w:jc w:val="left"/>
              <w:rPr>
                <w:sz w:val="4"/>
                <w:szCs w:val="4"/>
              </w:rPr>
            </w:pPr>
            <w:r>
              <w:rPr>
                <w:sz w:val="4"/>
                <w:szCs w:val="4"/>
              </w:rPr>
            </w:r>
          </w:p>
        </w:tc>
        <w:tc>
          <w:tcPr>
            <w:tcW w:w="40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/s/ James Nisco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Nisco</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Finance and Treasury and Chief Accounting Officer (Principal Financial Officer and Principal Accounting Officer)</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p>
      <w:pPr>
        <w:pStyle w:val="TextBody"/>
        <w:bidi w:val="0"/>
        <w:spacing w:lineRule="auto" w:line="288" w:before="0" w:after="0"/>
        <w:jc w:val="both"/>
        <w:rPr>
          <w:color w:val="000000"/>
        </w:rPr>
      </w:pPr>
      <w:r>
        <w:rPr>
          <w:color w:val="000000"/>
        </w:rPr>
        <w:t> </w:t>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15623</Words>
  <Characters>86882</Characters>
  <CharactersWithSpaces>101708</CharactersWithSpaces>
  <Paragraphs>1902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