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171" w:lineRule="exact"/>
        <w:rPr>
          <w:sz w:val="24"/>
          <w:szCs w:val="24"/>
          <w:color w:val="auto"/>
        </w:rPr>
      </w:pPr>
    </w:p>
    <w:p>
      <w:pPr>
        <w:ind w:left="3420" w:right="2360" w:hanging="3385"/>
        <w:spacing w:after="0" w:line="516" w:lineRule="auto"/>
        <w:tabs>
          <w:tab w:leader="none" w:pos="383"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001-33650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CALADRIUS BIOSCIENCES,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7" w:lineRule="exact"/>
        <w:rPr>
          <w:sz w:val="24"/>
          <w:szCs w:val="24"/>
          <w:color w:val="auto"/>
        </w:rPr>
      </w:pPr>
    </w:p>
    <w:tbl>
      <w:tblPr>
        <w:tblLayout w:type="fixed"/>
        <w:tblInd w:w="940" w:type="dxa"/>
        <w:tblCellMar>
          <w:top w:w="0" w:type="dxa"/>
          <w:left w:w="0" w:type="dxa"/>
          <w:bottom w:w="0" w:type="dxa"/>
          <w:right w:w="0" w:type="dxa"/>
        </w:tblCellMar>
      </w:tblP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6"/>
              </w:rPr>
              <w:t>DELAWARE</w:t>
            </w:r>
          </w:p>
        </w:tc>
        <w:tc>
          <w:tcPr>
            <w:tcW w:w="3740" w:type="dxa"/>
            <w:vAlign w:val="bottom"/>
          </w:tcPr>
          <w:p>
            <w:pPr>
              <w:jc w:val="right"/>
              <w:ind w:right="770"/>
              <w:spacing w:after="0"/>
              <w:rPr>
                <w:sz w:val="20"/>
                <w:szCs w:val="20"/>
                <w:color w:val="auto"/>
              </w:rPr>
            </w:pPr>
            <w:r>
              <w:rPr>
                <w:rFonts w:ascii="Arial" w:cs="Arial" w:eastAsia="Arial" w:hAnsi="Arial"/>
                <w:sz w:val="18"/>
                <w:szCs w:val="18"/>
                <w:color w:val="auto"/>
              </w:rPr>
              <w:t>22-2343568</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3"/>
              </w:rPr>
              <w:t>(I.R.S. Employer Identification No.)</w:t>
            </w:r>
          </w:p>
        </w:tc>
      </w:tr>
      <w:tr>
        <w:trPr>
          <w:trHeight w:val="540"/>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1"/>
              </w:rPr>
              <w:t>110 Allen Road, 2nd Floor, Basking Ridge, New Jersey</w:t>
            </w:r>
          </w:p>
        </w:tc>
        <w:tc>
          <w:tcPr>
            <w:tcW w:w="3740" w:type="dxa"/>
            <w:vAlign w:val="bottom"/>
          </w:tcPr>
          <w:p>
            <w:pPr>
              <w:jc w:val="right"/>
              <w:ind w:right="990"/>
              <w:spacing w:after="0"/>
              <w:rPr>
                <w:sz w:val="20"/>
                <w:szCs w:val="20"/>
                <w:color w:val="auto"/>
              </w:rPr>
            </w:pPr>
            <w:r>
              <w:rPr>
                <w:rFonts w:ascii="Arial" w:cs="Arial" w:eastAsia="Arial" w:hAnsi="Arial"/>
                <w:sz w:val="18"/>
                <w:szCs w:val="18"/>
                <w:color w:val="auto"/>
              </w:rPr>
              <w:t>07920</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908-842-0100</w:t>
      </w:r>
    </w:p>
    <w:p>
      <w:pPr>
        <w:spacing w:after="0" w:line="225"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040" w:val="left"/>
          <w:tab w:leader="none" w:pos="3540" w:val="left"/>
          <w:tab w:leader="none" w:pos="3980" w:val="left"/>
        </w:tabs>
        <w:rPr>
          <w:sz w:val="20"/>
          <w:szCs w:val="20"/>
          <w:color w:val="auto"/>
        </w:rPr>
      </w:pPr>
      <w:r>
        <w:rPr>
          <w:rFonts w:ascii="Arial" w:cs="Arial" w:eastAsia="Arial" w:hAnsi="Arial"/>
          <w:sz w:val="18"/>
          <w:szCs w:val="18"/>
          <w:color w:val="auto"/>
        </w:rPr>
        <w:t>requirements for the past 90 days.  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tabs>
          <w:tab w:leader="none" w:pos="780" w:val="left"/>
          <w:tab w:leader="none" w:pos="12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34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220"/>
            <w:col w:w="4980" w:space="720"/>
            <w:col w:w="1200" w:space="220"/>
            <w:col w:w="242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4">
            <w:col w:w="1560" w:space="140"/>
            <w:col w:w="5160" w:space="720"/>
            <w:col w:w="1960" w:space="220"/>
            <w:col w:w="1660"/>
          </w:cols>
          <w:pgMar w:left="240" w:top="233" w:right="239" w:bottom="144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9540" w:space="260"/>
            <w:col w:w="1620"/>
          </w:cols>
          <w:pgMar w:left="240" w:top="233" w:right="239" w:bottom="1440" w:gutter="0" w:footer="0" w:header="0"/>
          <w:type w:val="continuous"/>
        </w:sectPr>
      </w:pPr>
    </w:p>
    <w:p>
      <w:pPr>
        <w:spacing w:after="0" w:line="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a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Yes o</w:t>
        <w:tab/>
        <w:t>No x</w:t>
      </w:r>
    </w:p>
    <w:p>
      <w:pPr>
        <w:spacing w:after="0" w:line="373" w:lineRule="exact"/>
        <w:rPr>
          <w:sz w:val="24"/>
          <w:szCs w:val="24"/>
          <w:color w:val="auto"/>
        </w:rPr>
      </w:pPr>
    </w:p>
    <w:p>
      <w:pPr>
        <w:ind w:left="8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870" w:type="dxa"/>
        <w:tblCellMar>
          <w:top w:w="0" w:type="dxa"/>
          <w:left w:w="0" w:type="dxa"/>
          <w:bottom w:w="0" w:type="dxa"/>
          <w:right w:w="0" w:type="dxa"/>
        </w:tblCellMar>
      </w:tblPr>
      <w:tr>
        <w:trPr>
          <w:trHeight w:val="257"/>
        </w:trPr>
        <w:tc>
          <w:tcPr>
            <w:tcW w:w="2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22"/>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CLBS</w:t>
            </w:r>
          </w:p>
        </w:tc>
        <w:tc>
          <w:tcPr>
            <w:tcW w:w="4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230"/>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2240" w:type="dxa"/>
            <w:vAlign w:val="bottom"/>
            <w:tcBorders>
              <w:right w:val="single" w:sz="8" w:color="auto"/>
            </w:tcBorders>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399"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Class</w:t>
            </w: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w w:val="96"/>
              </w:rPr>
              <w:t>Outstanding as of May 8, 2019</w:t>
            </w:r>
          </w:p>
        </w:tc>
      </w:tr>
      <w:tr>
        <w:trPr>
          <w:trHeight w:val="27"/>
        </w:trPr>
        <w:tc>
          <w:tcPr>
            <w:tcW w:w="648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 per share</w:t>
            </w: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10,382,232 shares</w:t>
            </w:r>
          </w:p>
        </w:tc>
      </w:tr>
      <w:tr>
        <w:trPr>
          <w:trHeight w:val="27"/>
        </w:trPr>
        <w:tc>
          <w:tcPr>
            <w:tcW w:w="648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296"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sufficient capital or strategic business arrangements to fund our operations and expansion plans, including meeting our financial obligations under various licensing and other strategic arrangements, the funding of our clinical trials for product candidates, and the commercialization of the relevant technology;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and maintain the management and human resources infrastructure necessary to support the growth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cell-based products and services and our ability to capture a meaningful share of this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 party patents;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and the need of patients to meet the inclusion criteria of the trial or otherwise; and</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14, 2019, as subsequently amended on March 19, 2019 (our "2018 Form 10-K").</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factors discussed herein, including those risks described in "Item 1A. Risk Factors" and elsewhere in our 2018 Form 10-K and in our other periodic filings with the SEC, which are available for review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PART I- FINANCIAL INFORMATION</w:t>
            </w:r>
          </w:p>
        </w:tc>
        <w:tc>
          <w:tcPr>
            <w:tcW w:w="168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b w:val="1"/>
                <w:bCs w:val="1"/>
                <w:color w:val="auto"/>
                <w:w w:val="99"/>
              </w:rPr>
              <w:t>Page No.</w:t>
            </w: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1.</w:t>
            </w:r>
          </w:p>
        </w:tc>
        <w:tc>
          <w:tcPr>
            <w:tcW w:w="8600" w:type="dxa"/>
            <w:vAlign w:val="bottom"/>
          </w:tcPr>
          <w:p>
            <w:pPr>
              <w:ind w:left="140"/>
              <w:spacing w:after="0"/>
              <w:rPr>
                <w:sz w:val="20"/>
                <w:szCs w:val="20"/>
                <w:color w:val="auto"/>
              </w:rPr>
            </w:pPr>
            <w:r>
              <w:rPr>
                <w:rFonts w:ascii="Arial" w:cs="Arial" w:eastAsia="Arial" w:hAnsi="Arial"/>
                <w:sz w:val="16"/>
                <w:szCs w:val="16"/>
                <w:b w:val="1"/>
                <w:bCs w:val="1"/>
                <w:color w:val="auto"/>
              </w:rPr>
              <w:t>Financial Statements:</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spacing w:after="0"/>
              <w:rPr>
                <w:sz w:val="16"/>
                <w:szCs w:val="16"/>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Balance Sheets at March 31, 2019 (unaudited) and December 31, 2018</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8600" w:type="dxa"/>
            <w:vAlign w:val="bottom"/>
          </w:tcPr>
          <w:p>
            <w:pPr>
              <w:ind w:left="140"/>
              <w:spacing w:after="0"/>
              <w:rPr>
                <w:sz w:val="20"/>
                <w:szCs w:val="20"/>
                <w:color w:val="auto"/>
              </w:rPr>
            </w:pPr>
            <w:r>
              <w:rPr>
                <w:rFonts w:ascii="Arial" w:cs="Arial" w:eastAsia="Arial" w:hAnsi="Arial"/>
                <w:sz w:val="16"/>
                <w:szCs w:val="16"/>
                <w:color w:val="auto"/>
              </w:rPr>
              <w:t>Consolidated Statements of Operations for the three months ended March 31, 2019 and 2018 (unaudited)</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5</w:t>
              </w:r>
            </w:hyperlink>
          </w:p>
        </w:tc>
        <w:tc>
          <w:tcPr>
            <w:tcW w:w="300" w:type="dxa"/>
            <w:vAlign w:val="bottom"/>
          </w:tcPr>
          <w:p>
            <w:pPr>
              <w:spacing w:after="0"/>
              <w:rPr>
                <w:sz w:val="16"/>
                <w:szCs w:val="16"/>
                <w:color w:val="auto"/>
              </w:rPr>
            </w:pPr>
          </w:p>
        </w:tc>
      </w:tr>
      <w:tr>
        <w:trPr>
          <w:trHeight w:val="61"/>
        </w:trPr>
        <w:tc>
          <w:tcPr>
            <w:tcW w:w="760" w:type="dxa"/>
            <w:vAlign w:val="bottom"/>
          </w:tcPr>
          <w:p>
            <w:pPr>
              <w:spacing w:after="0"/>
              <w:rPr>
                <w:sz w:val="5"/>
                <w:szCs w:val="5"/>
                <w:color w:val="auto"/>
              </w:rPr>
            </w:pPr>
          </w:p>
        </w:tc>
        <w:tc>
          <w:tcPr>
            <w:tcW w:w="86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r>
      <w:tr>
        <w:trPr>
          <w:trHeight w:val="189"/>
        </w:trPr>
        <w:tc>
          <w:tcPr>
            <w:tcW w:w="760" w:type="dxa"/>
            <w:vAlign w:val="bottom"/>
            <w:shd w:val="clear" w:color="auto" w:fill="CCEEFF"/>
          </w:tcPr>
          <w:p>
            <w:pPr>
              <w:spacing w:after="0"/>
              <w:rPr>
                <w:sz w:val="16"/>
                <w:szCs w:val="16"/>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Statements of Comprehensive Loss for the three months ended March 31, 2019 and 2018 (unaudited)</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6</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8600" w:type="dxa"/>
            <w:vAlign w:val="bottom"/>
          </w:tcPr>
          <w:p>
            <w:pPr>
              <w:ind w:left="140"/>
              <w:spacing w:after="0"/>
              <w:rPr>
                <w:sz w:val="20"/>
                <w:szCs w:val="20"/>
                <w:color w:val="auto"/>
              </w:rPr>
            </w:pPr>
            <w:r>
              <w:rPr>
                <w:rFonts w:ascii="Arial" w:cs="Arial" w:eastAsia="Arial" w:hAnsi="Arial"/>
                <w:sz w:val="16"/>
                <w:szCs w:val="16"/>
                <w:color w:val="auto"/>
              </w:rPr>
              <w:t>Consolidated Statements of Equity for the three months ended March 31, 2019 and 2018 (unaudited)</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7</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spacing w:after="0"/>
              <w:rPr>
                <w:sz w:val="16"/>
                <w:szCs w:val="16"/>
                <w:color w:val="auto"/>
              </w:rPr>
            </w:pP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Statements of Cash Flows for the three months ended March 31, 2019 and 2018 (unaudited)</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8</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8600" w:type="dxa"/>
            <w:vAlign w:val="bottom"/>
          </w:tcPr>
          <w:p>
            <w:pPr>
              <w:ind w:left="140"/>
              <w:spacing w:after="0"/>
              <w:rPr>
                <w:sz w:val="20"/>
                <w:szCs w:val="20"/>
                <w:color w:val="auto"/>
              </w:rPr>
            </w:pPr>
            <w:r>
              <w:rPr>
                <w:rFonts w:ascii="Arial" w:cs="Arial" w:eastAsia="Arial" w:hAnsi="Arial"/>
                <w:sz w:val="16"/>
                <w:szCs w:val="16"/>
                <w:color w:val="auto"/>
              </w:rPr>
              <w:t>Notes to Unaudited Consolidated Financial Statements</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9</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2.</w:t>
            </w: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18</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8600" w:type="dxa"/>
            <w:vAlign w:val="bottom"/>
          </w:tcPr>
          <w:p>
            <w:pPr>
              <w:ind w:left="140"/>
              <w:spacing w:after="0"/>
              <w:rPr>
                <w:sz w:val="20"/>
                <w:szCs w:val="20"/>
                <w:color w:val="auto"/>
              </w:rPr>
            </w:pPr>
            <w:r>
              <w:rPr>
                <w:rFonts w:ascii="Arial" w:cs="Arial" w:eastAsia="Arial" w:hAnsi="Arial"/>
                <w:sz w:val="16"/>
                <w:szCs w:val="16"/>
                <w:b w:val="1"/>
                <w:bCs w:val="1"/>
                <w:color w:val="auto"/>
              </w:rPr>
              <w:t>Quantitative and Qualitative Disclosures About Market Risk</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23</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37"/>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4.</w:t>
            </w: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Controls and Procedures</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23</w:t>
              </w:r>
            </w:hyperlink>
          </w:p>
        </w:tc>
        <w:tc>
          <w:tcPr>
            <w:tcW w:w="300" w:type="dxa"/>
            <w:vAlign w:val="bottom"/>
            <w:shd w:val="clear" w:color="auto" w:fill="CCEEFF"/>
          </w:tcPr>
          <w:p>
            <w:pPr>
              <w:spacing w:after="0"/>
              <w:rPr>
                <w:sz w:val="20"/>
                <w:szCs w:val="20"/>
                <w:color w:val="auto"/>
              </w:rPr>
            </w:pPr>
          </w:p>
        </w:tc>
      </w:tr>
      <w:tr>
        <w:trPr>
          <w:trHeight w:val="224"/>
        </w:trPr>
        <w:tc>
          <w:tcPr>
            <w:tcW w:w="760" w:type="dxa"/>
            <w:vAlign w:val="bottom"/>
            <w:tcBorders>
              <w:top w:val="single" w:sz="8" w:color="CCEEFF"/>
            </w:tcBorders>
          </w:tcPr>
          <w:p>
            <w:pPr>
              <w:spacing w:after="0"/>
              <w:rPr>
                <w:sz w:val="19"/>
                <w:szCs w:val="19"/>
                <w:color w:val="auto"/>
              </w:rPr>
            </w:pPr>
          </w:p>
        </w:tc>
        <w:tc>
          <w:tcPr>
            <w:tcW w:w="8600" w:type="dxa"/>
            <w:vAlign w:val="bottom"/>
            <w:tcBorders>
              <w:top w:val="single" w:sz="8" w:color="CCEEFF"/>
            </w:tcBorders>
          </w:tcPr>
          <w:p>
            <w:pPr>
              <w:ind w:left="140"/>
              <w:spacing w:after="0"/>
              <w:rPr>
                <w:sz w:val="20"/>
                <w:szCs w:val="20"/>
                <w:color w:val="auto"/>
              </w:rPr>
            </w:pPr>
            <w:r>
              <w:rPr>
                <w:rFonts w:ascii="Arial" w:cs="Arial" w:eastAsia="Arial" w:hAnsi="Arial"/>
                <w:sz w:val="16"/>
                <w:szCs w:val="16"/>
                <w:b w:val="1"/>
                <w:bCs w:val="1"/>
                <w:color w:val="auto"/>
              </w:rPr>
              <w:t>PART II- OTHER INFORMATION</w:t>
            </w: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47"/>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1.</w:t>
            </w: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Legal Proceedings</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1A.</w:t>
            </w:r>
          </w:p>
        </w:tc>
        <w:tc>
          <w:tcPr>
            <w:tcW w:w="8600" w:type="dxa"/>
            <w:vAlign w:val="bottom"/>
          </w:tcPr>
          <w:p>
            <w:pPr>
              <w:ind w:left="140"/>
              <w:spacing w:after="0"/>
              <w:rPr>
                <w:sz w:val="20"/>
                <w:szCs w:val="20"/>
                <w:color w:val="auto"/>
              </w:rPr>
            </w:pPr>
            <w:r>
              <w:rPr>
                <w:rFonts w:ascii="Arial" w:cs="Arial" w:eastAsia="Arial" w:hAnsi="Arial"/>
                <w:sz w:val="16"/>
                <w:szCs w:val="16"/>
                <w:b w:val="1"/>
                <w:bCs w:val="1"/>
                <w:color w:val="auto"/>
              </w:rPr>
              <w:t>Risk Factors</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2.</w:t>
            </w: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Unregistered Sales of Equity Securities and Use of Proceeds</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3.</w:t>
            </w:r>
          </w:p>
        </w:tc>
        <w:tc>
          <w:tcPr>
            <w:tcW w:w="8600" w:type="dxa"/>
            <w:vAlign w:val="bottom"/>
          </w:tcPr>
          <w:p>
            <w:pPr>
              <w:ind w:left="140"/>
              <w:spacing w:after="0"/>
              <w:rPr>
                <w:sz w:val="20"/>
                <w:szCs w:val="20"/>
                <w:color w:val="auto"/>
              </w:rPr>
            </w:pPr>
            <w:r>
              <w:rPr>
                <w:rFonts w:ascii="Arial" w:cs="Arial" w:eastAsia="Arial" w:hAnsi="Arial"/>
                <w:sz w:val="16"/>
                <w:szCs w:val="16"/>
                <w:b w:val="1"/>
                <w:bCs w:val="1"/>
                <w:color w:val="auto"/>
              </w:rPr>
              <w:t>Defaults Upon Senior Securities</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4.</w:t>
            </w: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Mine Safety Disclosures</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ind w:left="20"/>
              <w:spacing w:after="0"/>
              <w:rPr>
                <w:sz w:val="20"/>
                <w:szCs w:val="20"/>
                <w:color w:val="auto"/>
              </w:rPr>
            </w:pPr>
            <w:r>
              <w:rPr>
                <w:rFonts w:ascii="Arial" w:cs="Arial" w:eastAsia="Arial" w:hAnsi="Arial"/>
                <w:sz w:val="16"/>
                <w:szCs w:val="16"/>
                <w:b w:val="1"/>
                <w:bCs w:val="1"/>
                <w:color w:val="auto"/>
              </w:rPr>
              <w:t>Item 5.</w:t>
            </w:r>
          </w:p>
        </w:tc>
        <w:tc>
          <w:tcPr>
            <w:tcW w:w="8600" w:type="dxa"/>
            <w:vAlign w:val="bottom"/>
          </w:tcPr>
          <w:p>
            <w:pPr>
              <w:ind w:left="140"/>
              <w:spacing w:after="0"/>
              <w:rPr>
                <w:sz w:val="20"/>
                <w:szCs w:val="20"/>
                <w:color w:val="auto"/>
              </w:rPr>
            </w:pPr>
            <w:r>
              <w:rPr>
                <w:rFonts w:ascii="Arial" w:cs="Arial" w:eastAsia="Arial" w:hAnsi="Arial"/>
                <w:sz w:val="16"/>
                <w:szCs w:val="16"/>
                <w:b w:val="1"/>
                <w:bCs w:val="1"/>
                <w:color w:val="auto"/>
              </w:rPr>
              <w:t>Other Information</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tcPr>
          <w:p>
            <w:pPr>
              <w:spacing w:after="0"/>
              <w:rPr>
                <w:sz w:val="16"/>
                <w:szCs w:val="16"/>
                <w:color w:val="auto"/>
              </w:rPr>
            </w:pPr>
          </w:p>
        </w:tc>
      </w:tr>
      <w:tr>
        <w:trPr>
          <w:trHeight w:val="48"/>
        </w:trPr>
        <w:tc>
          <w:tcPr>
            <w:tcW w:w="760" w:type="dxa"/>
            <w:vAlign w:val="bottom"/>
          </w:tcPr>
          <w:p>
            <w:pPr>
              <w:spacing w:after="0"/>
              <w:rPr>
                <w:sz w:val="4"/>
                <w:szCs w:val="4"/>
                <w:color w:val="auto"/>
              </w:rPr>
            </w:pPr>
          </w:p>
        </w:tc>
        <w:tc>
          <w:tcPr>
            <w:tcW w:w="86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189"/>
        </w:trPr>
        <w:tc>
          <w:tcPr>
            <w:tcW w:w="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Item 6.</w:t>
            </w:r>
          </w:p>
        </w:tc>
        <w:tc>
          <w:tcPr>
            <w:tcW w:w="8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Exhibits</w:t>
            </w:r>
          </w:p>
        </w:tc>
        <w:tc>
          <w:tcPr>
            <w:tcW w:w="1380" w:type="dxa"/>
            <w:vAlign w:val="bottom"/>
            <w:tcBorders>
              <w:right w:val="single" w:sz="8" w:color="CCEEFF"/>
            </w:tcBorders>
            <w:gridSpan w:val="2"/>
            <w:shd w:val="clear" w:color="auto" w:fill="CCEEFF"/>
          </w:tcPr>
          <w:p>
            <w:pPr>
              <w:jc w:val="center"/>
              <w:ind w:left="1139"/>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24</w:t>
              </w:r>
            </w:hyperlink>
          </w:p>
        </w:tc>
        <w:tc>
          <w:tcPr>
            <w:tcW w:w="300" w:type="dxa"/>
            <w:vAlign w:val="bottom"/>
            <w:shd w:val="clear" w:color="auto" w:fill="CCEEFF"/>
          </w:tcPr>
          <w:p>
            <w:pPr>
              <w:spacing w:after="0"/>
              <w:rPr>
                <w:sz w:val="16"/>
                <w:szCs w:val="16"/>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right w:val="single" w:sz="8" w:color="CCEEFF"/>
            </w:tcBorders>
            <w:shd w:val="clear" w:color="auto" w:fill="CCEEFF"/>
          </w:tcPr>
          <w:p>
            <w:pPr>
              <w:spacing w:after="0"/>
              <w:rPr>
                <w:sz w:val="4"/>
                <w:szCs w:val="4"/>
                <w:color w:val="auto"/>
              </w:rPr>
            </w:pPr>
          </w:p>
        </w:tc>
        <w:tc>
          <w:tcPr>
            <w:tcW w:w="120" w:type="dxa"/>
            <w:vAlign w:val="bottom"/>
            <w:tcBorders>
              <w:top w:val="single" w:sz="8" w:color="0000EE"/>
              <w:right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189"/>
        </w:trPr>
        <w:tc>
          <w:tcPr>
            <w:tcW w:w="760" w:type="dxa"/>
            <w:vAlign w:val="bottom"/>
          </w:tcPr>
          <w:p>
            <w:pPr>
              <w:spacing w:after="0"/>
              <w:rPr>
                <w:sz w:val="16"/>
                <w:szCs w:val="16"/>
                <w:color w:val="auto"/>
              </w:rPr>
            </w:pPr>
          </w:p>
        </w:tc>
        <w:tc>
          <w:tcPr>
            <w:tcW w:w="8600" w:type="dxa"/>
            <w:vAlign w:val="bottom"/>
          </w:tcPr>
          <w:p>
            <w:pPr>
              <w:ind w:left="140"/>
              <w:spacing w:after="0"/>
              <w:rPr>
                <w:sz w:val="20"/>
                <w:szCs w:val="20"/>
                <w:color w:val="auto"/>
              </w:rPr>
            </w:pPr>
            <w:r>
              <w:rPr>
                <w:rFonts w:ascii="Arial" w:cs="Arial" w:eastAsia="Arial" w:hAnsi="Arial"/>
                <w:sz w:val="16"/>
                <w:szCs w:val="16"/>
                <w:b w:val="1"/>
                <w:bCs w:val="1"/>
                <w:color w:val="auto"/>
              </w:rPr>
              <w:t>Signatures</w:t>
            </w:r>
          </w:p>
        </w:tc>
        <w:tc>
          <w:tcPr>
            <w:tcW w:w="1380" w:type="dxa"/>
            <w:vAlign w:val="bottom"/>
            <w:gridSpan w:val="2"/>
          </w:tcPr>
          <w:p>
            <w:pPr>
              <w:jc w:val="center"/>
              <w:ind w:left="1139"/>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25</w:t>
              </w:r>
            </w:hyperlink>
          </w:p>
        </w:tc>
        <w:tc>
          <w:tcPr>
            <w:tcW w:w="30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14,424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10,299</w:t>
            </w: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32,754</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Prepaid and other current assets</w:t>
            </w: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1,053</w:t>
            </w: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44,106</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84"/>
        </w:trPr>
        <w:tc>
          <w:tcPr>
            <w:tcW w:w="78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41,288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44,580</w:t>
            </w:r>
          </w:p>
        </w:tc>
      </w:tr>
      <w:tr>
        <w:trPr>
          <w:trHeight w:val="271"/>
        </w:trPr>
        <w:tc>
          <w:tcPr>
            <w:tcW w:w="7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762</w:t>
            </w: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4,857</w:t>
            </w:r>
          </w:p>
        </w:tc>
      </w:tr>
      <w:tr>
        <w:trPr>
          <w:trHeight w:val="217"/>
        </w:trPr>
        <w:tc>
          <w:tcPr>
            <w:tcW w:w="78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5,619</w:t>
            </w: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r>
      <w:tr>
        <w:trPr>
          <w:trHeight w:val="217"/>
        </w:trPr>
        <w:tc>
          <w:tcPr>
            <w:tcW w:w="78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6,830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84"/>
        </w:trPr>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stock, authorized, 20,000,000 shares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03"/>
        </w:trPr>
        <w:tc>
          <w:tcPr>
            <w:tcW w:w="78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4"/>
              </w:rPr>
              <w:t>Series B convertible redeemable preferred stock liquidation value, 1 share of common stock, $0.01 par value;</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78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2"/>
              </w:rPr>
              <w:t>825,000 shares designated; issued and outstanding, 10,000 shares at March 31, 2019 and December 31, 2018,</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9"/>
        </w:trPr>
        <w:tc>
          <w:tcPr>
            <w:tcW w:w="7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880" w:type="dxa"/>
            <w:vAlign w:val="bottom"/>
          </w:tcPr>
          <w:p>
            <w:pPr>
              <w:ind w:left="280"/>
              <w:spacing w:after="0"/>
              <w:rPr>
                <w:sz w:val="20"/>
                <w:szCs w:val="20"/>
                <w:color w:val="auto"/>
              </w:rPr>
            </w:pPr>
            <w:r>
              <w:rPr>
                <w:rFonts w:ascii="Arial" w:cs="Arial" w:eastAsia="Arial" w:hAnsi="Arial"/>
                <w:sz w:val="16"/>
                <w:szCs w:val="16"/>
                <w:color w:val="auto"/>
                <w:w w:val="90"/>
              </w:rPr>
              <w:t>Common stock, $0.001 par value, authorized 500,000,000 shares; issued and outstanding, 10,393,312 and 9,865,735</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6"/>
        </w:trPr>
        <w:tc>
          <w:tcPr>
            <w:tcW w:w="7880" w:type="dxa"/>
            <w:vAlign w:val="bottom"/>
          </w:tcPr>
          <w:p>
            <w:pPr>
              <w:ind w:left="520"/>
              <w:spacing w:after="0"/>
              <w:rPr>
                <w:sz w:val="20"/>
                <w:szCs w:val="20"/>
                <w:color w:val="auto"/>
              </w:rPr>
            </w:pPr>
            <w:r>
              <w:rPr>
                <w:rFonts w:ascii="Arial" w:cs="Arial" w:eastAsia="Arial" w:hAnsi="Arial"/>
                <w:sz w:val="16"/>
                <w:szCs w:val="16"/>
                <w:color w:val="auto"/>
              </w:rPr>
              <w:t>shares at March 31, 2019 and December 31, 2018, respectively</w:t>
            </w:r>
          </w:p>
        </w:tc>
        <w:tc>
          <w:tcPr>
            <w:tcW w:w="2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436,433</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Treasury stock, at cost; 11,080 shares at March 31, 2019 and December 31, 2018</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33"/>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(397,977)</w:t>
            </w:r>
          </w:p>
        </w:tc>
      </w:tr>
      <w:tr>
        <w:trPr>
          <w:trHeight w:val="237"/>
        </w:trPr>
        <w:tc>
          <w:tcPr>
            <w:tcW w:w="788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Caladrius Biosciences, Inc.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37,726</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Noncontrolling interests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3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37,454</w:t>
            </w:r>
          </w:p>
        </w:tc>
      </w:tr>
      <w:tr>
        <w:trPr>
          <w:trHeight w:val="231"/>
        </w:trPr>
        <w:tc>
          <w:tcPr>
            <w:tcW w:w="78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41,288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12700</wp:posOffset>
            </wp:positionV>
            <wp:extent cx="2032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-130175</wp:posOffset>
            </wp:positionV>
            <wp:extent cx="2032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122" w:right="57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33"/>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2,038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2,262</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2,897</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Operating loss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(5,159)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91"/>
        </w:trPr>
        <w:tc>
          <w:tcPr>
            <w:tcW w:w="8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(4,984)</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8800" w:type="dxa"/>
            <w:vAlign w:val="bottom"/>
          </w:tcPr>
          <w:p>
            <w:pPr>
              <w:ind w:left="40"/>
              <w:spacing w:after="0"/>
              <w:rPr>
                <w:sz w:val="20"/>
                <w:szCs w:val="20"/>
                <w:color w:val="auto"/>
              </w:rPr>
            </w:pPr>
            <w:r>
              <w:rPr>
                <w:rFonts w:ascii="Arial" w:cs="Arial" w:eastAsia="Arial" w:hAnsi="Arial"/>
                <w:sz w:val="16"/>
                <w:szCs w:val="16"/>
                <w:color w:val="auto"/>
              </w:rPr>
              <w:t>Less - net income (loss) attributable to noncontrolling interests</w:t>
            </w: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Caladrius Biosciences, Inc.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Basic and diluted loss per share</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Caladrius Biosciences, Inc.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84"/>
        </w:trPr>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Basic and diluted shares</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9,557</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3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(4,984)</w:t>
            </w:r>
          </w:p>
        </w:tc>
      </w:tr>
      <w:tr>
        <w:trPr>
          <w:trHeight w:val="297"/>
        </w:trPr>
        <w:tc>
          <w:tcPr>
            <w:tcW w:w="7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Available for sale securities - net unrealized income (loss)</w:t>
            </w:r>
          </w:p>
        </w:tc>
        <w:tc>
          <w:tcPr>
            <w:tcW w:w="128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91"/>
        </w:trPr>
        <w:tc>
          <w:tcPr>
            <w:tcW w:w="74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(4,985)</w:t>
            </w:r>
          </w:p>
        </w:tc>
      </w:tr>
      <w:tr>
        <w:trPr>
          <w:trHeight w:val="297"/>
        </w:trPr>
        <w:tc>
          <w:tcPr>
            <w:tcW w:w="7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91"/>
        </w:trPr>
        <w:tc>
          <w:tcPr>
            <w:tcW w:w="744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Caladrius Biosciences, Inc. common stockholders</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w:t>
            </w: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7"/>
              </w:rPr>
              <w:t>Series B Convertible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20" w:type="dxa"/>
            <w:vAlign w:val="bottom"/>
            <w:gridSpan w:val="5"/>
          </w:tcPr>
          <w:p>
            <w:pPr>
              <w:ind w:left="180"/>
              <w:spacing w:after="0" w:line="144" w:lineRule="exact"/>
              <w:rPr>
                <w:sz w:val="20"/>
                <w:szCs w:val="20"/>
                <w:color w:val="auto"/>
              </w:rPr>
            </w:pPr>
            <w:r>
              <w:rPr>
                <w:rFonts w:ascii="Arial" w:cs="Arial" w:eastAsia="Arial" w:hAnsi="Arial"/>
                <w:sz w:val="13"/>
                <w:szCs w:val="13"/>
                <w:b w:val="1"/>
                <w:bCs w:val="1"/>
                <w:color w:val="auto"/>
              </w:rPr>
              <w:t>Preferred Stock</w:t>
            </w:r>
          </w:p>
        </w:tc>
        <w:tc>
          <w:tcPr>
            <w:tcW w:w="122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Inc.</w:t>
            </w:r>
          </w:p>
        </w:tc>
        <w:tc>
          <w:tcPr>
            <w:tcW w:w="7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Treasury</w:t>
            </w:r>
          </w:p>
        </w:tc>
        <w:tc>
          <w:tcPr>
            <w:tcW w:w="96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60" w:type="dxa"/>
            <w:vAlign w:val="bottom"/>
          </w:tcPr>
          <w:p>
            <w:pPr>
              <w:spacing w:after="0"/>
              <w:rPr>
                <w:sz w:val="11"/>
                <w:szCs w:val="11"/>
                <w:color w:val="auto"/>
              </w:rPr>
            </w:pPr>
          </w:p>
        </w:tc>
        <w:tc>
          <w:tcPr>
            <w:tcW w:w="6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9,484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433,044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(381,810)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50,507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50,189</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marketable</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option exercises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9"/>
              </w:rPr>
              <w:t>Change in ownership in subsidiary</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2018</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9,575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433,138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(386,792)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45,589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45,317</w:t>
            </w:r>
          </w:p>
        </w:tc>
        <w:tc>
          <w:tcPr>
            <w:tcW w:w="0" w:type="dxa"/>
            <w:vAlign w:val="bottom"/>
          </w:tcPr>
          <w:p>
            <w:pPr>
              <w:spacing w:after="0"/>
              <w:rPr>
                <w:sz w:val="1"/>
                <w:szCs w:val="1"/>
                <w:color w:val="auto"/>
              </w:rPr>
            </w:pPr>
          </w:p>
        </w:tc>
      </w:tr>
      <w:tr>
        <w:trPr>
          <w:trHeight w:val="535"/>
        </w:trPr>
        <w:tc>
          <w:tcPr>
            <w:tcW w:w="2180" w:type="dxa"/>
            <w:vAlign w:val="bottom"/>
          </w:tcPr>
          <w:p>
            <w:pPr>
              <w:spacing w:after="0"/>
              <w:rPr>
                <w:sz w:val="24"/>
                <w:szCs w:val="24"/>
                <w:color w:val="auto"/>
              </w:rPr>
            </w:pPr>
          </w:p>
        </w:tc>
        <w:tc>
          <w:tcPr>
            <w:tcW w:w="13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w w:val="97"/>
              </w:rPr>
              <w:t>Series B Convertible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18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1"/>
              </w:rPr>
              <w:t>Caladrius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320" w:type="dxa"/>
            <w:vAlign w:val="bottom"/>
            <w:gridSpan w:val="5"/>
          </w:tcPr>
          <w:p>
            <w:pPr>
              <w:ind w:left="180"/>
              <w:spacing w:after="0" w:line="144" w:lineRule="exact"/>
              <w:rPr>
                <w:sz w:val="20"/>
                <w:szCs w:val="20"/>
                <w:color w:val="auto"/>
              </w:rPr>
            </w:pPr>
            <w:r>
              <w:rPr>
                <w:rFonts w:ascii="Arial" w:cs="Arial" w:eastAsia="Arial" w:hAnsi="Arial"/>
                <w:sz w:val="13"/>
                <w:szCs w:val="13"/>
                <w:b w:val="1"/>
                <w:bCs w:val="1"/>
                <w:color w:val="auto"/>
              </w:rPr>
              <w:t>Preferred Stock</w:t>
            </w:r>
          </w:p>
        </w:tc>
        <w:tc>
          <w:tcPr>
            <w:tcW w:w="122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80"/>
              </w:rPr>
              <w:t>Biosciences,</w:t>
            </w:r>
          </w:p>
        </w:tc>
        <w:tc>
          <w:tcPr>
            <w:tcW w:w="160" w:type="dxa"/>
            <w:vAlign w:val="bottom"/>
          </w:tcPr>
          <w:p>
            <w:pPr>
              <w:spacing w:after="0"/>
              <w:rPr>
                <w:sz w:val="12"/>
                <w:szCs w:val="12"/>
                <w:color w:val="auto"/>
              </w:rPr>
            </w:pPr>
          </w:p>
        </w:tc>
        <w:tc>
          <w:tcPr>
            <w:tcW w:w="6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1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3"/>
                <w:szCs w:val="3"/>
                <w:color w:val="auto"/>
              </w:rPr>
            </w:pPr>
          </w:p>
        </w:tc>
        <w:tc>
          <w:tcPr>
            <w:tcW w:w="8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Inc.</w:t>
            </w:r>
          </w:p>
        </w:tc>
        <w:tc>
          <w:tcPr>
            <w:tcW w:w="7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Paid in</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Treasury</w:t>
            </w:r>
          </w:p>
        </w:tc>
        <w:tc>
          <w:tcPr>
            <w:tcW w:w="96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7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Interest in</w:t>
            </w:r>
          </w:p>
        </w:tc>
        <w:tc>
          <w:tcPr>
            <w:tcW w:w="160" w:type="dxa"/>
            <w:vAlign w:val="bottom"/>
          </w:tcPr>
          <w:p>
            <w:pPr>
              <w:spacing w:after="0"/>
              <w:rPr>
                <w:sz w:val="11"/>
                <w:szCs w:val="11"/>
                <w:color w:val="auto"/>
              </w:rPr>
            </w:pPr>
          </w:p>
        </w:tc>
        <w:tc>
          <w:tcPr>
            <w:tcW w:w="6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4"/>
              </w:rPr>
              <w:t>Stock</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Subsidiary</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9,866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436,433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(397,977)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37,726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37,454</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Adoption of accounting standard</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Unrealized loss on marketable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securities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Net proceeds from issuance of</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stock</w:t>
            </w: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4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10,393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437,850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(402,406)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34,728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34,458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(4,984)</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Accretion on marketable securities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Prepaid and other current assets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Accounts payable, accrued liabilities and other liabilities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(1,718)</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marketable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(16,264)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(24,144)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Sale of marketable securities</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25,005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22,964</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property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8,741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(1,189)</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exercise of options</w:t>
            </w:r>
          </w:p>
        </w:tc>
        <w:tc>
          <w:tcPr>
            <w:tcW w:w="9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withholding payments on net share settlement equity awards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proceeds from issuance of common stock</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 of notes payable</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34,168</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26,608</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8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CALADRIUS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Caladrius Biosciences, Inc. (“we,” “us,” "our," “Caladrius” or the “Company”) is a late-stage therapeutics development biopharmaceutical company committed to the development of innovative products that have the potential to restore the health of people with chronic illnesses. The Company's leadership team collectively has decades of biopharmaceutical development experience and world-recognized scientific achievement in the fields of cardiovascular and autoimmune disease, among other areas. The Company's goal is to build a broad portfolio of novel and versatile products that address important unmet medical needs. The Company's current product candidates include three developmental treatments for cardiovascular diseases based on its CD34+ cell therapy platform: CLBS12, recipient of SAKIGAKE designation, in Phase 2 testing in Japan and eligible for early conditional approval in Japan for the treatment of critical limb ischemia ("CLI"); CLBS14-CMD, in Phase 2 in the U.S. for the treatment of coronary microvascular dysfunction ("CMD"); and CLBS14-NORDA, for which the Company is in discussions with the U.S. Food and Drug Administration (the "FDA") to finalize the Phase 3 trial protocol for no-option refractory disabling angina ("NORDA") for which it has received RMAT designation.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CD34+ cell technology has led to the development of therapeutic product candidates designed to address diseases and conditions caused by ischemia. Ischemia occurs when the supply of oxygenated blood to healthy tissue is restricted. Through the administration of CD34+ cells, the Company seeks to promote the development and formation of new microvasculature and thereby increase blood flow to the impacted area. The Company believes that a number of conditions caused by underlying ischemic injury can be improved through its CD34+ cell technology, including but not limited to CLI, CMD and NORDA.</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Regarding CLBS12, the Company's product candidate for CLI, after detailed discussion and agreement with the Japanese Pharmaceutical and Medical Device Agency ("PMDA"), the Company opened a Phase 2 trial for enrollment in December 2017 and announced in March 2018 treatment of the first patient. Based on discussions with the PMDA, the Company expects that a successful outcome of this trial will make CLBS12 eligible for early conditional approval in Japan, thereby effectively making the Phase 2 trial a potential registration trial in that strategic market. The initial responses observed in the small number of subjects who have reached an endpoint in this open label study are consistent with a positive therapeutic effect and safety profile as reported by previously published clinical trials in Japan and the U.S. While these early signs are encouraging, it is clear that the final outcome of the trial will be dependent on all data from all subjects.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2017, the Company announced the award of a $1.9 million grant from the National Institutes of Health to support a clinical study of CD34+ cells in patients with CMD. This led to the initiation of development of CLBS14-CMD and enrollment of patients in the Company's ESCaPE-CMD Phase 2 proof-of-concept study at the Mayo Clinic in Rochester, MN and Cedars-Sinai Medical Center, Los Angeles, CA. The early results observed in this open label trial from the small number of subjects who have reached the 6-month (primary endpoint) follow-up visit support our expectations for CLBS14-CMD and a positive therapeutic effect and acceptable safety profile in this indication. While the final outcome of the trial will be dependent on the 6-month data from all subjects, these early observations of increased coronary flow reserve and decreased angina symptoms in treated patients are encouraging.</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a development program of CD34+ cells in the indication of NORDA, the Company acquired the rights to data and regulatory filings for a CD34+ cell therapy program for refractory angina that had been advanced to Phase 3 under the previous investigational new drug application (“IND”) holder. The Company has designated this program CLBS14-NORDA and reactivated the IND with the FDA with Caladrius as the sponsor. The Company is presently working with the FDA to finalize the design of a single registration trial for the registration of CLBS14-NORDA and is targeting the initiation of that trial in fall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Immunomodulation (Treg Technology)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has been developing for the last several years an innovative therapy for T1D (identified as CLBS03) that is based on a proprietary T regulatory cell platform technology for immunomodulation. CLBS03 was granted Fast Track and Orphan drug designations from the FDA for this proposed indication and was granted Advanced Therapeutic Medicinal Product ("ATMP") classification from the European Medicines Agency ("EMA"). This program is based on the use of Tregs (T-regulatory cells) to treat diseases caused by imbalances in an individual's immune system. This novel approach seeks to restore immune balance by enhancing Treg number and function. Tregs are a natural part of the human immune system and regulate the activity of effector T cells, the cells that are responsible for protecting the body from pathogens and foreign antigens. When Tregs function properly,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only harmful foreign materials are attacked by effector T cells. In autoimmune disease, however, it is thought that deficient Treg activity and numbers permit the effector T cells to attack the body's own beneficial cells. In the case of T1D, the beta cells in the pancreas are attacked, thereby reducing and/or eliminating over time the patient's ability to produce insulin.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the Company commenced patient enrollment in the first of two cohorts in The Sanford Project: T-Rex Study, a Phase 2a prospective, randomized, placebo-controlled, double-blind clinical trial to evaluate the safety and efficacy of CLBS03 in adolescents with recent onset T1D (the "T-Rex Study"). On February 13, 2019, the Company announced top line results indicating that the therapy was well-tolerated but that the study's primary endpoint of preservation of C-peptide had not been achieved. The Company further indicated that it and its collaborators are conducting a comprehensive analysis of all data from the trial (including any 2-year follow-up data to come) and will make decisions regarding further development of CLBS03 based on the results of those analyses.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broad intellectual property portfolio of cell therapy assets includes notable programs available for out-licensing in order to continue their clinical development. These include additional indications for both its Treg product and its CD34+ cell technology.</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current long-term strategy focuses on advancing its therapies through development with the aim eventually to obtain market authorizations and enter commercialization, either alone or with partners, to provide treatment options to patients suffering from life-threatening medical conditions. The Company believes that it is positioned to realize potentially meaningful value increases within its own proprietary pipeline if it is successful in advancing its product candidates to their next significant development milestones.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March 31, 2019, and the results of its operations and its cash flows for the periods presented. The unaudited consolidated financial statements herein should be read together with the historical consolidated financial statements of the Company for the years ended December 31, 2018 and 2017 included in our 2018 Form 10-K. Operating results for the three months ended March 31, 2019 are not necessarily indicative of the results that may be expected for the year ending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 of revenues and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and income taxes. Accordingly, actual results could differ from those estimates and assumptions.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of operations and if it requires management’s most difficult, subjective and complex judgments in its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Caladrius Biosciences, Inc. and its wholly-owned and partially-owned subsidiaries and affiliates. All intercompany activities have been eliminated in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policies below, our significant accounting policies are described in Note 2 of the Notes to Consolidated Financial Statements included in our 2018 Form 10-K. There were no changes to these policies during the three months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credit risk from our portfolio of cash, cash equivalents and marketable securities. Under our investment policy, we limit amounts invested in such securities by credit rating, maturity, industry group, investment type and issuer, except for securities issued by the U.S. government. Cash is held at major banks in the United States. Therefore, the Company is not exposed to any significant concentrations of credit risk from these financial instruments. The goals of our investment policy, in order of priority, are as follows: safety and preservation of principal and diversification of risk, liquidity of investments sufficient to meet cash flow requirements, and a competitive after-tax rate of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expenses all share-based payment awards to employees, directors, and consultants, including grants of stock options, warrants, and restricted stock, over the requisite service period based on the grant date fair value of the awards. Consultant awards are remeasured each reporting period through vesting.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The fair value of the Company’s restricted stock and restricted stock units is based on the closing market price of the Company’s common stock on the date of grant.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(a) the amount of taxes payable or refundable for the current year and (b) deferred tax liabilities and assets for the future tax consequences of events that have been recognized in the Company’s financial statements or tax returns.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Tax Cuts and Jobs Act (“the Tax Act”) was enacted on December 22, 2017. The income tax effects of changes in tax laws are recognized in the period when enacted. The Tax Act provides for significant tax law changes and modifications with varying effective dates, which include reducing the U.S. federal corporate income tax rate from 35% to 21%, creating a territorial tax system (with a one-time mandatory repatriation tax on previously deferred foreign earnings), and allowing for immediate capital expensing of certain qualified property acquired and placed in service after September 27, 2017 and before January 1, 2023.</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response to the enactment of the Tax Act in late 2017, the SEC issued Staff Accounting Bulletin No. 118 (“SAB 118”) to address situations where the accounting is incomplete for certain income tax effects of the Tax Act upon issuance of an entity’s financial statements for the reporting period in which the Tax Act was enacted. Under SAB 118, a company may record provisional amounts during a measurement period for specific income tax effects of the Tax Act for which the accounting is incomplete, but a reasonable estimate can be determined, and when unable to determine a reasonable estimate for any income tax effects, report provisional amounts in the first reporting period in which a reasonable estimate can be determined.</w:t>
      </w:r>
    </w:p>
    <w:p>
      <w:pPr>
        <w:spacing w:after="0" w:line="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continues to evaluate the accounting for uncertainty in tax positions at the end of each reporting period. The guidance requires companies to recognize in their financial statements the impact of a tax position if the position is more likely than not of being sustained if the position were to be challenged by a taxing authority. The position ascertained inherently requires judgment and estimates by management. The Company recognizes interest and penalties as a component of income tax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This ASU requires that a lessee recognize lease assets and lease liabilities for those leases classified as operating leases. The guidance was effective for interim and annual periods beginning after December 15, 2018 and was adopted as of January 1, 2019. The Company adopted the standard using the optional transition method, with an immaterial adjustment to accumulated deficit upon adoption. The comparative information has not been restated and continues to be reported under the accounting standards that were in effect for those periods. The Company concluded that the adoption of ASU 2016-02 was non-cash in nature, did not affect the Company's cash position, and did not have a material impact on the Company's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2018, the FASB issued ASU No. 2018-07, "Improvements to Nonemployee Share-Based Payment Accounting", which supersedes ASC 505-50 and expands the scope of ASC 718 to include all share-based payments arrangements related to the acquisition of goods and services from both employees and nonemployees. For public companies, the amendments are effective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annual reporting periods beginning after December 15, 2018, including interim periods within those annual periods. Early adoption is permitted, but no earlier than a company's adoption date of ASC 606. The Company determined that the adoption of this new accounting guidance did not have a material impact on its financial statements and footnote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Available-for-Sale-Securities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347"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ind w:left="26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5"/>
          </w:tcPr>
          <w:p>
            <w:pPr>
              <w:ind w:left="14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960" w:type="dxa"/>
            <w:vAlign w:val="bottom"/>
            <w:gridSpan w:val="3"/>
          </w:tcPr>
          <w:p>
            <w:pPr>
              <w:ind w:left="8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Estimated</w:t>
            </w:r>
          </w:p>
        </w:tc>
      </w:tr>
      <w:tr>
        <w:trPr>
          <w:trHeight w:val="210"/>
        </w:trPr>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9"/>
              </w:rPr>
              <w:t>Losses</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9"/>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33,504</w:t>
            </w:r>
          </w:p>
        </w:tc>
      </w:tr>
      <w:tr>
        <w:trPr>
          <w:trHeight w:val="237"/>
        </w:trPr>
        <w:tc>
          <w:tcPr>
            <w:tcW w:w="1460" w:type="dxa"/>
            <w:vAlign w:val="bottom"/>
          </w:tcPr>
          <w:p>
            <w:pPr>
              <w:ind w:left="20"/>
              <w:spacing w:after="0"/>
              <w:rPr>
                <w:sz w:val="20"/>
                <w:szCs w:val="20"/>
                <w:color w:val="auto"/>
              </w:rPr>
            </w:pPr>
            <w:r>
              <w:rPr>
                <w:rFonts w:ascii="Arial" w:cs="Arial" w:eastAsia="Arial" w:hAnsi="Arial"/>
                <w:sz w:val="16"/>
                <w:szCs w:val="16"/>
                <w:color w:val="auto"/>
                <w:w w:val="97"/>
              </w:rPr>
              <w:t>Money market funds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4,314</w:t>
            </w:r>
          </w:p>
        </w:tc>
      </w:tr>
      <w:tr>
        <w:trPr>
          <w:trHeight w:val="33"/>
        </w:trPr>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1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37,818</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39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2019</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32,754</w:t>
            </w:r>
          </w:p>
        </w:tc>
      </w:tr>
      <w:tr>
        <w:trPr>
          <w:trHeight w:val="27"/>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37,818</w:t>
            </w: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3"/>
                <w:szCs w:val="13"/>
                <w:color w:val="auto"/>
              </w:rPr>
            </w:pPr>
          </w:p>
        </w:tc>
        <w:tc>
          <w:tcPr>
            <w:tcW w:w="114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Loss Per Share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months ended March 31, 2019 and 2018, the Company incurred net losses from continuing operations and therefore no common stock equivalents were utilized in the calculation of diluted loss per share as they are anti-dilutive. At March 31, 2019 and 2018, the Company excluded the following potentially dilutive securities (in thousands):</w:t>
      </w:r>
    </w:p>
    <w:p>
      <w:pPr>
        <w:spacing w:after="0" w:line="186"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5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Warrants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210</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market at the measurement date (exit price). The Company is required to classify fair value measurements in one of the following categories: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as of March 31, 2019, and December 31, 2018 (in thousands).</w:t>
      </w: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r>
      <w:tr>
        <w:trPr>
          <w:trHeight w:val="250"/>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Marketable securities -</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1960" w:type="dxa"/>
            <w:vAlign w:val="bottom"/>
          </w:tcPr>
          <w:p>
            <w:pPr>
              <w:ind w:left="20"/>
              <w:spacing w:after="0"/>
              <w:rPr>
                <w:sz w:val="20"/>
                <w:szCs w:val="20"/>
                <w:color w:val="auto"/>
              </w:rPr>
            </w:pPr>
            <w:r>
              <w:rPr>
                <w:rFonts w:ascii="Arial" w:cs="Arial" w:eastAsia="Arial" w:hAnsi="Arial"/>
                <w:sz w:val="16"/>
                <w:szCs w:val="16"/>
                <w:color w:val="auto"/>
              </w:rPr>
              <w:t>available for sale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23,946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23,946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160"/>
              <w:spacing w:after="0"/>
              <w:rPr>
                <w:sz w:val="20"/>
                <w:szCs w:val="20"/>
                <w:color w:val="auto"/>
              </w:rPr>
            </w:pPr>
            <w:r>
              <w:rPr>
                <w:rFonts w:ascii="Arial" w:cs="Arial" w:eastAsia="Arial" w:hAnsi="Arial"/>
                <w:sz w:val="16"/>
                <w:szCs w:val="16"/>
                <w:color w:val="auto"/>
                <w:w w:val="98"/>
              </w:rPr>
              <w:t>32,754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32,754</w:t>
            </w:r>
          </w:p>
        </w:tc>
      </w:tr>
      <w:tr>
        <w:trPr>
          <w:trHeight w:val="33"/>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23,946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8"/>
              </w:rPr>
              <w:t>32,754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Accrued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March 31, 2019 and December 31, 2018 were as follows (in thousands):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CIRM upfront funding - current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Operating Leases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has operating leases for two offices with terms that expire in 2022 and 2023. In addition, the Company pays for facility space through a third-party manufacturing contract that contains an embedded operating lease, with an estimated expiration in 2020. The Company estimates its incremental borrowing rate, at lease commencement, to determine the present value of lease payments, since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Upon adoption of Topic 842 on January 1, 2019, we recognized $1.4 million of operating lease liabilities and $1.3 million of operating lease right-of-use assets for our existing operating leases in our balance sheet. As of March 31, 2019, our operating lease liabilities and right-of-use assets were $1.3 million and $1.2 million, respectively. Each of our leases include options for us to extend the lease term.</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liabilities and right-of-use assets were recorded in the following captions of our balance sheet were as follows (in thousands):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69"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8080" w:type="dxa"/>
            <w:vAlign w:val="bottom"/>
            <w:tcBorders>
              <w:bottom w:val="single" w:sz="8" w:color="BFE4FF"/>
            </w:tcBorders>
          </w:tcPr>
          <w:p>
            <w:pPr>
              <w:spacing w:after="0"/>
              <w:rPr>
                <w:sz w:val="16"/>
                <w:szCs w:val="16"/>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Right-of Use Assets:</w:t>
            </w:r>
          </w:p>
        </w:tc>
        <w:tc>
          <w:tcPr>
            <w:tcW w:w="3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27"/>
        </w:trPr>
        <w:tc>
          <w:tcPr>
            <w:tcW w:w="808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380" w:type="dxa"/>
            <w:vAlign w:val="bottom"/>
            <w:tcBorders>
              <w:bottom w:val="single" w:sz="8" w:color="auto"/>
            </w:tcBorders>
            <w:shd w:val="clear" w:color="auto" w:fill="BFE4FF"/>
          </w:tcPr>
          <w:p>
            <w:pPr>
              <w:jc w:val="right"/>
              <w:ind w:right="194"/>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1,184</w:t>
            </w:r>
          </w:p>
        </w:tc>
      </w:tr>
      <w:tr>
        <w:trPr>
          <w:trHeight w:val="20"/>
        </w:trPr>
        <w:tc>
          <w:tcPr>
            <w:tcW w:w="8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4"/>
        </w:trPr>
        <w:tc>
          <w:tcPr>
            <w:tcW w:w="8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868</w:t>
            </w:r>
          </w:p>
        </w:tc>
      </w:tr>
      <w:tr>
        <w:trPr>
          <w:trHeight w:val="257"/>
        </w:trPr>
        <w:tc>
          <w:tcPr>
            <w:tcW w:w="80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r>
      <w:tr>
        <w:trPr>
          <w:trHeight w:val="20"/>
        </w:trPr>
        <w:tc>
          <w:tcPr>
            <w:tcW w:w="8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March 31, 2019, the weighted average remaining lease term for our operating leases was 2.7 years, and the weighted average discount rate for our operating leases was 9.625%. Future minimum lease payments under the lease agreements as of March 31, 2019 were as follows (in thousands):</w:t>
      </w:r>
    </w:p>
    <w:p>
      <w:pPr>
        <w:spacing w:after="0" w:line="286"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2"/>
              <w:spacing w:after="0"/>
              <w:rPr>
                <w:sz w:val="20"/>
                <w:szCs w:val="20"/>
                <w:color w:val="auto"/>
              </w:rPr>
            </w:pPr>
            <w:r>
              <w:rPr>
                <w:rFonts w:ascii="Arial" w:cs="Arial" w:eastAsia="Arial" w:hAnsi="Arial"/>
                <w:sz w:val="16"/>
                <w:szCs w:val="16"/>
                <w:b w:val="1"/>
                <w:bCs w:val="1"/>
                <w:color w:val="auto"/>
                <w:w w:val="97"/>
              </w:rPr>
              <w:t>Operating</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Years ended</w:t>
            </w:r>
          </w:p>
        </w:tc>
        <w:tc>
          <w:tcPr>
            <w:tcW w:w="14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Leases</w:t>
            </w:r>
          </w:p>
        </w:tc>
      </w:tr>
      <w:tr>
        <w:trPr>
          <w:trHeight w:val="33"/>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428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403</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411</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1,505</w:t>
            </w:r>
          </w:p>
        </w:tc>
      </w:tr>
      <w:tr>
        <w:trPr>
          <w:trHeight w:val="27"/>
        </w:trPr>
        <w:tc>
          <w:tcPr>
            <w:tcW w:w="808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(241)</w:t>
            </w:r>
          </w:p>
        </w:tc>
      </w:tr>
      <w:tr>
        <w:trPr>
          <w:trHeight w:val="257"/>
        </w:trPr>
        <w:tc>
          <w:tcPr>
            <w:tcW w:w="808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1,264</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Agreement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2019, the Company and Lincoln Park Capital Fund, LLC (“Lincoln Park”) entered into a purchase agreement (the “Purchase Agreement”) and a registration rights agreement (the “Registration Rights Agreement”), pursuant to which the Company has the right to sell to Lincoln Park shares of the Company’s common stock having an aggregate value of up to $26.0 million, subject to certain limitations and conditions set forth in the Purchase Agreement (the “Offering”). As consideration for entering into the Purchase Agreement, the Company issued to Lincoln Park an additional 181,510 shares of common stock as commitment shares.</w:t>
      </w:r>
    </w:p>
    <w:p>
      <w:pPr>
        <w:spacing w:after="0" w:line="8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the Company has the right, from time to time, at its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 million, unless the Company and Lincoln Park mutually agree to increase the maximum amount of such single purchase (each, a “Regular Purchase”). If the Company directs Lincoln Park to purchase the maximum number of shares of common stock it then may sell in a Regular Purchase, then in addition to such Regular Purchase, and subject to certain conditions and limitations in the Purchase Agreement, the Company may direct Lincoln Park in an “accelerated purchase” to purchase an additional amount of common stock that may not exceed the lesser of (i) 300% the number of shares purchased pursuant to the corresponding Regular Purchase or</w:t>
      </w:r>
    </w:p>
    <w:p>
      <w:pPr>
        <w:spacing w:after="0" w:line="7" w:lineRule="exact"/>
        <w:rPr>
          <w:sz w:val="20"/>
          <w:szCs w:val="20"/>
          <w:color w:val="auto"/>
        </w:rPr>
      </w:pPr>
    </w:p>
    <w:p>
      <w:pPr>
        <w:jc w:val="both"/>
        <w:ind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of the total number of shares of the Company’s common stock traded during a specified period on the applicable purchase date as set forth in the Purchase Agreement. Under certain circumstances and in accordance with the Purchase Agreement, the Company may direct Lincoln Park to purchase shares in multiple accelerated purchases on the same trading day.</w:t>
      </w:r>
    </w:p>
    <w:p>
      <w:pPr>
        <w:spacing w:after="0" w:line="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controls the timing and amount of any sales of its common stock to Lincoln Park. There is no upper limit on the price per share that Lincoln Park must pay for its common stock under the Purchase Agreement, but in no event will shares be sold to Lincoln Park on a day the closing price is less than the floor price specified in the Purchase Agreement. In all instances,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may not sell shares of its common stock to Lincoln Park under the purchase agreement if it would result in Lincoln Park beneficially owning more than 9.99% of its common stock.</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Agreement does not limit the Company’s ability to raise capital from other sources at the Company’s sole discretion, except that (subject to certain exceptions) the Company may not enter into any Variable Rate Transaction (as defined in the Purchase Agreement, including the issuance of any floating conversion rate or variable priced equity-like securities) during the 36 months after the date of the Purchase Agreement. The Company has the right to terminate the Purchase Agreement at any time, at no cost to the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Sales Agreement</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2018, the Company entered into a common stock sales agreement (the "Sales Agreement") with H.C. Wainwright &amp; Co., LLC ("HCW") as sales agent, in connection with an “at the market offering” under which the Company from time to time may offer and sell shares of its common stock, having an aggregate offering price of up to $12 million (limited to a maximum of 2,790,697 shares). Subject to the terms and conditions of the Sales Agreement, HCW will use its commercially reasonable efforts consistent with its normal trading and sales practices to sell the shares from time to time, based upon the Company's instructions, including any price, time or size limits specified by the Company. The Company has provided HCW with customary indemnification rights, and HCW will be entitled to a commission at a fixed commission rate equal to 3.0% of the gross proceeds per share sold. The Company has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Company entered into an amendment to the Sales Agreement to reflect that the shares will be issued pursuant to a Registration Statement on Form S-3 (Registration No. 333-226319) that was declared effective in August 2018 and that replaced the Company’s previously effective shelf registration statement. In connection with the amendment, the number of shares of common stock that may be sold pursuant to the Sales Agreement was increased from an aggregate offering amount of $12 million to $25 million (limited to a maximum of 4,921,260 shares). All other provisions of the Sales Agreement remained unchanged. During the three months ended March 31, 2019, the Company did not issue shares of common stock under the Sales Agreement. As of March 31, 2019, the Company has issued 149,041 shares of common stock under the Sales Agreement for net proceeds of $1.0 million since inception.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for stock options and warrants for the three months ended March 31, 2019:</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color w:val="auto"/>
              </w:rPr>
              <w:t>Stock Options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780"/>
              <w:spacing w:after="0"/>
              <w:rPr>
                <w:sz w:val="20"/>
                <w:szCs w:val="20"/>
                <w:color w:val="auto"/>
              </w:rPr>
            </w:pPr>
            <w:r>
              <w:rPr>
                <w:rFonts w:ascii="Arial" w:cs="Arial" w:eastAsia="Arial" w:hAnsi="Arial"/>
                <w:sz w:val="13"/>
                <w:szCs w:val="13"/>
                <w:color w:val="auto"/>
              </w:rPr>
              <w:t>Warrants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7"/>
              </w:rPr>
              <w:t>Weighted 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8" w:lineRule="exact"/>
              <w:rPr>
                <w:sz w:val="20"/>
                <w:szCs w:val="20"/>
                <w:color w:val="auto"/>
              </w:rPr>
            </w:pPr>
            <w:r>
              <w:rPr>
                <w:rFonts w:ascii="Arial" w:cs="Arial" w:eastAsia="Arial" w:hAnsi="Arial"/>
                <w:sz w:val="13"/>
                <w:szCs w:val="13"/>
                <w:color w:val="auto"/>
                <w:w w:val="87"/>
              </w:rPr>
              <w:t>Weighted Average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Remaining</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6"/>
              </w:rPr>
              <w:t>Aggregate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Remaining</w:t>
            </w:r>
          </w:p>
        </w:tc>
        <w:tc>
          <w:tcPr>
            <w:tcW w:w="160" w:type="dxa"/>
            <w:vAlign w:val="bottom"/>
          </w:tcPr>
          <w:p>
            <w:pPr>
              <w:spacing w:after="0"/>
              <w:rPr>
                <w:sz w:val="11"/>
                <w:szCs w:val="11"/>
                <w:color w:val="auto"/>
              </w:rPr>
            </w:pPr>
          </w:p>
        </w:tc>
        <w:tc>
          <w:tcPr>
            <w:tcW w:w="860" w:type="dxa"/>
            <w:vAlign w:val="bottom"/>
          </w:tcPr>
          <w:p>
            <w:pPr>
              <w:jc w:val="center"/>
              <w:ind w:right="71"/>
              <w:spacing w:after="0" w:line="135" w:lineRule="exact"/>
              <w:rPr>
                <w:sz w:val="20"/>
                <w:szCs w:val="20"/>
                <w:color w:val="auto"/>
              </w:rPr>
            </w:pPr>
            <w:r>
              <w:rPr>
                <w:rFonts w:ascii="Arial" w:cs="Arial" w:eastAsia="Arial" w:hAnsi="Arial"/>
                <w:sz w:val="13"/>
                <w:szCs w:val="13"/>
                <w:color w:val="auto"/>
                <w:w w:val="86"/>
              </w:rPr>
              <w:t>Aggregate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5"/>
              </w:rPr>
              <w:t>Weighted Average</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Contractual Term</w:t>
            </w:r>
          </w:p>
        </w:tc>
        <w:tc>
          <w:tcPr>
            <w:tcW w:w="112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91"/>
              </w:rPr>
              <w:t>Intrinsic Value (In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9"/>
              </w:rPr>
              <w:t>Weighted Average</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7"/>
              </w:rPr>
              <w:t>Contractual Term</w:t>
            </w: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1"/>
              </w:rPr>
              <w:t>Intrinsic Value (In</w:t>
            </w:r>
          </w:p>
        </w:tc>
        <w:tc>
          <w:tcPr>
            <w:tcW w:w="0" w:type="dxa"/>
            <w:vAlign w:val="bottom"/>
          </w:tcPr>
          <w:p>
            <w:pPr>
              <w:spacing w:after="0"/>
              <w:rPr>
                <w:sz w:val="1"/>
                <w:szCs w:val="1"/>
                <w:color w:val="auto"/>
              </w:rPr>
            </w:pPr>
          </w:p>
        </w:tc>
      </w:tr>
      <w:tr>
        <w:trPr>
          <w:trHeight w:val="170"/>
        </w:trPr>
        <w:tc>
          <w:tcPr>
            <w:tcW w:w="254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color w:val="auto"/>
                <w:w w:val="86"/>
              </w:rPr>
              <w:t>Exercise Price</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(Years)</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color w:val="auto"/>
                <w:w w:val="84"/>
              </w:rPr>
              <w:t>Thousands)</w:t>
            </w:r>
          </w:p>
        </w:tc>
        <w:tc>
          <w:tcPr>
            <w:tcW w:w="1020" w:type="dxa"/>
            <w:vAlign w:val="bottom"/>
            <w:gridSpan w:val="2"/>
          </w:tcPr>
          <w:p>
            <w:pPr>
              <w:ind w:left="28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Exercise Price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4"/>
              </w:rPr>
              <w:t>(Years)</w:t>
            </w:r>
          </w:p>
        </w:tc>
        <w:tc>
          <w:tcPr>
            <w:tcW w:w="160" w:type="dxa"/>
            <w:vAlign w:val="bottom"/>
          </w:tcPr>
          <w:p>
            <w:pPr>
              <w:spacing w:after="0"/>
              <w:rPr>
                <w:sz w:val="14"/>
                <w:szCs w:val="14"/>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color w:val="auto"/>
                <w:w w:val="84"/>
              </w:rPr>
              <w:t>Thousands)</w:t>
            </w:r>
          </w:p>
        </w:tc>
        <w:tc>
          <w:tcPr>
            <w:tcW w:w="0" w:type="dxa"/>
            <w:vAlign w:val="bottom"/>
          </w:tcPr>
          <w:p>
            <w:pPr>
              <w:spacing w:after="0"/>
              <w:rPr>
                <w:sz w:val="1"/>
                <w:szCs w:val="1"/>
                <w:color w:val="auto"/>
              </w:rPr>
            </w:pPr>
          </w:p>
        </w:tc>
      </w:tr>
      <w:tr>
        <w:trPr>
          <w:trHeight w:val="270"/>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December 31, 2018</w:t>
            </w:r>
          </w:p>
        </w:tc>
        <w:tc>
          <w:tcPr>
            <w:tcW w:w="10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1,018,530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30.50</w:t>
            </w: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during the period:</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199,346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March 31, 2019</w:t>
            </w: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1,213,634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26.40</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54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Vested at March 31, 2019</w:t>
            </w:r>
          </w:p>
        </w:tc>
        <w:tc>
          <w:tcPr>
            <w:tcW w:w="10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1,185,882</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26.90</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or expected to vest in the future</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Vested at March 31, 2019</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974,249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31.80</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2019 and 2018, the Company issued restricted stock for services as follows ($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6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33"/>
        </w:trPr>
        <w:tc>
          <w:tcPr>
            <w:tcW w:w="6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issued</w:t>
            </w: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127,688</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6"/>
                <w:szCs w:val="16"/>
                <w:color w:val="auto"/>
              </w:rPr>
              <w:t>Value of restricted stock issued ($ in thousands)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2019 and 2018, the Company issued restricted stock units for services as follows ($ in thousands, except share data):</w:t>
      </w:r>
    </w:p>
    <w:p>
      <w:pPr>
        <w:spacing w:after="0" w:line="238"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6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33"/>
        </w:trPr>
        <w:tc>
          <w:tcPr>
            <w:tcW w:w="6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units issued</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34,988</w:t>
            </w: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Value of restricted stock units issued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weighted average estimated fair value of restricted stock issued for services in the three months ended March 31, 2019 and 2018 was $4.93 and $3.79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utilize share-based compensation in the form of stock options, restricted stock, and restricted stock units. The following table summarizes the components of share-based compensation expense for the three months ended March 31, 2019 and 2018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8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r>
      <w:tr>
        <w:trPr>
          <w:trHeight w:val="20"/>
        </w:trPr>
        <w:tc>
          <w:tcPr>
            <w:tcW w:w="8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compensation cost related to non-vested awards not yet recognized and the weighted-average periods over which the awards were expected to be recognized at March 31,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 Options</w:t>
            </w:r>
          </w:p>
        </w:tc>
        <w:tc>
          <w:tcPr>
            <w:tcW w:w="180" w:type="dxa"/>
            <w:vAlign w:val="bottom"/>
          </w:tcPr>
          <w:p>
            <w:pPr>
              <w:spacing w:after="0"/>
              <w:rPr>
                <w:sz w:val="16"/>
                <w:szCs w:val="16"/>
                <w:color w:val="auto"/>
              </w:rPr>
            </w:pPr>
          </w:p>
        </w:tc>
        <w:tc>
          <w:tcPr>
            <w:tcW w:w="1300" w:type="dxa"/>
            <w:vAlign w:val="bottom"/>
          </w:tcPr>
          <w:p>
            <w:pPr>
              <w:jc w:val="right"/>
              <w:ind w:right="156"/>
              <w:spacing w:after="0"/>
              <w:rPr>
                <w:sz w:val="20"/>
                <w:szCs w:val="20"/>
                <w:color w:val="auto"/>
              </w:rPr>
            </w:pPr>
            <w:r>
              <w:rPr>
                <w:rFonts w:ascii="Arial" w:cs="Arial" w:eastAsia="Arial" w:hAnsi="Arial"/>
                <w:sz w:val="14"/>
                <w:szCs w:val="14"/>
                <w:b w:val="1"/>
                <w:bCs w:val="1"/>
                <w:color w:val="auto"/>
                <w:w w:val="94"/>
              </w:rPr>
              <w:t>Restricted Stock</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compensation cost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0.72</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three months ended March 31, 2019 and 2018 were as follows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Options</w:t>
            </w:r>
          </w:p>
        </w:tc>
        <w:tc>
          <w:tcPr>
            <w:tcW w:w="740" w:type="dxa"/>
            <w:vAlign w:val="bottom"/>
            <w:tcBorders>
              <w:bottom w:val="single" w:sz="8" w:color="auto"/>
            </w:tcBorders>
          </w:tcPr>
          <w:p>
            <w:pPr>
              <w:spacing w:after="0"/>
              <w:rPr>
                <w:sz w:val="16"/>
                <w:szCs w:val="16"/>
                <w:color w:val="auto"/>
              </w:rPr>
            </w:pPr>
          </w:p>
        </w:tc>
      </w:tr>
      <w:tr>
        <w:trPr>
          <w:trHeight w:val="250"/>
        </w:trPr>
        <w:tc>
          <w:tcPr>
            <w:tcW w:w="6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68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shares vested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Weighted average estimated fair value of shares granted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Research Funding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Institute of Regenerative Medicine Grant Award</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February 2017, CIRM awarded us funds of up to $12.2 million to support the T-Rex Study. The funding is based upon the achievement of certain milestones related to the proportion of subjects enrolled in California, as well as manufacturing and development costs incurred in California. In March 2018, CIRM calculated the precise amount of the funding award as $8.6 million, based on the actual number of subjects enrolled in California.</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received $5.7 million in initial funding in May 2017, a $1.9 million milestone payment in December 2017, and $0.3 million progress payment in March 2018, of which the total will be amortized over the estimated award period through July 2020 as a reduction to the related research and development expenses. As of March 31, 2019, $2.6 million of the funding received was recorded in accrued liabilities, representing the amount expected to be recognized over the next 12 months, and $0.9 million of the funding received was recorded in other long-term liabilities. During the three months ended March 31, 2019 and March 31, 2018, the Company amortized and recognized $0.6 million and $0.6 million in credits, respectively to research and development related to CIRM funds received.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Income Taxes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2018, the Company had approximately $225 million of Federal NOLs available to offset future taxable income expiring from 2030 through 2036. In accordance with Section 382 of the Internal Revenue code, the usage of the Company’s NOLs could be limited in the event of a change in ownership. The ultimate realization of deferred tax assets is dependent upon the generation of future taxable income during the period when those temporary differences become deductible. If a change of ownership did occur, there would be an annual limitation on the usage of the Company’s losses, which is available through 2036.</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performed an analysis and determined that it has had ownership changes of greater than 50% over a 3 year testing period. The last ownership change was determined to be in 2015. Based on a market capitalization of $124.5 million and using an applicable federal rate of 2.5%, the annual limitation would be approximately $3.0 million. Post change losses from June 3, 2015 through December 31, 2016 would not be subject to 382 limitations. Additionally, the Company would be able to further increase NOL limitations by the realized built in gain on the sale of PCT in May of 2017.</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certain tax positions as a component of income tax expense.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2019, management does not believe the Company has any material uncertain tax positions that would require it to measure and reflect the potential lack of sustainability of a position on audit in its financial statements. The Company will continue to evaluate its uncertain tax positions in future periods to determine if measurement and recognition in its financial statements is necessary. The Company does not believe there will be any material changes in its unrecognized tax positions over the next year.</w:t>
      </w:r>
    </w:p>
    <w:p>
      <w:pPr>
        <w:spacing w:after="0" w:line="2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completed the audit of its federal tax returns for the years 2012 and 2013 during the fourth quarter of 2016. The audit resulted in an adjustment to the Company's NOL carryforward. For years prior to 2014, the federal statute of limitations is closed for assessing tax. The Company’s state tax returns remain open to examination for a period of three to four years from date of filing. The Company ceased doing business in China in 2012. After 2012, the Company had no foreign tax filing obligations. The foreign returns filed for 2012 and prior are subject to examination for five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Contingencies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license agreements with third parties the Company is typically required to pay maintenance fees, make milestone payments and/or pay other fees and expenses and pay royalties upon commercialization of products. The Company also sponsors research at various academic institutions, which research agreements generally provide us with an option to license new technology discovered during the course of the sponsored research.</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2018 Form 10-K. The following discussion should be read in conjunction with our consolidated financial statements and related notes thereto included elsewhere in this Quarterly Report and in our 2018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Caladrius Biosciences, Inc. (“we,” “us,” "our," “Caladrius” or the “Company”) is a late-stage therapeutics development biopharmaceutical company committed to the development of innovative products that have the potential to restore the health of people with chronic illnesses. Our leadership team collectively has decades of biopharmaceutical development experience and world-recognized scientific achievement in the fields of cardiovascular and autoimmune disease, among other areas. Our goal is to build a broad portfolio of novel and versatile products that address important unmet medical needs. Our current product candidates include three developmental treatments for cardiovascular diseases based on its CD34+ cell therapy platform: CLBS12, recipient of SAKIGAKE designation, in Phase 2 testing in Japan and eligible for early conditional approval in Japan for the treatment of critical limb ischemia ("CLI"); CLBS14-CMD, in Phase 2 in the U.S. for the treatment of coronary microvascular dysfunction ("CMD"); and CLBS14-NORDA, for which we are in discussions with the U.S. Food and Drug Administration (the "FDA") to finalize the Phase 3 trial protocol for no-option refractory disabling angina ("NORDA") for which it has received RMAT designation.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CD34+ cell technology has led to the development of therapeutic product candidates designed to address diseases and conditions caused by ischemia. Ischemia occurs when the supply of oxygenated blood to healthy tissue is restricted. Through the administration of CD34+ cells, we seek to promote the development and formation of new microvasculature and thereby increase blood flow to the impacted area. We believe that a number of conditions caused by underlying ischemic injury can be improved through its CD34+ cell technology, including but not limited to CLI, CMD and NORDA.</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Regarding CLBS12, our product candidate for CLI, after detailed discussion and agreement with the Japanese Pharmaceutical and Medical Device Agency ("PMDA"), we opened a Phase 2 trial for enrollment in December 2017 and announced in March 2018 treatment of the first patient. Based on discussions with the PMDA, we expect that a successful outcome of this trial will make CLBS12 eligible for early conditional approval in Japan, thereby effectively making the Phase 2 trial a potential registration trial in that strategic market. The initial responses observed in the small number of subjects who have reached an endpoint in this open label study are consistent with a positive therapeutic effect and safety profile as reported by previously published clinical trials in Japan and the U.S. While these early signs are encouraging, it is clear that the final outcome of the trial will be dependent on all data from all subjects.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2017, we announced the award of a $1.9 million grant from the National Institutes of Health to support a clinical study of CD34+ cells in patients with CMD. This led to the initiation of development of CLBS14-CMD and enrollment of patients in the Company's ESCaPE-CMD Phase 2 proof-of-concept study at the Mayo Clinic in Rochester, MN and Cedars-Sinai Medical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Center, Los Angeles, CA. The early results observed in this open label trial from the small number of subjects who have reached the 6-month (primary endpoint) follow-up visit support our expectations for CLBS14-CMD and a positive therapeutic effect and acceptable safety profile in this indication. While the final outcome of the trial will be dependent on the 6-month data from all subjects, these early observations of increased coronary flow reserve and decreased angina symptoms in treated patients are encouraging.</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support a development program of CD34+ cells in the indication of NORDA, we acquired the rights to data and regulatory filings for a CD34+ cell therapy program for refractory angina that had been advanced to Phase 3 under the previous investigational new drug application (“IND”) holder. We have designated this program CLBS14-NORDA and reactivated the IND with the FDA with Caladrius as the sponsor. We are presently working with the FDA to finalize the design of a single registration trial for the registration of CLBS14-NORDA and are targeting the initiation of that trial in fall if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Immunomodulation (Treg Technology)</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been developing for the last several years an innovative therapy for T1D (identified as CLBS03) that is based on a proprietary T regulatory cell platform technology for immunomodulation. CLBS03 was granted Fast Track and Orphan drug designations from the FDA for this proposed indication and was granted Advanced Therapeutic Medicinal Product ("ATMP") classification from the European Medicines Agency ("EMA"). This program is based on the use of Tregs (T-regulatory cells) to treat diseases caused by imbalances in an individual's immune system. This novel approach seeks to restore immune balance by enhancing Treg number and function. Tregs are a natural part of the human immune system and regulate the activity of effector T cells, the cells that are responsible for protecting the body from pathogens and foreign antigens. When Tregs function properly, only harmful foreign materials are attacked by effector T cells. In autoimmune disease, however, it is thought that deficient Treg activity and numbers permit the effector T cells to attack the body's own beneficial cells. In the case of T1D, the beta cells in the pancreas are attacked, thereby reducing and/or eliminating over time the patient's ability to produce insulin.</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2016, we commenced patient enrollment in the first of two cohorts in The Sanford Project: T-Rex Study, a Phase 2a prospective, randomized, placebo-controlled, double-blind clinical trial to evaluate the safety and efficacy of CLBS03 in adolescents with recent onset T1D (the "T-Rex Study"). On February 13, 2019, we announced top line results indicating that the therapy was well-tolerated but that the study's primary endpoint of preservation of C-peptide had not been achieved. We and our collaborators are conducting a comprehensive analysis of all data from the trial (including any 2-year follow-up data to come) and will make decisions regarding further development of CLBS03 based on the results of those analyses.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broad intellectual property portfolio of cell therapy assets includes notable programs available for out-licensing in order to continue their clinical development. These include additional indications for both our Treg product and our CD34+ cell technology.</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current long-term strategy focuses on advancing our therapies through development with the aim of eventually obtaining market authorizations and entering commercialization, either alone or with partners, to provide treatment options to patients suffering from life-threatening medical conditions. We believe that we are positioned to realize potentially meaningful value increases within our own proprietary pipeline if we are successful in advancing our product candidates to their next significant development milestones.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Overall, net loss was $4.4 million for the three months ended March 31, 2019, compared to $5.0 million for the three months ended March 31, 2018.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2019, operating expenses totaled $4.6 million compared to $5.2 million for the three months ended March 31, 2018, representing a decrease of $0.6 million, or 11%. Operating expenses were comprised of the following: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ind w:left="660" w:hanging="328"/>
        <w:spacing w:after="0" w:line="29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Research and development expenses were approximately $2.0 million for the three months ended March 31, 2019, compared to $2.3 million for the three months ended March 31, 2018, representing a decrease of approximately $0.2 million, or 10%. Research and development in both periods focused on the advancement of our ischemic repair platform, and related to (i) expenses associated with our ongoing Phase 2 study of CLBS12 in critical limb ischemia development program in Japan, (ii) expense associated with our ongoing Phase 1b/2a study for CLBS14-CMD in coronary microvascular dysfunction, and (iii) expenses associated with the planning of our CLBS14-NORDA program in refractory angina.</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were approximately $2.6 million for the three months ended March 31, 2019, compared to $2.9 million for the three months ended March 31, 2018, representing a decrease of approximately $0.3 million, or 12%. Our general and administrative expenses focus on general corporate-related activities.</w:t>
      </w:r>
    </w:p>
    <w:p>
      <w:pPr>
        <w:spacing w:after="0" w:line="18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Historically, to minimize our use of cash, we have used a variety of equity and equity-linked instruments to compensate employees, consultants and other service providers. The use of these instruments has resulted in charges to the results of operations, which have been significant in the past.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Total other income (expense) is primarily comprised of investment income on cash and marketable securities, offset by interest expense on notes and loans payables.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2019, we had cash, cash equivalents, and marketable securities of approximately $38.4 million, working capital of approximately $34.5 million, and stockholders’ equity of approximately $34.7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2019, we met our immediate cash requirements through existing cash balances. Additionally, we used equity and equity-linked instruments to pay for services and compensation.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or used in operating, investing and financing activities from continuing operations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8,741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three months ended March 31, 2019 was $5.5 million, which is comprised of (i) our net loss of $4.4 million, adjusted for non-cash expenses totaling $0.6 million (which includes adjustments for equity-based compensation, depreciation and amortization, and amortization/accretion of marketable securities), and (ii) changes in operating assets and liabilities using approximately $1.8 million.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cash used in operating activities during the three months ended March 31, 2018 was $6.3 million, which is comprised of (i) our net loss of $5.0 million, adjusted for non-cash expenses totaling $0.3 million (which includes adjustments for equity-based compensation, depreciation and amortization, and amortization/accretion of marketable securities), and (ii) changes in operating assets and liabilities providing approximately $1.6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cash provided by investing activities during the three months ended March 31, 2019 totaled $8.7 million, and was entirely due to net proceeds from the sale of marketable securities (net of proceeds on purchases of marketable securities).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cash used in investing activities in the three months ended March 31, 2018 totaled approximately $1.2 million, and was primarily due to net payments on the purchase of marketable securities (net of proceeds from the sale of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provided by financing activities during the three months ended March 31, 2019 consisted of proceeds of $1.0 million through the issuance of 250,000 shares of our common stock under the provisions of our common stock purchase agreement with Lincoln Park Capital, which were partially offset by tax withholding-related payments on net share settlement equity awards to employees.</w:t>
      </w:r>
    </w:p>
    <w:p>
      <w:pPr>
        <w:spacing w:after="0" w:line="14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cash used in financing activities during the three months ended March 31, 2018 consisted of payment obligations under equipment finance leases and tax withholding-related payments on net share settlement equity awards to employees, which were partially offset by minor option exercise proceeds.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3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meet our short and long-term liquidity needs, we expect to use existing cash balances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biopharmaceutical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various governmental agencies and foundations. We believe that our cash on hand will enable us to fund operating expenses for at least the next 12 months following the issuance of our financial statements. Any future development of CLBS14-NORDA will be the subject of the use of proceeds of a future capital raise. Similarly, any future development of CLBS12 in the USA will also be the subject of the use of proceeds of a future capital raise.</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March 13, 2019, we and Lincoln Park Capital Fund, LLC (“Lincoln Park”) entered into a purchase agreement (the “Purchase Agreement”) and a registration rights agreement (the “Registration Rights Agreement”), pursuant to which we have the right to sell to Lincoln Park shares of our common stock having an aggregate value of up to $26 million, subject to certain limitations and conditions set forth in the Purchase Agreement (the “Offering”). As consideration for entering into the Purchase Agreement, we issued to Lincoln Park an additional 181,510 shares of common stock as commitment shares. Pursuant to the Purchase Agreement, Lincoln Park purchased 250,000 shares of common stock, at a price of $4.00 per share, for a total gross purchase price of $1.0 million (the “Initial Purchase”) upon commencement. Thereafter, as often as every business day from and after one business day following the date of the Initial Purchase and over the 36-month term of the Purchase Agreement, we have the right, from time to time, at our sole discretion and subject to certain conditions, to direct Lincoln Park to purchase up to 100,000 shares of common stock, with such amount increasing as the closing sale price of the common stock increases; provided Lincoln Park’s obligation under any single such purchase will not exceed $2,500,000, unless we and Lincoln Park mutually agree to increase the maximum amount of such single purchase (each, a “Regular Purchase”). If we direct Lincoln Park to purchase the maximum number of shares of common stock it then may sell in a Regular Purchase, then in addition to such Regular Purchase, and subject to certain conditions and limitations in the Purchase Agreement, we may direct Lincoln Park in an “accelerated purchase” to purchase an additional amount of common stock that may not exceed the lesser of (i) 300% the number of shares purchased pursuant to the corresponding Regular Purchase or (ii) 30% of the total number of shares of our common stock traded during a specified period on the applicable purchase date as set forth in the Purchase Agreement. Under certain circumstances and in accordance with the Purchase Agreement, we may direct Lincoln Park to purchase shares in multiple accelerated purchases on the same trading day.</w:t>
      </w:r>
    </w:p>
    <w:p>
      <w:pPr>
        <w:spacing w:after="0" w:line="6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February 2018, we entered into a common stock sales agreement (the "Sales Agreement") with H.C. Wainwright &amp; Co., LLC ("HCW"), as sales agent, in connection with an “at the market offering” under which we from time to time may offer and sell shares of our common stock, which was further amended in August 2018, having an aggregate offering price of up to $25 million. Subject to the terms and conditions of the Sales Agreement, HCW will use its commercially reasonable efforts consistent with its normal trading and sales practices to sell the shares from time to time, based upon our instructions, including any price, time or size limits specified by us. We have provided HCW with customary indemnification rights, and HCW will be entitled to a commission at a fixed commission rate equal to 3.0% of the gross proceeds per share sold. We have no obligation to sell any of the shares, and may at any time suspend sales under the Sales Agreement or terminate the Sales Agreement. The Sales Agreement will terminate upon the sale of all of the shares under the Sales Agreement unless terminated earlier by either party as permitted under the Sales Agreement. As of March 31, 2019, we issued 149,041 shares of common stock under the Sales Agreement for net proceeds of $1.0 million.</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2017, the California Institute for Regenerative Medicine ("CIRM") awarded us funds of up to $12.2 million to support the T-Rex Study. The funding was based upon the achievement of certain milestones related to the proportion of subjects enrolled in California, as well as manufacturing and development costs incurred in California. In March 2018, CIRM calculated the precise amount of the funding award as $8.6 million, based on the actual number of subjects enrolled in California. We have received total funding of $7.9 million through March 31, 2019.</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our operations are seasonal in nature.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months ended March 31, 2019, compared to those reported in our 2018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Disclosure controls and procedures are the controls and other procedures we have designed to ensure that information required to be disclosed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the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March 31, 2019, we carried out an evaluation, with the participation of our management, including our Chief Executive Officer and Chief Financial Officer, of the effectiveness of our disclosure controls and procedures pursuant to Rule 13a-15(e) and 15d-15(e) of the Exchange Act. Based on that evaluation, our Chief Executive Officer and Chief Financial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disclosures previously reported in our 2018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to the risk factors previously reported in our 2018 Form 10-K. See the risk factors set forth in our 2018 Annual Report on Form 10-K under the caption "Item 1 A - Risk Factors."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72" w:lineRule="exact"/>
        <w:rPr>
          <w:sz w:val="20"/>
          <w:szCs w:val="20"/>
          <w:color w:val="auto"/>
        </w:rPr>
      </w:pPr>
    </w:p>
    <w:p>
      <w:pPr>
        <w:ind w:lef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CALADRIUS BIOSCIENCES, INC.</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J. Mazzo, PhD</w:t>
      </w:r>
    </w:p>
    <w:p>
      <w:pPr>
        <w:ind w:left="2400"/>
        <w:spacing w:after="0"/>
        <w:tabs>
          <w:tab w:leader="none" w:pos="5840" w:val="left"/>
        </w:tabs>
        <w:rPr>
          <w:sz w:val="20"/>
          <w:szCs w:val="20"/>
          <w:color w:val="auto"/>
        </w:rPr>
      </w:pPr>
      <w:r>
        <w:rPr>
          <w:rFonts w:ascii="Arial" w:cs="Arial" w:eastAsia="Arial" w:hAnsi="Arial"/>
          <w:sz w:val="27"/>
          <w:szCs w:val="27"/>
          <w:color w:val="auto"/>
          <w:vertAlign w:val="subscript"/>
        </w:rPr>
        <w:t>May 9, 2019</w:t>
      </w:r>
      <w:r>
        <w:rPr>
          <w:sz w:val="20"/>
          <w:szCs w:val="20"/>
          <w:color w:val="auto"/>
        </w:rPr>
        <w:tab/>
      </w:r>
      <w:r>
        <w:rPr>
          <w:rFonts w:ascii="Arial" w:cs="Arial" w:eastAsia="Arial" w:hAnsi="Arial"/>
          <w:sz w:val="16"/>
          <w:szCs w:val="16"/>
          <w:color w:val="auto"/>
        </w:rPr>
        <w:t>Name: David J. Mazzo, PhD</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President and Chief Executive Officer</w:t>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pacing w:after="0" w:line="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Talamo</w:t>
      </w:r>
    </w:p>
    <w:p>
      <w:pPr>
        <w:ind w:left="2400"/>
        <w:spacing w:after="0"/>
        <w:tabs>
          <w:tab w:leader="none" w:pos="5840" w:val="left"/>
        </w:tabs>
        <w:rPr>
          <w:sz w:val="20"/>
          <w:szCs w:val="20"/>
          <w:color w:val="auto"/>
        </w:rPr>
      </w:pPr>
      <w:r>
        <w:rPr>
          <w:rFonts w:ascii="Arial" w:cs="Arial" w:eastAsia="Arial" w:hAnsi="Arial"/>
          <w:sz w:val="27"/>
          <w:szCs w:val="27"/>
          <w:color w:val="auto"/>
          <w:vertAlign w:val="subscript"/>
        </w:rPr>
        <w:t>May 9, 2019</w:t>
      </w:r>
      <w:r>
        <w:rPr>
          <w:sz w:val="20"/>
          <w:szCs w:val="20"/>
          <w:color w:val="auto"/>
        </w:rPr>
        <w:tab/>
      </w:r>
      <w:r>
        <w:rPr>
          <w:rFonts w:ascii="Arial" w:cs="Arial" w:eastAsia="Arial" w:hAnsi="Arial"/>
          <w:sz w:val="15"/>
          <w:szCs w:val="15"/>
          <w:color w:val="auto"/>
        </w:rPr>
        <w:t>Name: Joseph Talamo</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Title: Senior Vice President and Chief Financial Officer (Principal Financial</w:t>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Index</w:t>
        </w:r>
      </w:hyperlink>
    </w:p>
    <w:p>
      <w:pPr>
        <w:spacing w:after="0" w:line="244"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00" w:type="dxa"/>
            <w:vAlign w:val="bottom"/>
          </w:tcPr>
          <w:p>
            <w:pPr>
              <w:jc w:val="center"/>
              <w:ind w:right="1037"/>
              <w:spacing w:after="0"/>
              <w:rPr>
                <w:sz w:val="20"/>
                <w:szCs w:val="20"/>
                <w:color w:val="auto"/>
              </w:rPr>
            </w:pPr>
            <w:r>
              <w:rPr>
                <w:rFonts w:ascii="Arial" w:cs="Arial" w:eastAsia="Arial" w:hAnsi="Arial"/>
                <w:sz w:val="18"/>
                <w:szCs w:val="18"/>
                <w:b w:val="1"/>
                <w:bCs w:val="1"/>
                <w:color w:val="auto"/>
              </w:rPr>
              <w:t>CALADRIUS BIOSCIENCES, INC.</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00" w:type="dxa"/>
            <w:vAlign w:val="bottom"/>
          </w:tcPr>
          <w:p>
            <w:pPr>
              <w:jc w:val="center"/>
              <w:ind w:right="1037"/>
              <w:spacing w:after="0"/>
              <w:rPr>
                <w:sz w:val="20"/>
                <w:szCs w:val="20"/>
                <w:color w:val="auto"/>
              </w:rPr>
            </w:pPr>
            <w:r>
              <w:rPr>
                <w:rFonts w:ascii="Arial" w:cs="Arial" w:eastAsia="Arial" w:hAnsi="Arial"/>
                <w:sz w:val="18"/>
                <w:szCs w:val="18"/>
                <w:b w:val="1"/>
                <w:bCs w:val="1"/>
                <w:color w:val="auto"/>
                <w:w w:val="99"/>
              </w:rPr>
              <w:t>FORM 10-Q</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jc w:val="center"/>
              <w:ind w:right="1037"/>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300" w:type="dxa"/>
            <w:vAlign w:val="bottom"/>
          </w:tcPr>
          <w:p>
            <w:pPr>
              <w:ind w:left="6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0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3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8"/>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64"/>
        </w:trPr>
        <w:tc>
          <w:tcPr>
            <w:tcW w:w="800" w:type="dxa"/>
            <w:vAlign w:val="bottom"/>
            <w:gridSpan w:val="3"/>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30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36"/>
        </w:trPr>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0000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830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80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8300" w:type="dxa"/>
            <w:vAlign w:val="bottom"/>
          </w:tcPr>
          <w:p>
            <w:pPr>
              <w:ind w:left="60"/>
              <w:spacing w:after="0"/>
              <w:rPr>
                <w:sz w:val="20"/>
                <w:szCs w:val="20"/>
                <w:color w:val="auto"/>
              </w:rPr>
            </w:pPr>
            <w:r>
              <w:rPr>
                <w:rFonts w:ascii="Arial" w:cs="Arial" w:eastAsia="Arial" w:hAnsi="Arial"/>
                <w:sz w:val="16"/>
                <w:szCs w:val="16"/>
                <w:color w:val="auto"/>
                <w:w w:val="99"/>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64"/>
        </w:trPr>
        <w:tc>
          <w:tcPr>
            <w:tcW w:w="8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300" w:type="dxa"/>
            <w:vAlign w:val="bottom"/>
            <w:vMerge w:val="restart"/>
          </w:tcPr>
          <w:p>
            <w:pPr>
              <w:ind w:left="60"/>
              <w:spacing w:after="0"/>
              <w:rPr>
                <w:sz w:val="20"/>
                <w:szCs w:val="20"/>
                <w:color w:val="auto"/>
              </w:rPr>
            </w:pPr>
            <w:r>
              <w:rPr>
                <w:rFonts w:ascii="Arial" w:cs="Arial" w:eastAsia="Arial" w:hAnsi="Arial"/>
                <w:sz w:val="16"/>
                <w:szCs w:val="16"/>
                <w:color w:val="auto"/>
              </w:rPr>
              <w:t>Sarbanes-Oxley Act of 2002</w:t>
            </w: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3"/>
              </w:rPr>
              <w:t>101.INS</w:t>
            </w:r>
          </w:p>
        </w:tc>
        <w:tc>
          <w:tcPr>
            <w:tcW w:w="3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37"/>
        </w:trPr>
        <w:tc>
          <w:tcPr>
            <w:tcW w:w="800" w:type="dxa"/>
            <w:vAlign w:val="bottom"/>
            <w:gridSpan w:val="3"/>
          </w:tcPr>
          <w:p>
            <w:pPr>
              <w:jc w:val="center"/>
              <w:spacing w:after="0"/>
              <w:rPr>
                <w:sz w:val="20"/>
                <w:szCs w:val="20"/>
                <w:color w:val="auto"/>
              </w:rPr>
            </w:pPr>
            <w:r>
              <w:rPr>
                <w:rFonts w:ascii="Arial" w:cs="Arial" w:eastAsia="Arial" w:hAnsi="Arial"/>
                <w:sz w:val="16"/>
                <w:szCs w:val="16"/>
                <w:color w:val="auto"/>
                <w:w w:val="92"/>
              </w:rPr>
              <w:t>101.SCH</w:t>
            </w:r>
          </w:p>
        </w:tc>
        <w:tc>
          <w:tcPr>
            <w:tcW w:w="30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9"/>
              </w:rPr>
              <w:t>101.CAL</w:t>
            </w:r>
          </w:p>
        </w:tc>
        <w:tc>
          <w:tcPr>
            <w:tcW w:w="3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237"/>
        </w:trPr>
        <w:tc>
          <w:tcPr>
            <w:tcW w:w="800" w:type="dxa"/>
            <w:vAlign w:val="bottom"/>
            <w:gridSpan w:val="3"/>
          </w:tcPr>
          <w:p>
            <w:pPr>
              <w:jc w:val="center"/>
              <w:spacing w:after="0"/>
              <w:rPr>
                <w:sz w:val="20"/>
                <w:szCs w:val="20"/>
                <w:color w:val="auto"/>
              </w:rPr>
            </w:pPr>
            <w:r>
              <w:rPr>
                <w:rFonts w:ascii="Arial" w:cs="Arial" w:eastAsia="Arial" w:hAnsi="Arial"/>
                <w:sz w:val="16"/>
                <w:szCs w:val="16"/>
                <w:color w:val="auto"/>
                <w:w w:val="91"/>
              </w:rPr>
              <w:t>101.DEF</w:t>
            </w:r>
          </w:p>
        </w:tc>
        <w:tc>
          <w:tcPr>
            <w:tcW w:w="30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rPr>
              <w:t>101.LAB</w:t>
            </w:r>
          </w:p>
        </w:tc>
        <w:tc>
          <w:tcPr>
            <w:tcW w:w="3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237"/>
        </w:trPr>
        <w:tc>
          <w:tcPr>
            <w:tcW w:w="800" w:type="dxa"/>
            <w:vAlign w:val="bottom"/>
            <w:gridSpan w:val="3"/>
          </w:tcPr>
          <w:p>
            <w:pPr>
              <w:jc w:val="center"/>
              <w:spacing w:after="0"/>
              <w:rPr>
                <w:sz w:val="20"/>
                <w:szCs w:val="20"/>
                <w:color w:val="auto"/>
              </w:rPr>
            </w:pPr>
            <w:r>
              <w:rPr>
                <w:rFonts w:ascii="Arial" w:cs="Arial" w:eastAsia="Arial" w:hAnsi="Arial"/>
                <w:sz w:val="16"/>
                <w:szCs w:val="16"/>
                <w:color w:val="auto"/>
                <w:w w:val="90"/>
              </w:rPr>
              <w:t>101.PRE</w:t>
            </w:r>
          </w:p>
        </w:tc>
        <w:tc>
          <w:tcPr>
            <w:tcW w:w="300" w:type="dxa"/>
            <w:vAlign w:val="bottom"/>
          </w:tcPr>
          <w:p>
            <w:pPr>
              <w:spacing w:after="0"/>
              <w:rPr>
                <w:sz w:val="20"/>
                <w:szCs w:val="20"/>
                <w:color w:val="auto"/>
              </w:rPr>
            </w:pPr>
          </w:p>
        </w:tc>
        <w:tc>
          <w:tcPr>
            <w:tcW w:w="830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375" w:lineRule="exact"/>
        <w:rPr>
          <w:sz w:val="20"/>
          <w:szCs w:val="20"/>
          <w:color w:val="auto"/>
        </w:rPr>
      </w:pPr>
    </w:p>
    <w:p>
      <w:pPr>
        <w:ind w:left="1360" w:hanging="31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040"/>
        <w:spacing w:after="0"/>
        <w:tabs>
          <w:tab w:leader="none" w:pos="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20"/>
          </w:cols>
          <w:pgMar w:left="240" w:top="121" w:right="1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Mazzo,PhD, certify that:</w:t>
      </w:r>
    </w:p>
    <w:p>
      <w:pPr>
        <w:spacing w:after="0" w:line="225"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892"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4"/>
        <w:spacing w:after="0" w:line="277" w:lineRule="auto"/>
        <w:tabs>
          <w:tab w:leader="none" w:pos="90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31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19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J. Mazzo,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Executive Officer (Principal Executive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Talamo, certify that:</w:t>
      </w:r>
    </w:p>
    <w:p>
      <w:pPr>
        <w:spacing w:after="0" w:line="22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Caladrius Biosciences,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892"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4"/>
        <w:spacing w:after="0" w:line="277" w:lineRule="auto"/>
        <w:tabs>
          <w:tab w:leader="none" w:pos="9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Joseph Talamo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Joseph Talamo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 Chief Financial Officer (Principal Financial and Accounting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March 31, 2019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38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 David J. Mazzo, PhD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J. Mazzo, PhD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President and Chief Executive Officer (Principal Executive</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Caladrius Biosciences, Inc. (the “Company”) for the quarter ended March 31, 2019 filed with the Securities and Exchange Commission on the date hereof (the “Report”), I, Joseph Talamo, Senior Vice President and Chief Financial Officer of the Company, certify, pursuant to 18 U.S.C. Section 1350, as adopted pursuant to Section 906 of the Sarbanes-Oxley Act of 2002, to my knowledge that:</w:t>
      </w:r>
    </w:p>
    <w:p>
      <w:pPr>
        <w:spacing w:after="0" w:line="38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 Joseph Talamo</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Joseph Talamo</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Senior Vice President and Chief Financial Officer (Principal</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Financial and Accounting Officer)</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2019-12-02T21:18:42Z</dcterms:created>
  <dcterms:modified xsi:type="dcterms:W3CDTF">2019-12-02T21:18:42Z</dcterms:modified>
</cp:coreProperties>
</file>