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39" w:lineRule="exact"/>
        <w:rPr>
          <w:sz w:val="24"/>
          <w:szCs w:val="24"/>
          <w:color w:val="auto"/>
        </w:rPr>
      </w:pPr>
    </w:p>
    <w:p>
      <w:pPr>
        <w:ind w:left="400" w:hanging="376"/>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June 30, 2022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35"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For the Transition Period from __________________  to _________________________</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001-33650</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CALADRIUS BIOSCIENCES,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992" w:right="359" w:bottom="1440" w:gutter="0" w:footer="0" w:header="0"/>
        </w:sectPr>
      </w:pPr>
    </w:p>
    <w:p>
      <w:pPr>
        <w:spacing w:after="0" w:line="11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Delaware</w:t>
      </w:r>
    </w:p>
    <w:p>
      <w:pPr>
        <w:spacing w:after="0" w:line="19"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22-2343568</w:t>
      </w:r>
    </w:p>
    <w:p>
      <w:pPr>
        <w:spacing w:after="0" w:line="19"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20" w:space="720"/>
            <w:col w:w="3880"/>
          </w:cols>
          <w:pgMar w:left="320" w:top="992" w:right="359" w:bottom="1440" w:gutter="0" w:footer="0" w:header="0"/>
          <w:type w:val="continuous"/>
        </w:sectPr>
      </w:pPr>
    </w:p>
    <w:p>
      <w:pPr>
        <w:spacing w:after="0" w:line="69"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110 Allen Road, 2nd Floor, Basking Ridge, New Jersey</w:t>
      </w:r>
    </w:p>
    <w:p>
      <w:pPr>
        <w:spacing w:after="0" w:line="42" w:lineRule="exact"/>
        <w:rPr>
          <w:sz w:val="24"/>
          <w:szCs w:val="24"/>
          <w:color w:val="auto"/>
        </w:rPr>
      </w:pPr>
    </w:p>
    <w:p>
      <w:pPr>
        <w:jc w:val="center"/>
        <w:ind w:right="15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jc w:val="center"/>
        <w:ind w:right="2240"/>
        <w:spacing w:after="0"/>
        <w:rPr>
          <w:sz w:val="20"/>
          <w:szCs w:val="20"/>
          <w:color w:val="auto"/>
        </w:rPr>
      </w:pPr>
      <w:r>
        <w:rPr>
          <w:rFonts w:ascii="Arial" w:cs="Arial" w:eastAsia="Arial" w:hAnsi="Arial"/>
          <w:sz w:val="18"/>
          <w:szCs w:val="18"/>
          <w:color w:val="auto"/>
        </w:rPr>
        <w:t>07920</w:t>
      </w:r>
    </w:p>
    <w:p>
      <w:pPr>
        <w:spacing w:after="0" w:line="19" w:lineRule="exact"/>
        <w:rPr>
          <w:sz w:val="24"/>
          <w:szCs w:val="24"/>
          <w:color w:val="auto"/>
        </w:rPr>
      </w:pPr>
    </w:p>
    <w:p>
      <w:pPr>
        <w:jc w:val="center"/>
        <w:ind w:right="2240"/>
        <w:spacing w:after="0"/>
        <w:rPr>
          <w:sz w:val="20"/>
          <w:szCs w:val="20"/>
          <w:color w:val="auto"/>
        </w:rPr>
      </w:pPr>
      <w:r>
        <w:rPr>
          <w:rFonts w:ascii="Arial" w:cs="Arial" w:eastAsia="Arial" w:hAnsi="Arial"/>
          <w:sz w:val="14"/>
          <w:szCs w:val="14"/>
          <w:color w:val="auto"/>
        </w:rPr>
        <w:t>(zip code)</w:t>
      </w:r>
    </w:p>
    <w:p>
      <w:pPr>
        <w:spacing w:after="0" w:line="245" w:lineRule="exact"/>
        <w:rPr>
          <w:sz w:val="24"/>
          <w:szCs w:val="24"/>
          <w:color w:val="auto"/>
        </w:rPr>
      </w:pPr>
    </w:p>
    <w:p>
      <w:pPr>
        <w:sectPr>
          <w:pgSz w:w="11900" w:h="16838" w:orient="portrait"/>
          <w:cols w:equalWidth="0" w:num="2">
            <w:col w:w="7560" w:space="720"/>
            <w:col w:w="2940"/>
          </w:cols>
          <w:pgMar w:left="320" w:top="992" w:right="359" w:bottom="1440" w:gutter="0" w:footer="0" w:header="0"/>
          <w:type w:val="continuous"/>
        </w:sectPr>
      </w:pPr>
    </w:p>
    <w:p>
      <w:pPr>
        <w:spacing w:after="0" w:line="112" w:lineRule="exact"/>
        <w:rPr>
          <w:sz w:val="24"/>
          <w:szCs w:val="24"/>
          <w:color w:val="auto"/>
        </w:rPr>
      </w:pPr>
    </w:p>
    <w:p>
      <w:pPr>
        <w:ind w:left="3260"/>
        <w:spacing w:after="0"/>
        <w:rPr>
          <w:sz w:val="20"/>
          <w:szCs w:val="20"/>
          <w:color w:val="auto"/>
        </w:rPr>
      </w:pPr>
      <w:r>
        <w:rPr>
          <w:rFonts w:ascii="Arial" w:cs="Arial" w:eastAsia="Arial" w:hAnsi="Arial"/>
          <w:sz w:val="14"/>
          <w:szCs w:val="14"/>
          <w:color w:val="auto"/>
        </w:rPr>
        <w:t>Registrant’s telephone number, including area code: 908-842-0100</w:t>
      </w:r>
    </w:p>
    <w:p>
      <w:pPr>
        <w:spacing w:after="0" w:line="9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992" w:right="35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Title of each class</w:t>
      </w:r>
    </w:p>
    <w:p>
      <w:pPr>
        <w:spacing w:after="0" w:line="22" w:lineRule="exact"/>
        <w:rPr>
          <w:sz w:val="24"/>
          <w:szCs w:val="24"/>
          <w:color w:val="auto"/>
        </w:rPr>
      </w:pPr>
    </w:p>
    <w:p>
      <w:pPr>
        <w:jc w:val="center"/>
        <w:ind w:right="22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4"/>
          <w:szCs w:val="14"/>
          <w:b w:val="1"/>
          <w:bCs w:val="1"/>
          <w:color w:val="auto"/>
        </w:rPr>
        <w:t>Trading Symbol(s)</w:t>
      </w:r>
    </w:p>
    <w:p>
      <w:pPr>
        <w:spacing w:after="0" w:line="6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CLBS</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6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Capital Market</w:t>
      </w:r>
    </w:p>
    <w:p>
      <w:pPr>
        <w:spacing w:after="0" w:line="93" w:lineRule="exact"/>
        <w:rPr>
          <w:sz w:val="24"/>
          <w:szCs w:val="24"/>
          <w:color w:val="auto"/>
        </w:rPr>
      </w:pPr>
    </w:p>
    <w:p>
      <w:pPr>
        <w:sectPr>
          <w:pgSz w:w="11900" w:h="16838" w:orient="portrait"/>
          <w:cols w:equalWidth="0" w:num="3">
            <w:col w:w="4280" w:space="720"/>
            <w:col w:w="1940" w:space="720"/>
            <w:col w:w="3560"/>
          </w:cols>
          <w:pgMar w:left="320" w:top="992"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both"/>
        <w:ind w:left="120" w:right="20" w:firstLine="24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jc w:val="both"/>
        <w:ind w:left="120" w:right="20" w:firstLine="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jc w:val="both"/>
        <w:ind w:left="120" w:right="20" w:firstLine="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firstLine="639"/>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20"/>
          </w:cols>
          <w:pgMar w:left="320" w:top="992" w:right="359" w:bottom="1440" w:gutter="0" w:footer="0" w:header="0"/>
          <w:type w:val="continuous"/>
        </w:sectPr>
      </w:pPr>
    </w:p>
    <w:p>
      <w:pPr>
        <w:spacing w:after="0" w:line="133"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Outstanding as of August 4, 2022</w:t>
      </w:r>
    </w:p>
    <w:p>
      <w:pPr>
        <w:spacing w:after="0" w:line="111" w:lineRule="exact"/>
        <w:rPr>
          <w:sz w:val="24"/>
          <w:szCs w:val="24"/>
          <w:color w:val="auto"/>
        </w:rPr>
      </w:pPr>
    </w:p>
    <w:p>
      <w:pPr>
        <w:sectPr>
          <w:pgSz w:w="11900" w:h="16838" w:orient="portrait"/>
          <w:cols w:equalWidth="0" w:num="2">
            <w:col w:w="6560" w:space="720"/>
            <w:col w:w="3940"/>
          </w:cols>
          <w:pgMar w:left="320" w:top="992" w:right="359" w:bottom="1440" w:gutter="0" w:footer="0" w:header="0"/>
          <w:type w:val="continuous"/>
        </w:sectPr>
      </w:pPr>
    </w:p>
    <w:p>
      <w:pPr>
        <w:ind w:left="1080"/>
        <w:spacing w:after="0"/>
        <w:rPr>
          <w:sz w:val="20"/>
          <w:szCs w:val="20"/>
          <w:color w:val="auto"/>
        </w:rPr>
      </w:pPr>
      <w:r>
        <w:rPr>
          <w:rFonts w:ascii="Arial" w:cs="Arial" w:eastAsia="Arial" w:hAnsi="Arial"/>
          <w:sz w:val="14"/>
          <w:szCs w:val="14"/>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974725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60,583,249 shares</w:t>
      </w:r>
    </w:p>
    <w:p>
      <w:pPr>
        <w:sectPr>
          <w:pgSz w:w="11900" w:h="16838" w:orient="portrait"/>
          <w:cols w:equalWidth="0" w:num="2">
            <w:col w:w="6940" w:space="720"/>
            <w:col w:w="3560"/>
          </w:cols>
          <w:pgMar w:left="320" w:top="992"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05"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27" w:lineRule="exact"/>
        <w:rPr>
          <w:sz w:val="20"/>
          <w:szCs w:val="20"/>
          <w:color w:val="auto"/>
        </w:rPr>
      </w:pPr>
    </w:p>
    <w:p>
      <w:pPr>
        <w:ind w:left="640" w:hanging="314"/>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ability to complete the proposed merger with Cend Therapeutics, Inc. (“Cend”);</w:t>
      </w:r>
    </w:p>
    <w:p>
      <w:pPr>
        <w:spacing w:after="0" w:line="2" w:lineRule="exact"/>
        <w:rPr>
          <w:rFonts w:ascii="Arial" w:cs="Arial" w:eastAsia="Arial" w:hAnsi="Arial"/>
          <w:sz w:val="21"/>
          <w:szCs w:val="21"/>
          <w:color w:val="auto"/>
        </w:rPr>
      </w:pPr>
    </w:p>
    <w:p>
      <w:pPr>
        <w:jc w:val="both"/>
        <w:ind w:left="640" w:hanging="314"/>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129"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150" w:lineRule="exact"/>
        <w:rPr>
          <w:rFonts w:ascii="Arial" w:cs="Arial" w:eastAsia="Arial" w:hAnsi="Arial"/>
          <w:sz w:val="17"/>
          <w:szCs w:val="17"/>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152"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52"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100"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23"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39" w:lineRule="exact"/>
        <w:rPr>
          <w:rFonts w:ascii="Arial" w:cs="Arial" w:eastAsia="Arial" w:hAnsi="Arial"/>
          <w:sz w:val="18"/>
          <w:szCs w:val="18"/>
          <w:color w:val="auto"/>
        </w:rPr>
      </w:pPr>
    </w:p>
    <w:p>
      <w:pPr>
        <w:jc w:val="both"/>
        <w:ind w:left="640" w:right="20" w:hanging="314"/>
        <w:spacing w:after="0" w:line="22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diversify our pipeline of development product candidates, including our proposed merger with Cend,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125"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123"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may impact our business, including our clinical trials and financial condition;</w:t>
      </w:r>
    </w:p>
    <w:p>
      <w:pPr>
        <w:spacing w:after="0" w:line="152"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 and</w:t>
      </w:r>
    </w:p>
    <w:p>
      <w:pPr>
        <w:spacing w:after="0" w:line="179" w:lineRule="exact"/>
        <w:rPr>
          <w:rFonts w:ascii="Arial" w:cs="Arial" w:eastAsia="Arial" w:hAnsi="Arial"/>
          <w:sz w:val="18"/>
          <w:szCs w:val="18"/>
          <w:color w:val="auto"/>
        </w:rPr>
      </w:pPr>
    </w:p>
    <w:p>
      <w:pPr>
        <w:ind w:left="640" w:hanging="314"/>
        <w:spacing w:after="0" w:line="233"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other factors discussed in “Risk Factors” in our Annual Report on Form 10-K filed with the Securities and Exchange Commission (the “SEC”) on March 22, 2022 (our “2021 Form 10-K”).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2021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740" w:type="dxa"/>
            <w:vAlign w:val="bottom"/>
            <w:shd w:val="clear" w:color="auto" w:fill="CCEEFF"/>
          </w:tcPr>
          <w:p>
            <w:pPr>
              <w:spacing w:after="0"/>
              <w:rPr>
                <w:sz w:val="17"/>
                <w:szCs w:val="17"/>
                <w:color w:val="auto"/>
              </w:rPr>
            </w:pPr>
          </w:p>
        </w:tc>
        <w:tc>
          <w:tcPr>
            <w:tcW w:w="910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b w:val="1"/>
                <w:bCs w:val="1"/>
                <w:color w:val="0000FF"/>
              </w:rPr>
              <w:t>PART I- FINANCIAL INFORMATION</w:t>
            </w:r>
          </w:p>
        </w:tc>
        <w:tc>
          <w:tcPr>
            <w:tcW w:w="1240" w:type="dxa"/>
            <w:vAlign w:val="bottom"/>
            <w:shd w:val="clear" w:color="auto" w:fill="CCEEFF"/>
          </w:tcPr>
          <w:p>
            <w:pPr>
              <w:jc w:val="center"/>
              <w:ind w:left="58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15"/>
        </w:trPr>
        <w:tc>
          <w:tcPr>
            <w:tcW w:w="740" w:type="dxa"/>
            <w:vAlign w:val="bottom"/>
            <w:shd w:val="clear" w:color="auto" w:fill="CCEEFF"/>
          </w:tcPr>
          <w:p>
            <w:pPr>
              <w:spacing w:after="0"/>
              <w:rPr>
                <w:sz w:val="10"/>
                <w:szCs w:val="10"/>
                <w:color w:val="auto"/>
              </w:rPr>
            </w:pPr>
          </w:p>
        </w:tc>
        <w:tc>
          <w:tcPr>
            <w:tcW w:w="9100" w:type="dxa"/>
            <w:vAlign w:val="bottom"/>
            <w:gridSpan w:val="3"/>
            <w:vMerge w:val="continue"/>
            <w:shd w:val="clear" w:color="auto" w:fill="CCEEFF"/>
          </w:tcPr>
          <w:p>
            <w:pPr>
              <w:spacing w:after="0"/>
              <w:rPr>
                <w:sz w:val="10"/>
                <w:szCs w:val="10"/>
                <w:color w:val="auto"/>
              </w:rPr>
            </w:pPr>
          </w:p>
        </w:tc>
        <w:tc>
          <w:tcPr>
            <w:tcW w:w="1240" w:type="dxa"/>
            <w:vAlign w:val="bottom"/>
            <w:vMerge w:val="restart"/>
            <w:shd w:val="clear" w:color="auto" w:fill="CCEEFF"/>
          </w:tcPr>
          <w:p>
            <w:pPr>
              <w:jc w:val="center"/>
              <w:ind w:left="580"/>
              <w:spacing w:after="0"/>
              <w:rPr>
                <w:sz w:val="20"/>
                <w:szCs w:val="20"/>
                <w:color w:val="auto"/>
              </w:rPr>
            </w:pPr>
            <w:r>
              <w:rPr>
                <w:rFonts w:ascii="Arial" w:cs="Arial" w:eastAsia="Arial" w:hAnsi="Arial"/>
                <w:sz w:val="16"/>
                <w:szCs w:val="16"/>
                <w:b w:val="1"/>
                <w:bCs w:val="1"/>
                <w:color w:val="auto"/>
                <w:w w:val="85"/>
              </w:rPr>
              <w:t>No.</w:t>
            </w:r>
          </w:p>
        </w:tc>
        <w:tc>
          <w:tcPr>
            <w:tcW w:w="0" w:type="dxa"/>
            <w:vAlign w:val="bottom"/>
          </w:tcPr>
          <w:p>
            <w:pPr>
              <w:spacing w:after="0"/>
              <w:rPr>
                <w:sz w:val="1"/>
                <w:szCs w:val="1"/>
                <w:color w:val="auto"/>
              </w:rPr>
            </w:pPr>
          </w:p>
        </w:tc>
      </w:tr>
      <w:tr>
        <w:trPr>
          <w:trHeight w:val="112"/>
        </w:trPr>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75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w:t>
            </w:r>
          </w:p>
        </w:tc>
        <w:tc>
          <w:tcPr>
            <w:tcW w:w="9100" w:type="dxa"/>
            <w:vAlign w:val="bottom"/>
            <w:gridSpan w:val="3"/>
          </w:tcPr>
          <w:p>
            <w:pPr>
              <w:ind w:left="120"/>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Financial Statements:</w:t>
              </w:r>
            </w:hyperlink>
          </w:p>
        </w:tc>
        <w:tc>
          <w:tcPr>
            <w:tcW w:w="1240" w:type="dxa"/>
            <w:vAlign w:val="bottom"/>
          </w:tcPr>
          <w:p>
            <w:pPr>
              <w:jc w:val="center"/>
              <w:ind w:left="560"/>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7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0" w:type="dxa"/>
            <w:vAlign w:val="bottom"/>
            <w:shd w:val="clear" w:color="auto" w:fill="CCEEFF"/>
          </w:tcPr>
          <w:p>
            <w:pPr>
              <w:spacing w:after="0"/>
              <w:rPr>
                <w:sz w:val="20"/>
                <w:szCs w:val="20"/>
                <w:color w:val="auto"/>
              </w:rPr>
            </w:pPr>
          </w:p>
        </w:tc>
        <w:tc>
          <w:tcPr>
            <w:tcW w:w="9100" w:type="dxa"/>
            <w:vAlign w:val="bottom"/>
            <w:gridSpan w:val="3"/>
            <w:shd w:val="clear" w:color="auto" w:fill="CCEEFF"/>
          </w:tcPr>
          <w:p>
            <w:pPr>
              <w:ind w:left="120"/>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Consolidated Balance Sheets at June 30, 2022 (unaudited) and December 31, 2021</w:t>
              </w:r>
            </w:hyperlink>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100" w:type="dxa"/>
            <w:vAlign w:val="bottom"/>
            <w:gridSpan w:val="3"/>
          </w:tcPr>
          <w:p>
            <w:pPr>
              <w:ind w:left="120"/>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Consolidated Statements of Operations for the three and six months ended June 30, 2022 and 2021 (unaudited)</w:t>
              </w:r>
            </w:hyperlink>
          </w:p>
        </w:tc>
        <w:tc>
          <w:tcPr>
            <w:tcW w:w="1240" w:type="dxa"/>
            <w:vAlign w:val="bottom"/>
          </w:tcPr>
          <w:p>
            <w:pPr>
              <w:jc w:val="center"/>
              <w:ind w:left="560"/>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6</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100" w:type="dxa"/>
            <w:vAlign w:val="bottom"/>
            <w:gridSpan w:val="3"/>
            <w:shd w:val="clear" w:color="auto" w:fill="CCEEFF"/>
          </w:tcPr>
          <w:p>
            <w:pPr>
              <w:ind w:left="120"/>
              <w:spacing w:after="0"/>
              <w:rPr>
                <w:rFonts w:ascii="Arial" w:cs="Arial" w:eastAsia="Arial" w:hAnsi="Arial"/>
                <w:sz w:val="16"/>
                <w:szCs w:val="16"/>
                <w:b w:val="1"/>
                <w:bCs w:val="1"/>
                <w:color w:val="0000FF"/>
                <w:w w:val="97"/>
              </w:rPr>
            </w:pPr>
            <w:hyperlink w:anchor="page6">
              <w:r>
                <w:rPr>
                  <w:rFonts w:ascii="Arial" w:cs="Arial" w:eastAsia="Arial" w:hAnsi="Arial"/>
                  <w:sz w:val="16"/>
                  <w:szCs w:val="16"/>
                  <w:b w:val="1"/>
                  <w:bCs w:val="1"/>
                  <w:color w:val="0000FF"/>
                  <w:w w:val="97"/>
                </w:rPr>
                <w:t>Consolidated Statements of Comprehensive Loss for the three and six months ended June 30, 2022 and 2021 (unaudited)</w:t>
              </w:r>
            </w:hyperlink>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100" w:type="dxa"/>
            <w:vAlign w:val="bottom"/>
            <w:gridSpan w:val="3"/>
          </w:tcPr>
          <w:p>
            <w:pPr>
              <w:ind w:left="120"/>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Consolidated Statements of Equity for the three and six months ended June 30, 2022 and 2021 (unaudited)</w:t>
              </w:r>
            </w:hyperlink>
          </w:p>
        </w:tc>
        <w:tc>
          <w:tcPr>
            <w:tcW w:w="1240" w:type="dxa"/>
            <w:vAlign w:val="bottom"/>
          </w:tcPr>
          <w:p>
            <w:pPr>
              <w:jc w:val="center"/>
              <w:ind w:left="560"/>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100" w:type="dxa"/>
            <w:vAlign w:val="bottom"/>
            <w:gridSpan w:val="3"/>
            <w:shd w:val="clear" w:color="auto" w:fill="CCEEFF"/>
          </w:tcPr>
          <w:p>
            <w:pPr>
              <w:ind w:left="120"/>
              <w:spacing w:after="0"/>
              <w:rPr>
                <w:rFonts w:ascii="Arial" w:cs="Arial" w:eastAsia="Arial" w:hAnsi="Arial"/>
                <w:sz w:val="16"/>
                <w:szCs w:val="16"/>
                <w:b w:val="1"/>
                <w:bCs w:val="1"/>
                <w:color w:val="0000FF"/>
              </w:rPr>
            </w:pPr>
            <w:hyperlink w:anchor="page9">
              <w:r>
                <w:rPr>
                  <w:rFonts w:ascii="Arial" w:cs="Arial" w:eastAsia="Arial" w:hAnsi="Arial"/>
                  <w:sz w:val="16"/>
                  <w:szCs w:val="16"/>
                  <w:b w:val="1"/>
                  <w:bCs w:val="1"/>
                  <w:color w:val="0000FF"/>
                </w:rPr>
                <w:t>Consolidated Statements of Cash Flows for the six months ended June 30, 2022 and 2021 (unaudited)</w:t>
              </w:r>
            </w:hyperlink>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10</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1240" w:type="dxa"/>
            <w:vAlign w:val="bottom"/>
          </w:tcPr>
          <w:p>
            <w:pPr>
              <w:jc w:val="center"/>
              <w:ind w:left="580"/>
              <w:spacing w:after="0"/>
              <w:rPr>
                <w:rFonts w:ascii="Arial" w:cs="Arial" w:eastAsia="Arial" w:hAnsi="Arial"/>
                <w:sz w:val="16"/>
                <w:szCs w:val="16"/>
                <w:color w:val="0000FF"/>
                <w:w w:val="78"/>
              </w:rPr>
            </w:pPr>
            <w:hyperlink w:anchor="page10">
              <w:r>
                <w:rPr>
                  <w:rFonts w:ascii="Arial" w:cs="Arial" w:eastAsia="Arial" w:hAnsi="Arial"/>
                  <w:sz w:val="16"/>
                  <w:szCs w:val="16"/>
                  <w:color w:val="0000FF"/>
                  <w:w w:val="78"/>
                </w:rPr>
                <w:t>11</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22</w:t>
              </w:r>
            </w:hyperlink>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1240" w:type="dxa"/>
            <w:vAlign w:val="bottom"/>
          </w:tcPr>
          <w:p>
            <w:pPr>
              <w:jc w:val="center"/>
              <w:ind w:left="560"/>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Controls and Procedures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PART II- OTHER INFORMATION</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1.</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Legal Proceedings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1A.</w:t>
            </w: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Risk Factors</w:t>
            </w:r>
          </w:p>
        </w:tc>
        <w:tc>
          <w:tcPr>
            <w:tcW w:w="1240" w:type="dxa"/>
            <w:vAlign w:val="bottom"/>
          </w:tcPr>
          <w:p>
            <w:pPr>
              <w:jc w:val="center"/>
              <w:ind w:left="560"/>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34</w:t>
              </w:r>
            </w:hyperlink>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Defaults Upon Senior Securities</w:t>
            </w:r>
          </w:p>
        </w:tc>
        <w:tc>
          <w:tcPr>
            <w:tcW w:w="1240" w:type="dxa"/>
            <w:vAlign w:val="bottom"/>
          </w:tcPr>
          <w:p>
            <w:pPr>
              <w:jc w:val="center"/>
              <w:ind w:left="56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Mine Safety Disclosures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5.</w:t>
            </w: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Other Information</w:t>
            </w:r>
          </w:p>
        </w:tc>
        <w:tc>
          <w:tcPr>
            <w:tcW w:w="1240" w:type="dxa"/>
            <w:vAlign w:val="bottom"/>
          </w:tcPr>
          <w:p>
            <w:pPr>
              <w:jc w:val="center"/>
              <w:ind w:left="56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6.</w:t>
            </w:r>
          </w:p>
        </w:tc>
        <w:tc>
          <w:tcPr>
            <w:tcW w:w="91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Exhibits</w:t>
            </w:r>
          </w:p>
        </w:tc>
        <w:tc>
          <w:tcPr>
            <w:tcW w:w="1240" w:type="dxa"/>
            <w:vAlign w:val="bottom"/>
            <w:shd w:val="clear" w:color="auto" w:fill="CCEEFF"/>
          </w:tcPr>
          <w:p>
            <w:pPr>
              <w:jc w:val="center"/>
              <w:ind w:left="56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9100" w:type="dxa"/>
            <w:vAlign w:val="bottom"/>
            <w:gridSpan w:val="3"/>
          </w:tcPr>
          <w:p>
            <w:pPr>
              <w:ind w:left="120"/>
              <w:spacing w:after="0"/>
              <w:rPr>
                <w:sz w:val="20"/>
                <w:szCs w:val="20"/>
                <w:color w:val="auto"/>
              </w:rPr>
            </w:pPr>
            <w:r>
              <w:rPr>
                <w:rFonts w:ascii="Arial" w:cs="Arial" w:eastAsia="Arial" w:hAnsi="Arial"/>
                <w:sz w:val="16"/>
                <w:szCs w:val="16"/>
                <w:b w:val="1"/>
                <w:bCs w:val="1"/>
                <w:color w:val="0000FF"/>
              </w:rPr>
              <w:t>Signatures</w:t>
            </w:r>
          </w:p>
        </w:tc>
        <w:tc>
          <w:tcPr>
            <w:tcW w:w="1240" w:type="dxa"/>
            <w:vAlign w:val="bottom"/>
          </w:tcPr>
          <w:p>
            <w:pPr>
              <w:jc w:val="center"/>
              <w:ind w:left="56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June 30,</w:t>
            </w:r>
          </w:p>
        </w:tc>
        <w:tc>
          <w:tcPr>
            <w:tcW w:w="18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33,348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24,647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96,182</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Cend Therapeutics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rPr>
              <w:t>Preferred stock, authorized, 20,000,000 shares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Series B convertible redeemable preferred stock liquidation value, 0.001 share of common stock,</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$0.01 par value; 825,000 shares designated; issued and outstanding, 10,000 shares at</w:t>
            </w:r>
          </w:p>
        </w:tc>
        <w:tc>
          <w:tcPr>
            <w:tcW w:w="2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June 30, 2022 and December 31, 2021, respectively</w:t>
            </w:r>
          </w:p>
        </w:tc>
        <w:tc>
          <w:tcPr>
            <w:tcW w:w="2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60" w:type="dxa"/>
            <w:vAlign w:val="bottom"/>
          </w:tcPr>
          <w:p>
            <w:pPr>
              <w:ind w:left="260"/>
              <w:spacing w:after="0" w:line="163" w:lineRule="exact"/>
              <w:rPr>
                <w:sz w:val="20"/>
                <w:szCs w:val="20"/>
                <w:color w:val="auto"/>
              </w:rPr>
            </w:pPr>
            <w:r>
              <w:rPr>
                <w:rFonts w:ascii="Arial" w:cs="Arial" w:eastAsia="Arial" w:hAnsi="Arial"/>
                <w:sz w:val="16"/>
                <w:szCs w:val="16"/>
                <w:color w:val="auto"/>
              </w:rPr>
              <w:t>Common stock, $0.001 par value, authorized 500,000,000 shares; issued 60,594,329</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60" w:type="dxa"/>
            <w:vAlign w:val="bottom"/>
          </w:tcPr>
          <w:p>
            <w:pPr>
              <w:ind w:left="260"/>
              <w:spacing w:after="0" w:line="160" w:lineRule="exact"/>
              <w:rPr>
                <w:sz w:val="20"/>
                <w:szCs w:val="20"/>
                <w:color w:val="auto"/>
              </w:rPr>
            </w:pPr>
            <w:r>
              <w:rPr>
                <w:rFonts w:ascii="Arial" w:cs="Arial" w:eastAsia="Arial" w:hAnsi="Arial"/>
                <w:sz w:val="16"/>
                <w:szCs w:val="16"/>
                <w:color w:val="auto"/>
              </w:rPr>
              <w:t>and 59,800,792 shares at June 30, 2022 and December 31, 2021, respectively; and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160" w:type="dxa"/>
            <w:vAlign w:val="bottom"/>
          </w:tcPr>
          <w:p>
            <w:pPr>
              <w:ind w:left="260"/>
              <w:spacing w:after="0" w:line="160" w:lineRule="exact"/>
              <w:rPr>
                <w:sz w:val="20"/>
                <w:szCs w:val="20"/>
                <w:color w:val="auto"/>
              </w:rPr>
            </w:pPr>
            <w:r>
              <w:rPr>
                <w:rFonts w:ascii="Arial" w:cs="Arial" w:eastAsia="Arial" w:hAnsi="Arial"/>
                <w:sz w:val="16"/>
                <w:szCs w:val="16"/>
                <w:color w:val="auto"/>
              </w:rPr>
              <w:t>outstanding, 60,583,249 and 59,789,712 shares at June 30, 2022 and December 31, 2021,</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816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545,988</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Treasury stock, at cost; 11,080 shares at June 30, 2022 and December 31, 2021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(453,016)</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Caladrius Biosciences, Inc. 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92,254</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0" w:type="dxa"/>
            <w:vAlign w:val="bottom"/>
          </w:tcPr>
          <w:p>
            <w:pPr>
              <w:spacing w:after="0"/>
              <w:rPr>
                <w:sz w:val="1"/>
                <w:szCs w:val="1"/>
                <w:color w:val="auto"/>
              </w:rPr>
            </w:pPr>
          </w:p>
        </w:tc>
      </w:tr>
      <w:tr>
        <w:trPr>
          <w:trHeight w:val="209"/>
        </w:trPr>
        <w:tc>
          <w:tcPr>
            <w:tcW w:w="8160" w:type="dxa"/>
            <w:vAlign w:val="bottom"/>
          </w:tcPr>
          <w:p>
            <w:pPr>
              <w:ind w:left="460"/>
              <w:spacing w:after="0"/>
              <w:rPr>
                <w:sz w:val="20"/>
                <w:szCs w:val="20"/>
                <w:color w:val="auto"/>
              </w:rPr>
            </w:pPr>
            <w:r>
              <w:rPr>
                <w:rFonts w:ascii="Arial" w:cs="Arial" w:eastAsia="Arial" w:hAnsi="Arial"/>
                <w:sz w:val="16"/>
                <w:szCs w:val="16"/>
                <w:color w:val="auto"/>
              </w:rPr>
              <w:t>Total liabilities, non-controlling interests and stockholders' equity</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(In thousands, except per share data)</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100" w:type="dxa"/>
            <w:vAlign w:val="bottom"/>
          </w:tcPr>
          <w:p>
            <w:pPr>
              <w:spacing w:after="0"/>
              <w:rPr>
                <w:sz w:val="18"/>
                <w:szCs w:val="18"/>
                <w:color w:val="auto"/>
              </w:rPr>
            </w:pPr>
          </w:p>
        </w:tc>
        <w:tc>
          <w:tcPr>
            <w:tcW w:w="224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Three Months Ended June 30,</w:t>
            </w:r>
          </w:p>
        </w:tc>
        <w:tc>
          <w:tcPr>
            <w:tcW w:w="20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07"/>
        </w:trPr>
        <w:tc>
          <w:tcPr>
            <w:tcW w:w="6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4,329</w:t>
            </w:r>
          </w:p>
        </w:tc>
        <w:tc>
          <w:tcPr>
            <w:tcW w:w="1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6,517</w:t>
            </w: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9,405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5,828</w:t>
            </w:r>
          </w:p>
        </w:tc>
      </w:tr>
      <w:tr>
        <w:trPr>
          <w:trHeight w:val="204"/>
        </w:trPr>
        <w:tc>
          <w:tcPr>
            <w:tcW w:w="610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15,233</w:t>
            </w:r>
          </w:p>
        </w:tc>
      </w:tr>
      <w:tr>
        <w:trPr>
          <w:trHeight w:val="256"/>
        </w:trPr>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color w:val="auto"/>
              </w:rPr>
              <w:t>Operating 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(15,233)</w:t>
            </w:r>
          </w:p>
        </w:tc>
      </w:tr>
      <w:tr>
        <w:trPr>
          <w:trHeight w:val="256"/>
        </w:trPr>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income,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color w:val="auto"/>
              </w:rPr>
              <w:t>Other expense, net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6"/>
        </w:trPr>
        <w:tc>
          <w:tcPr>
            <w:tcW w:w="6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(15,253)</w:t>
            </w:r>
          </w:p>
        </w:tc>
      </w:tr>
      <w:tr>
        <w:trPr>
          <w:trHeight w:val="210"/>
        </w:trPr>
        <w:tc>
          <w:tcPr>
            <w:tcW w:w="6100" w:type="dxa"/>
            <w:vAlign w:val="bottom"/>
          </w:tcPr>
          <w:p>
            <w:pPr>
              <w:ind w:left="220"/>
              <w:spacing w:after="0"/>
              <w:rPr>
                <w:sz w:val="20"/>
                <w:szCs w:val="20"/>
                <w:color w:val="auto"/>
              </w:rPr>
            </w:pPr>
            <w:r>
              <w:rPr>
                <w:rFonts w:ascii="Arial" w:cs="Arial" w:eastAsia="Arial" w:hAnsi="Arial"/>
                <w:sz w:val="16"/>
                <w:szCs w:val="16"/>
                <w:color w:val="auto"/>
              </w:rPr>
              <w:t>Benefit from income taxes</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234"/>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3"/>
        </w:trPr>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1"/>
        </w:trPr>
        <w:tc>
          <w:tcPr>
            <w:tcW w:w="6100" w:type="dxa"/>
            <w:vAlign w:val="bottom"/>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Caladrius Biosciences, Inc. common stockholders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r>
      <w:tr>
        <w:trPr>
          <w:trHeight w:val="213"/>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6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8"/>
        </w:trPr>
        <w:tc>
          <w:tcPr>
            <w:tcW w:w="6100" w:type="dxa"/>
            <w:vAlign w:val="bottom"/>
          </w:tcPr>
          <w:p>
            <w:pPr>
              <w:spacing w:after="0"/>
              <w:rPr>
                <w:sz w:val="20"/>
                <w:szCs w:val="20"/>
                <w:color w:val="auto"/>
              </w:rPr>
            </w:pPr>
            <w:r>
              <w:rPr>
                <w:rFonts w:ascii="Arial" w:cs="Arial" w:eastAsia="Arial" w:hAnsi="Arial"/>
                <w:sz w:val="16"/>
                <w:szCs w:val="16"/>
                <w:color w:val="auto"/>
              </w:rPr>
              <w:t>Basic and diluted shares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60,546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50,862</w:t>
            </w:r>
          </w:p>
        </w:tc>
      </w:tr>
    </w:tbl>
    <w:p>
      <w:pPr>
        <w:spacing w:after="0" w:line="31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23"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23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June 30,</w:t>
            </w:r>
          </w:p>
        </w:tc>
        <w:tc>
          <w:tcPr>
            <w:tcW w:w="100" w:type="dxa"/>
            <w:vAlign w:val="bottom"/>
          </w:tcPr>
          <w:p>
            <w:pPr>
              <w:spacing w:after="0"/>
              <w:rPr>
                <w:sz w:val="18"/>
                <w:szCs w:val="18"/>
                <w:color w:val="auto"/>
              </w:rPr>
            </w:pPr>
          </w:p>
        </w:tc>
        <w:tc>
          <w:tcPr>
            <w:tcW w:w="20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07"/>
        </w:trPr>
        <w:tc>
          <w:tcPr>
            <w:tcW w:w="57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(13,745)</w:t>
            </w:r>
          </w:p>
        </w:tc>
        <w:tc>
          <w:tcPr>
            <w:tcW w:w="0" w:type="dxa"/>
            <w:vAlign w:val="bottom"/>
          </w:tcPr>
          <w:p>
            <w:pPr>
              <w:spacing w:after="0"/>
              <w:rPr>
                <w:sz w:val="1"/>
                <w:szCs w:val="1"/>
                <w:color w:val="auto"/>
              </w:rPr>
            </w:pPr>
          </w:p>
        </w:tc>
      </w:tr>
      <w:tr>
        <w:trPr>
          <w:trHeight w:val="253"/>
        </w:trPr>
        <w:tc>
          <w:tcPr>
            <w:tcW w:w="5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Available for sale securities - net unrealized gain (loss)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other comprehensive gain (loss)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57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Comprehensive loss attributable to Caladrius Biosciences, Inc. common</w:t>
            </w: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stockholders</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Total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w w:val="91"/>
              </w:rPr>
              <w:t>Series B Convertible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5"/>
              </w:rPr>
              <w:t>Caladrius</w:t>
            </w:r>
          </w:p>
        </w:tc>
        <w:tc>
          <w:tcPr>
            <w:tcW w:w="160" w:type="dxa"/>
            <w:vAlign w:val="bottom"/>
          </w:tcPr>
          <w:p>
            <w:pPr>
              <w:spacing w:after="0"/>
              <w:rPr>
                <w:sz w:val="10"/>
                <w:szCs w:val="10"/>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87"/>
              </w:rPr>
              <w:t>Biosciences,</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200" w:type="dxa"/>
            <w:vAlign w:val="bottom"/>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6"/>
              </w:rPr>
              <w:t>Inc.</w:t>
            </w:r>
          </w:p>
        </w:tc>
        <w:tc>
          <w:tcPr>
            <w:tcW w:w="80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0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2"/>
                <w:szCs w:val="2"/>
                <w:color w:val="auto"/>
              </w:rPr>
            </w:pPr>
          </w:p>
        </w:tc>
        <w:tc>
          <w:tcPr>
            <w:tcW w:w="880" w:type="dxa"/>
            <w:vAlign w:val="bottom"/>
            <w:gridSpan w:val="2"/>
            <w:vMerge w:val="restart"/>
          </w:tcPr>
          <w:p>
            <w:pPr>
              <w:jc w:val="center"/>
              <w:ind w:right="160"/>
              <w:spacing w:after="0" w:line="120"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2"/>
                <w:szCs w:val="2"/>
                <w:color w:val="auto"/>
              </w:rPr>
            </w:pPr>
          </w:p>
        </w:tc>
        <w:tc>
          <w:tcPr>
            <w:tcW w:w="660" w:type="dxa"/>
            <w:vAlign w:val="bottom"/>
            <w:gridSpan w:val="2"/>
            <w:vMerge w:val="restart"/>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Treasury</w:t>
            </w:r>
          </w:p>
        </w:tc>
        <w:tc>
          <w:tcPr>
            <w:tcW w:w="880" w:type="dxa"/>
            <w:vAlign w:val="bottom"/>
            <w:gridSpan w:val="3"/>
            <w:vMerge w:val="restart"/>
          </w:tcPr>
          <w:p>
            <w:pPr>
              <w:jc w:val="center"/>
              <w:ind w:right="80"/>
              <w:spacing w:after="0" w:line="120" w:lineRule="exact"/>
              <w:rPr>
                <w:sz w:val="20"/>
                <w:szCs w:val="20"/>
                <w:color w:val="auto"/>
              </w:rPr>
            </w:pPr>
            <w:r>
              <w:rPr>
                <w:rFonts w:ascii="Arial" w:cs="Arial" w:eastAsia="Arial" w:hAnsi="Arial"/>
                <w:sz w:val="12"/>
                <w:szCs w:val="12"/>
                <w:b w:val="1"/>
                <w:bCs w:val="1"/>
                <w:color w:val="auto"/>
                <w:w w:val="91"/>
              </w:rPr>
              <w:t>Stockholders'</w:t>
            </w:r>
          </w:p>
        </w:tc>
        <w:tc>
          <w:tcPr>
            <w:tcW w:w="800" w:type="dxa"/>
            <w:vAlign w:val="bottom"/>
            <w:gridSpan w:val="3"/>
            <w:vMerge w:val="restart"/>
          </w:tcPr>
          <w:p>
            <w:pPr>
              <w:jc w:val="center"/>
              <w:ind w:right="60"/>
              <w:spacing w:after="0" w:line="120"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2"/>
                <w:szCs w:val="2"/>
                <w:color w:val="auto"/>
              </w:rPr>
            </w:pPr>
          </w:p>
        </w:tc>
        <w:tc>
          <w:tcPr>
            <w:tcW w:w="620" w:type="dxa"/>
            <w:vAlign w:val="bottom"/>
            <w:vMerge w:val="restart"/>
          </w:tcPr>
          <w:p>
            <w:pPr>
              <w:jc w:val="center"/>
              <w:ind w:right="93"/>
              <w:spacing w:after="0" w:line="120"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5"/>
                <w:szCs w:val="15"/>
                <w:color w:val="auto"/>
              </w:rPr>
            </w:pPr>
          </w:p>
        </w:tc>
        <w:tc>
          <w:tcPr>
            <w:tcW w:w="620" w:type="dxa"/>
            <w:vAlign w:val="bottom"/>
          </w:tcPr>
          <w:p>
            <w:pPr>
              <w:jc w:val="center"/>
              <w:ind w:right="11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6"/>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 31,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88,241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(6,626)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Unrealized gain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36"/>
        </w:trPr>
        <w:tc>
          <w:tcPr>
            <w:tcW w:w="24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7"/>
              </w:rPr>
              <w:t>Net proceeds from issuance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60,594</w:t>
            </w: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89"/>
              </w:rPr>
              <w:t>61</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546,976</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(463,868)</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82,391</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82,137</w:t>
            </w:r>
          </w:p>
        </w:tc>
        <w:tc>
          <w:tcPr>
            <w:tcW w:w="0" w:type="dxa"/>
            <w:vAlign w:val="bottom"/>
          </w:tcPr>
          <w:p>
            <w:pPr>
              <w:spacing w:after="0"/>
              <w:rPr>
                <w:sz w:val="1"/>
                <w:szCs w:val="1"/>
                <w:color w:val="auto"/>
              </w:rPr>
            </w:pPr>
          </w:p>
        </w:tc>
      </w:tr>
      <w:tr>
        <w:trPr>
          <w:trHeight w:val="546"/>
        </w:trPr>
        <w:tc>
          <w:tcPr>
            <w:tcW w:w="2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Total</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5"/>
              </w:rPr>
              <w:t>Caladrius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1"/>
              </w:rPr>
              <w:t>Series B Convertible</w:t>
            </w: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Biosciences,</w:t>
            </w:r>
          </w:p>
        </w:tc>
        <w:tc>
          <w:tcPr>
            <w:tcW w:w="16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200" w:type="dxa"/>
            <w:vAlign w:val="bottom"/>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6"/>
              </w:rPr>
              <w:t>Inc.</w:t>
            </w:r>
          </w:p>
        </w:tc>
        <w:tc>
          <w:tcPr>
            <w:tcW w:w="80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Paid-in</w:t>
            </w:r>
          </w:p>
        </w:tc>
        <w:tc>
          <w:tcPr>
            <w:tcW w:w="10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5"/>
                <w:szCs w:val="5"/>
                <w:color w:val="auto"/>
              </w:rPr>
            </w:pPr>
          </w:p>
        </w:tc>
        <w:tc>
          <w:tcPr>
            <w:tcW w:w="880" w:type="dxa"/>
            <w:vAlign w:val="bottom"/>
            <w:gridSpan w:val="2"/>
          </w:tcPr>
          <w:p>
            <w:pPr>
              <w:jc w:val="center"/>
              <w:ind w:right="160"/>
              <w:spacing w:after="0" w:line="60"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5"/>
                <w:szCs w:val="5"/>
                <w:color w:val="auto"/>
              </w:rPr>
            </w:pPr>
          </w:p>
        </w:tc>
        <w:tc>
          <w:tcPr>
            <w:tcW w:w="66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Treasury</w:t>
            </w:r>
          </w:p>
        </w:tc>
        <w:tc>
          <w:tcPr>
            <w:tcW w:w="880" w:type="dxa"/>
            <w:vAlign w:val="bottom"/>
            <w:gridSpan w:val="3"/>
          </w:tcPr>
          <w:p>
            <w:pPr>
              <w:jc w:val="center"/>
              <w:ind w:right="80"/>
              <w:spacing w:after="0" w:line="60" w:lineRule="exact"/>
              <w:rPr>
                <w:sz w:val="20"/>
                <w:szCs w:val="20"/>
                <w:color w:val="auto"/>
              </w:rPr>
            </w:pPr>
            <w:r>
              <w:rPr>
                <w:rFonts w:ascii="Arial" w:cs="Arial" w:eastAsia="Arial" w:hAnsi="Arial"/>
                <w:sz w:val="6"/>
                <w:szCs w:val="6"/>
                <w:b w:val="1"/>
                <w:bCs w:val="1"/>
                <w:color w:val="auto"/>
              </w:rPr>
              <w:t>Stockholders'</w:t>
            </w:r>
          </w:p>
        </w:tc>
        <w:tc>
          <w:tcPr>
            <w:tcW w:w="800" w:type="dxa"/>
            <w:vAlign w:val="bottom"/>
            <w:gridSpan w:val="3"/>
          </w:tcPr>
          <w:p>
            <w:pPr>
              <w:jc w:val="center"/>
              <w:ind w:right="60"/>
              <w:spacing w:after="0" w:line="60" w:lineRule="exact"/>
              <w:rPr>
                <w:sz w:val="20"/>
                <w:szCs w:val="20"/>
                <w:color w:val="auto"/>
              </w:rPr>
            </w:pPr>
            <w:r>
              <w:rPr>
                <w:rFonts w:ascii="Arial" w:cs="Arial" w:eastAsia="Arial" w:hAnsi="Arial"/>
                <w:sz w:val="6"/>
                <w:szCs w:val="6"/>
                <w:b w:val="1"/>
                <w:bCs w:val="1"/>
                <w:color w:val="auto"/>
              </w:rPr>
              <w:t>Interest in</w:t>
            </w:r>
          </w:p>
        </w:tc>
        <w:tc>
          <w:tcPr>
            <w:tcW w:w="160" w:type="dxa"/>
            <w:vAlign w:val="bottom"/>
          </w:tcPr>
          <w:p>
            <w:pPr>
              <w:spacing w:after="0"/>
              <w:rPr>
                <w:sz w:val="5"/>
                <w:szCs w:val="5"/>
                <w:color w:val="auto"/>
              </w:rPr>
            </w:pPr>
          </w:p>
        </w:tc>
        <w:tc>
          <w:tcPr>
            <w:tcW w:w="620" w:type="dxa"/>
            <w:vAlign w:val="bottom"/>
          </w:tcPr>
          <w:p>
            <w:pPr>
              <w:jc w:val="center"/>
              <w:ind w:right="93"/>
              <w:spacing w:after="0" w:line="60"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6"/>
                <w:szCs w:val="16"/>
                <w:color w:val="auto"/>
              </w:rPr>
            </w:pPr>
          </w:p>
        </w:tc>
        <w:tc>
          <w:tcPr>
            <w:tcW w:w="620" w:type="dxa"/>
            <w:vAlign w:val="bottom"/>
          </w:tcPr>
          <w:p>
            <w:pPr>
              <w:jc w:val="center"/>
              <w:ind w:right="11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3"/>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(10,852)</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33"/>
        </w:trPr>
        <w:tc>
          <w:tcPr>
            <w:tcW w:w="2460" w:type="dxa"/>
            <w:vAlign w:val="bottom"/>
          </w:tcPr>
          <w:p>
            <w:pPr>
              <w:ind w:left="20"/>
              <w:spacing w:after="0" w:line="133" w:lineRule="exact"/>
              <w:rPr>
                <w:sz w:val="20"/>
                <w:szCs w:val="20"/>
                <w:color w:val="auto"/>
              </w:rPr>
            </w:pPr>
            <w:r>
              <w:rPr>
                <w:rFonts w:ascii="Arial" w:cs="Arial" w:eastAsia="Arial" w:hAnsi="Arial"/>
                <w:sz w:val="14"/>
                <w:szCs w:val="14"/>
                <w:color w:val="auto"/>
                <w:w w:val="95"/>
              </w:rPr>
              <w:t>Net proceeds from issuances of common</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546,976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82,137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220" w:type="dxa"/>
            <w:vAlign w:val="bottom"/>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91"/>
              </w:rPr>
              <w:t>Series B Convertible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5"/>
              </w:rPr>
              <w:t>Caladrius</w:t>
            </w:r>
          </w:p>
        </w:tc>
        <w:tc>
          <w:tcPr>
            <w:tcW w:w="140" w:type="dxa"/>
            <w:vAlign w:val="bottom"/>
          </w:tcPr>
          <w:p>
            <w:pPr>
              <w:spacing w:after="0"/>
              <w:rPr>
                <w:sz w:val="10"/>
                <w:szCs w:val="10"/>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87"/>
              </w:rPr>
              <w:t>Biosciences,</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220" w:type="dxa"/>
            <w:vAlign w:val="bottom"/>
            <w:gridSpan w:val="5"/>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0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2"/>
                <w:szCs w:val="2"/>
                <w:color w:val="auto"/>
              </w:rPr>
            </w:pPr>
          </w:p>
        </w:tc>
        <w:tc>
          <w:tcPr>
            <w:tcW w:w="900" w:type="dxa"/>
            <w:vAlign w:val="bottom"/>
            <w:gridSpan w:val="2"/>
            <w:vMerge w:val="restart"/>
          </w:tcPr>
          <w:p>
            <w:pPr>
              <w:jc w:val="center"/>
              <w:ind w:right="180"/>
              <w:spacing w:after="0" w:line="120"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2"/>
                <w:szCs w:val="2"/>
                <w:color w:val="auto"/>
              </w:rPr>
            </w:pPr>
          </w:p>
        </w:tc>
        <w:tc>
          <w:tcPr>
            <w:tcW w:w="660" w:type="dxa"/>
            <w:vAlign w:val="bottom"/>
            <w:gridSpan w:val="2"/>
            <w:vMerge w:val="restart"/>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Treasury</w:t>
            </w:r>
          </w:p>
        </w:tc>
        <w:tc>
          <w:tcPr>
            <w:tcW w:w="9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Stockholders'</w:t>
            </w:r>
          </w:p>
        </w:tc>
        <w:tc>
          <w:tcPr>
            <w:tcW w:w="780" w:type="dxa"/>
            <w:vAlign w:val="bottom"/>
            <w:gridSpan w:val="3"/>
            <w:vMerge w:val="restart"/>
          </w:tcPr>
          <w:p>
            <w:pPr>
              <w:jc w:val="center"/>
              <w:ind w:right="80"/>
              <w:spacing w:after="0" w:line="120"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2"/>
                <w:szCs w:val="2"/>
                <w:color w:val="auto"/>
              </w:rPr>
            </w:pPr>
          </w:p>
        </w:tc>
        <w:tc>
          <w:tcPr>
            <w:tcW w:w="640" w:type="dxa"/>
            <w:vAlign w:val="bottom"/>
            <w:vMerge w:val="restart"/>
          </w:tcPr>
          <w:p>
            <w:pPr>
              <w:jc w:val="center"/>
              <w:ind w:right="93"/>
              <w:spacing w:after="0" w:line="12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5"/>
                <w:szCs w:val="15"/>
                <w:color w:val="auto"/>
              </w:rPr>
            </w:pPr>
          </w:p>
        </w:tc>
        <w:tc>
          <w:tcPr>
            <w:tcW w:w="640" w:type="dxa"/>
            <w:vAlign w:val="bottom"/>
          </w:tcPr>
          <w:p>
            <w:pPr>
              <w:jc w:val="center"/>
              <w:ind w:right="9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6"/>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59,510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544,601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110,268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110,014</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(5,682)</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Unrealized gain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36"/>
        </w:trPr>
        <w:tc>
          <w:tcPr>
            <w:tcW w:w="2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4"/>
              </w:rPr>
              <w:t>Net proceeds from issuances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3"/>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59,529</w:t>
            </w: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89"/>
              </w:rPr>
              <w:t>60</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544,893</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(439,295)</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104,933</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104,679</w:t>
            </w:r>
          </w:p>
        </w:tc>
        <w:tc>
          <w:tcPr>
            <w:tcW w:w="0" w:type="dxa"/>
            <w:vAlign w:val="bottom"/>
          </w:tcPr>
          <w:p>
            <w:pPr>
              <w:spacing w:after="0"/>
              <w:rPr>
                <w:sz w:val="1"/>
                <w:szCs w:val="1"/>
                <w:color w:val="auto"/>
              </w:rPr>
            </w:pPr>
          </w:p>
        </w:tc>
      </w:tr>
      <w:tr>
        <w:trPr>
          <w:trHeight w:val="546"/>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5"/>
              </w:rPr>
              <w:t>Caladrius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Series B Convertible</w:t>
            </w: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Biosciences,</w:t>
            </w:r>
          </w:p>
        </w:tc>
        <w:tc>
          <w:tcPr>
            <w:tcW w:w="14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220" w:type="dxa"/>
            <w:vAlign w:val="bottom"/>
            <w:gridSpan w:val="5"/>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Paid-in</w:t>
            </w:r>
          </w:p>
        </w:tc>
        <w:tc>
          <w:tcPr>
            <w:tcW w:w="10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5"/>
                <w:szCs w:val="5"/>
                <w:color w:val="auto"/>
              </w:rPr>
            </w:pPr>
          </w:p>
        </w:tc>
        <w:tc>
          <w:tcPr>
            <w:tcW w:w="9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5"/>
                <w:szCs w:val="5"/>
                <w:color w:val="auto"/>
              </w:rPr>
            </w:pPr>
          </w:p>
        </w:tc>
        <w:tc>
          <w:tcPr>
            <w:tcW w:w="66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Treasury</w:t>
            </w:r>
          </w:p>
        </w:tc>
        <w:tc>
          <w:tcPr>
            <w:tcW w:w="9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Stockholders'</w:t>
            </w:r>
          </w:p>
        </w:tc>
        <w:tc>
          <w:tcPr>
            <w:tcW w:w="780" w:type="dxa"/>
            <w:vAlign w:val="bottom"/>
            <w:gridSpan w:val="3"/>
          </w:tcPr>
          <w:p>
            <w:pPr>
              <w:jc w:val="center"/>
              <w:ind w:right="80"/>
              <w:spacing w:after="0" w:line="60" w:lineRule="exact"/>
              <w:rPr>
                <w:sz w:val="20"/>
                <w:szCs w:val="20"/>
                <w:color w:val="auto"/>
              </w:rPr>
            </w:pPr>
            <w:r>
              <w:rPr>
                <w:rFonts w:ascii="Arial" w:cs="Arial" w:eastAsia="Arial" w:hAnsi="Arial"/>
                <w:sz w:val="6"/>
                <w:szCs w:val="6"/>
                <w:b w:val="1"/>
                <w:bCs w:val="1"/>
                <w:color w:val="auto"/>
              </w:rPr>
              <w:t>Interest in</w:t>
            </w:r>
          </w:p>
        </w:tc>
        <w:tc>
          <w:tcPr>
            <w:tcW w:w="160" w:type="dxa"/>
            <w:vAlign w:val="bottom"/>
          </w:tcPr>
          <w:p>
            <w:pPr>
              <w:spacing w:after="0"/>
              <w:rPr>
                <w:sz w:val="5"/>
                <w:szCs w:val="5"/>
                <w:color w:val="auto"/>
              </w:rPr>
            </w:pPr>
          </w:p>
        </w:tc>
        <w:tc>
          <w:tcPr>
            <w:tcW w:w="640" w:type="dxa"/>
            <w:vAlign w:val="bottom"/>
          </w:tcPr>
          <w:p>
            <w:pPr>
              <w:jc w:val="center"/>
              <w:ind w:right="93"/>
              <w:spacing w:after="0" w:line="60"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3"/>
              </w:rPr>
              <w:t>Income (Loss)</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6"/>
                <w:szCs w:val="16"/>
                <w:color w:val="auto"/>
              </w:rPr>
            </w:pPr>
          </w:p>
        </w:tc>
        <w:tc>
          <w:tcPr>
            <w:tcW w:w="640" w:type="dxa"/>
            <w:vAlign w:val="bottom"/>
          </w:tcPr>
          <w:p>
            <w:pPr>
              <w:jc w:val="center"/>
              <w:ind w:right="9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19,389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32,496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32,242</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(13,745)</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Unrealized loss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36"/>
        </w:trPr>
        <w:tc>
          <w:tcPr>
            <w:tcW w:w="2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4"/>
              </w:rPr>
              <w:t>Net proceeds from issuances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39,860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89"/>
              </w:rPr>
              <w:t>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85,479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85,479</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Proceeds from option exercises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59,529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544,893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104,933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104,679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8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(10,852)</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(13,745)</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Accretion on marketable securities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6"/>
                <w:szCs w:val="16"/>
                <w:color w:val="auto"/>
              </w:rPr>
              <w:t>Prepaid and other current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0"/>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(10,704)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(12,602)</w:t>
            </w: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(30,291)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(105,792)</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Sale of marketable securities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60,070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29,558</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Investment in Cend Therapeutics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(76,294)</w:t>
            </w: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options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85,479</w:t>
            </w:r>
          </w:p>
        </w:tc>
      </w:tr>
      <w:tr>
        <w:trPr>
          <w:trHeight w:val="204"/>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85,319</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16,512</w:t>
            </w: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Caladrius Biosciences, Inc. (“we,” “us,” “our,” “Caladrius” or the “Company”) is a clinical-stage biopharmaceutical company dedicated to the development of treatments and reversal of severe diseases. The Company is developing what are intended to be first-in-class therapeutics based on the characteristics of naturally occurring CD34+ cells and their ability to stimulate the growth of new microvasculature. Its technology is intended to leverage these cells to enable the body's natural repair mechanisms using formulations unique to each medical indication.</w:t>
      </w:r>
    </w:p>
    <w:p>
      <w:pPr>
        <w:spacing w:after="0" w:line="109"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Company's leadership team has decades of collective biopharmaceutical product development experience in a variety of therapeutic categories. Its goal is to develop and commercialize products that address important unmet medical needs based on a broad and versatile portfolio of candidates. The Company’s current product candidates include:</w:t>
      </w:r>
    </w:p>
    <w:p>
      <w:pPr>
        <w:spacing w:after="0" w:line="116" w:lineRule="exact"/>
        <w:rPr>
          <w:sz w:val="20"/>
          <w:szCs w:val="20"/>
          <w:color w:val="auto"/>
        </w:rPr>
      </w:pPr>
    </w:p>
    <w:p>
      <w:pPr>
        <w:ind w:firstLine="326"/>
        <w:spacing w:after="0" w:line="226"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(CLBS16), the subject of both a completed positive Phase 2a study (ESCaPE-CMD) and an ongoing follow on Phase 2b study (FREEDOM Trial) in the United States for the treatment of coronary microvascular dysfunction (“CMD”);</w:t>
      </w:r>
    </w:p>
    <w:p>
      <w:pPr>
        <w:spacing w:after="0" w:line="162" w:lineRule="exact"/>
        <w:rPr>
          <w:rFonts w:ascii="Arial" w:cs="Arial" w:eastAsia="Arial" w:hAnsi="Arial"/>
          <w:sz w:val="18"/>
          <w:szCs w:val="18"/>
          <w:color w:val="auto"/>
        </w:rPr>
      </w:pPr>
    </w:p>
    <w:p>
      <w:pPr>
        <w:jc w:val="both"/>
        <w:ind w:firstLine="326"/>
        <w:spacing w:after="0" w:line="222" w:lineRule="auto"/>
        <w:tabs>
          <w:tab w:leader="none" w:pos="634" w:val="left"/>
        </w:tabs>
        <w:numPr>
          <w:ilvl w:val="0"/>
          <w:numId w:val="4"/>
        </w:numPr>
        <w:rPr>
          <w:rFonts w:ascii="Arial" w:cs="Arial" w:eastAsia="Arial" w:hAnsi="Arial"/>
          <w:sz w:val="20"/>
          <w:szCs w:val="20"/>
          <w:color w:val="auto"/>
        </w:rPr>
      </w:pPr>
      <w:r>
        <w:rPr>
          <w:rFonts w:ascii="Arial" w:cs="Arial" w:eastAsia="Arial" w:hAnsi="Arial"/>
          <w:sz w:val="17"/>
          <w:szCs w:val="17"/>
          <w:color w:val="auto"/>
        </w:rPr>
        <w:t>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(CLBS12), recipient of SAKIGAKE designation pursuant to which early conditional approval in Japan for the treatment of critical limb ischemia (“CLI”) and Buerger’s disease is being sought based on the current results of a clinical trial executed in Japan.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the recipient of orphan drug designation in March 2021 from the U.S. Food and Drug Administration (“FDA”) for Buerger's disease; and</w:t>
      </w:r>
    </w:p>
    <w:p>
      <w:pPr>
        <w:spacing w:after="0" w:line="136" w:lineRule="exact"/>
        <w:rPr>
          <w:rFonts w:ascii="Arial" w:cs="Arial" w:eastAsia="Arial" w:hAnsi="Arial"/>
          <w:sz w:val="20"/>
          <w:szCs w:val="20"/>
          <w:color w:val="auto"/>
        </w:rPr>
      </w:pPr>
    </w:p>
    <w:p>
      <w:pPr>
        <w:ind w:firstLine="326"/>
        <w:spacing w:after="0" w:line="266"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CLBS201, the subject of a study designed to assess the safety and efficacy of CD34+ cell therapy as a treatment for patients with chronic kidney disease related to type 2 diabetes (diabetic kidney disease or “DKD”).</w:t>
      </w:r>
    </w:p>
    <w:p>
      <w:pPr>
        <w:spacing w:after="0" w:line="113" w:lineRule="exact"/>
        <w:rPr>
          <w:rFonts w:ascii="Arial" w:cs="Arial" w:eastAsia="Arial" w:hAnsi="Arial"/>
          <w:sz w:val="18"/>
          <w:szCs w:val="18"/>
          <w:color w:val="auto"/>
        </w:rPr>
      </w:pPr>
    </w:p>
    <w:p>
      <w:pPr>
        <w:jc w:val="both"/>
        <w:ind w:firstLine="326"/>
        <w:spacing w:after="0" w:line="266" w:lineRule="auto"/>
        <w:tabs>
          <w:tab w:leader="none" w:pos="634"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April 26, 2022, the Company and Cend Therapeutics, Inc., a Delaware corporation (“Cend”), entered into an Agreement and Plan of Merger and Reorganization (the “Merger Agreement”), pursuant to which, among other matters, and subject to the satisfaction or waiver of the conditions set forth in the Merger Agreement, a wholly-owned subsidiary of Caladrius will merge with and into Cend, with Cend surviving as a wholly-owned subsidiary of the Company (the “Merger”), subject to the terms of the Merger Agreement and stockholder approval of the transaction. Under the exchange ratio formula, as of immediately after the Merger, the former Cend stockholders are expected to own approximately 50% of the outstanding shares of Caladrius Common Stock and the Company’s stockholders as of immediately prior to the Merger are expected to own approximately 50% of the outstanding shares of Caladrius Common Stock. The actual allocation will be subject to adjustment based on our net cash balance at the time of closing and the amount of any transaction expenses of Cend in excess of $250 thousand at the time of closing.</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2"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109"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Company's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Caladrius seeks to promote the development and formation of new microvasculature and thereby increase blood flow to the impacted area. The Company believes that a number of conditions caused by underlying ischemic injury can be improved through its CD34+ cell technology including but not limited to Buerger's disease, CLI, CMD, and DKD.</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XOWNA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Coronary Microvascular Dysfunction</w:t>
      </w:r>
    </w:p>
    <w:p>
      <w:pPr>
        <w:spacing w:after="0" w:line="82" w:lineRule="exact"/>
        <w:rPr>
          <w:sz w:val="20"/>
          <w:szCs w:val="20"/>
          <w:color w:val="auto"/>
        </w:rPr>
      </w:pPr>
    </w:p>
    <w:p>
      <w:pPr>
        <w:jc w:val="both"/>
        <w:ind w:firstLine="320"/>
        <w:spacing w:after="0" w:line="213" w:lineRule="auto"/>
        <w:rPr>
          <w:sz w:val="20"/>
          <w:szCs w:val="20"/>
          <w:color w:val="auto"/>
        </w:rPr>
      </w:pPr>
      <w:r>
        <w:rPr>
          <w:rFonts w:ascii="Arial" w:cs="Arial" w:eastAsia="Arial" w:hAnsi="Arial"/>
          <w:sz w:val="18"/>
          <w:szCs w:val="18"/>
          <w:color w:val="auto"/>
        </w:rPr>
        <w:t>In 2017, with the assistance of a $1.9 million grant from the National Institutes of Health (Award Number R44HL135889), the Company initiated its program for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 In December 2020, the Company commenced enrollment in its Phase 2b FREEDOM Trial of XOWNA</w:t>
      </w:r>
      <w:r>
        <w:rPr>
          <w:rFonts w:ascii="Arial" w:cs="Arial" w:eastAsia="Arial" w:hAnsi="Arial"/>
          <w:sz w:val="21"/>
          <w:szCs w:val="21"/>
          <w:color w:val="auto"/>
          <w:vertAlign w:val="superscript"/>
        </w:rPr>
        <w:t>®</w:t>
      </w:r>
      <w:r>
        <w:rPr>
          <w:rFonts w:ascii="Arial" w:cs="Arial" w:eastAsia="Arial" w:hAnsi="Arial"/>
          <w:sz w:val="16"/>
          <w:szCs w:val="16"/>
          <w:color w:val="auto"/>
        </w:rPr>
        <w:t>, a double-blind, randomized, placebo-controlled clinical trial designed to further evaluate the efficacy and safety of intracoronary artery delivery of autologous CD34+ cells in subjects with CMD and without obstructive coronary artery disease and was expected to complete enrollment in approximately 12 months.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as well as with a contrast agent typically used in many catheter laboratories. Protocol amendments to the initial FREEDOM Trial protocol, as agreed to by the FDA, were implemented with the goal of enhancing breadth and speed of subject enrollment. In May 2022, the Company announced that enrollment in the FREEDOM Trial had been suspended and that it intends to conduct an interim analysis of the data from not less than the first 20 patients enrolled using the 6-month follow-up data to evaluate the efficacy and safety of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subjects with CMD and corroborate the</w:t>
      </w:r>
    </w:p>
    <w:p>
      <w:pPr>
        <w:spacing w:after="0" w:line="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ESCaPE-CMD study results. The interim analysis is expected to be completed in the third quarter of 2022, and the next steps in development of XOWNA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will subsequently be determined after appropriate regulatory and business review, expected to be announced prior to year-end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93" w:lineRule="exact"/>
        <w:rPr>
          <w:sz w:val="20"/>
          <w:szCs w:val="20"/>
          <w:color w:val="auto"/>
        </w:rPr>
      </w:pPr>
    </w:p>
    <w:p>
      <w:pPr>
        <w:jc w:val="both"/>
        <w:ind w:firstLine="320"/>
        <w:spacing w:after="0" w:line="230" w:lineRule="auto"/>
        <w:rPr>
          <w:sz w:val="20"/>
          <w:szCs w:val="20"/>
          <w:color w:val="auto"/>
        </w:rPr>
      </w:pPr>
      <w:r>
        <w:rPr>
          <w:rFonts w:ascii="Arial" w:cs="Arial" w:eastAsia="Arial" w:hAnsi="Arial"/>
          <w:sz w:val="16"/>
          <w:szCs w:val="16"/>
          <w:color w:val="auto"/>
        </w:rPr>
        <w:t>The Company's randomized, open-label, registration-eligible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for the treatment of CLI and Buerger's disease has, to date, demonstrated positive trends in both safety and efficacy.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 re-initiation, Caladrius suspended further enrollment in the fourth quarter of 2021. Following study suspension, the Company completed all protocol-defined patient observations and is preparing the clinical study report.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now in the pre-consultation phase of the registration process with the Pharmaceuticals and Medical Devices Agency (“PMDA”) in Japan. Data from the follow-up of all patients completed in the registration-eligible clinical trial in Japan has been compiled and is expected to be reviewed by PMDA during the third quarter of 2022 after which the PMDA is expected to provide important perspective to be considered in preparation for the formal consultation meetings which precede the Japanese new drug application. The Company is focusing its efforts on consummating a partnership for the product in Japan. Such a partnership may become the basis for the completion of development and registration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This may include the completion of enrollment of the four-remaining no-option CLI subjects stipulated in the original protocol, if necessary, and/or exploration of the possibility of submitting the existing data to Japan's PMDA under Japan's regenerative medicine regulations, which allow for conditional approval of innovative regenerative medicine products. Despite receipt of orphan designation from FDA in March 2021 in the U.S. for CLBS12 as a potential treatment for Buerger's disease, based on a response from the FDA in October 2021 regarding a development plan for U.S. registration the Company decided not to pursue U.S. development in Buerger's disease at this time.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CLBS201 for Treatment of Diabetic Kidney Disease</w:t>
      </w:r>
    </w:p>
    <w:p>
      <w:pPr>
        <w:spacing w:after="0" w:line="112" w:lineRule="exact"/>
        <w:rPr>
          <w:sz w:val="20"/>
          <w:szCs w:val="20"/>
          <w:color w:val="auto"/>
        </w:rPr>
      </w:pPr>
    </w:p>
    <w:p>
      <w:pPr>
        <w:jc w:val="both"/>
        <w:ind w:firstLine="320"/>
        <w:spacing w:after="0" w:line="220" w:lineRule="auto"/>
        <w:rPr>
          <w:sz w:val="20"/>
          <w:szCs w:val="20"/>
          <w:color w:val="auto"/>
        </w:rPr>
      </w:pPr>
      <w:r>
        <w:rPr>
          <w:rFonts w:ascii="Arial" w:cs="Arial" w:eastAsia="Arial" w:hAnsi="Arial"/>
          <w:sz w:val="18"/>
          <w:szCs w:val="18"/>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the Company elected to move forward with a Phase 1b, open-label, proof-of-concept trial evaluating CLBS201 dosed via intra-renal artery injections in subjects with DKD. This protocol includes six subjects in total with the first two subjects sequentially dosed and followed for a two-week safety observation period. Clearance by the independent Data Safety Monitoring Board (“DSMB”) overseeing the study then permitted the treatment of the next four patients, with all patients being followed for safety and therapeutic effect. A read-out of data will occur after at the six-month follow-up visit for all patients. A key criterion for continued development of CLBS201 will be its ability to demonstrate a therapeutic effect that will make it competitive in the field of DKD treatment, i.e., kidney function regeneration, as indicated by increased glomerular filtration rate. The Company treated the first patient in the CLBS201 proof-of-concept study in April 2022 and completed treatment for all six subjects during the third quarter of 2022. Top-line data is anticipated from all subjects by the first quarter of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The Company's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it is successful in advancing its product candidates to their next significant development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Merger Agreement</w:t>
      </w:r>
    </w:p>
    <w:p>
      <w:pPr>
        <w:spacing w:after="0" w:line="1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On April 26, 2022, the Company and Cend entered into the Merger Agreement. Consummation of the Merger is subject to certain closing conditions, including, among other things, approval by the stockholders of the Company and Cend and the Company’s satisfaction of a minimum net cash threshold at closing, expected to be approximately $64.9 million assuming a closing at the end of the third quarter of 2022, and as described further in the Merger Agreement. The Merger Agreement contains certain termination rights for both the Company and Cend, and further provides that, upon termination of the Merger Agreement under specified circumstances, the Company may be required to pay Cend a termination fee of $1.0 million, Cend may be required to pay the Company a termination fee of $4.0 million, or in some circumstances reimburse the other party’s expenses up to a maximum of $1.0 million.</w:t>
      </w:r>
    </w:p>
    <w:p>
      <w:pPr>
        <w:spacing w:after="0" w:line="86"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At the effective time of the Merger, the Company’s Board of Directors is expected to consist of nine members, four of whom will be designated by the Company, four of whom will be designated by Cend and one member who will be mutually agreed between the Company and Cend.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152"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In order to provide Cend with capital for its development programs prior to the closing of the Merger, the Company and Cend entered into a Series D Preferred Stock Purchase Agreement (the “Purchase Agreement”), pursuant to which the Company purchased from Cend 1,135,628 shares of Series D Preferred Stock, $0.00001 par value per share (the “Series D Preferred Stock”), of Cend at a purchase price per share equal to $8.8057 per share (the “Series D Original Issue Price”), or approximately $10 million in the aggregate. The Series D Preferred Stock ranks senior to Cend’s common stock and the other series of preferred stock with respect to rights on the distribution of assets on any voluntary or involuntary liquidation, dissolution or winding up of Cend. The Series D Preferred Stock has a liquidation preference equal to the Series D Original Issue Price plus an amount equal to any accrued and unpaid dividends to the date of payment and will participate with Cend’s common stockholders and other preferred stockholders thereafter on an as-converted basis. The Series D Preferred Stock shall vote with the common stock on an as-converted basis on any matters presented to the stockholders of Cend. Each share of Series D Preferred Stock is convertible, at the option of the holder thereof, into such number of shares of Cend common stock as is determined by dividing the Original Issue Price by the conversion price in effect at the time of conversion, which conversion price shall be the Original Issue Price as appropriately adjusted for stock splits, stock dividends, combinations, and subdivisions of Cend common stock, and as adjusted pursuant to a weighted-average antidilution adjustment. The Series D Preferred Stock will automatically convert into shares of Cend common stock upon the closing of a firm-commitment underwritten initial public offering implying a pre-equity offering value of at least $250 million, resulting in at least $50 million of gross proceeds to Cend.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In connection with such Purchase Agreement, Cend entered into a Collaboration Agreement (the “Collaboration Agreement”), pursuant to which the Company agreed to collaborate with Cend on certain developmental and clinical activities prior to the closing of the Merger. Pursuant to the Collaboration Agreement, the Company and Cend have formed a joint steering committee (the “Committee”) comprised of individuals from both entities. The Committee meets regularly and is responsible for monitoring ongoing studies and making recommendations for development activity and trial planning. Cend has agreed to pay each member of the Committee from the Company an hourly consulting fee for such service. As of June 30, 2022 the cumulative services provided under the agreement totaled $0.2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126" w:lineRule="exact"/>
        <w:rPr>
          <w:sz w:val="20"/>
          <w:szCs w:val="20"/>
          <w:color w:val="auto"/>
        </w:rPr>
      </w:pPr>
    </w:p>
    <w:p>
      <w:pPr>
        <w:jc w:val="both"/>
        <w:ind w:firstLine="320"/>
        <w:spacing w:after="0" w:line="223" w:lineRule="auto"/>
        <w:rPr>
          <w:sz w:val="20"/>
          <w:szCs w:val="20"/>
          <w:color w:val="auto"/>
        </w:rPr>
      </w:pPr>
      <w:r>
        <w:rPr>
          <w:rFonts w:ascii="Arial" w:cs="Arial" w:eastAsia="Arial" w:hAnsi="Arial"/>
          <w:sz w:val="17"/>
          <w:szCs w:val="17"/>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reasonably be estimated at this time. In response to the COVID-19 pandemic, the Company implemented a universal work from home policy as well as stringent social distancing and other hygiene policies for employees when they must be in the office. The Company's clinical study of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Japan experienced significant delays in enrollment due to the States of Emergency in effect in Japan for most of 2020, 2021, and 2022 covering Tokyo and other regions in response to an increased number of COVID-19 infections. With the Company's expectation that COVID-19 in Japan will continue to impact negatively clinical site operations and enrollment of patients in the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clinical trial, it elected to suspend trial enrollment, seek a development partner and consult with the Japanese regulatory authorities regarding the submission of patient data already accrued. Caladrius' phase 2b FREEDOM Trial of XOWNA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the U.S. has also experienced delays in enrolling patients as a result of COVID-19.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with a contrast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agent typically used in many catheter laboratories. In May 2022, the Company announced that enrollment in the FREEDOM Trial had been suspended and that it intended to conduct an interim analysis of the data from not less than the first 20 patients enrolled using the 6-month follow-up data to evaluate the efficacy and safety of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subjects with CMD and corroborate the ESCaPE-CMD study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2"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2022, and the results of its operations and its cash flows for the periods presented. The unaudited consolidated financial statements herein should be read together with the historical consolidated financial statements of the Company for the years ended December 31, 2021 and 2020 included in our 2021 Form 10-K. Operating results for the three and six months ended June 30, 2022 are not necessarily indicative of the results that may be expected for the year ending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2"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58"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In addition to the policies below, the Company's significant accounting policies are described in Note 2 of the Notes to Consolidated Financial Statements included in its 2021 Form 10-K. There were no changes to these policies during the three and six months ended June 30,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52"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warrants. The fair value of the Company’s restricted stock and restricted stock units is based on the closing market price of the Company’s common stock on the date of grant.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Cend Therapeutics</w:t>
      </w:r>
    </w:p>
    <w:p>
      <w:pPr>
        <w:spacing w:after="0" w:line="139"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Investments in which the Company has no significant influence (generally less than a 20% ownership interest) or does not have the ability to exercise significant influence are accounted for under the measurement alternative method pursuant to ASC 321, Investments — Equity Securities (“ASC 321”) as these investments do not have readily determinable fair values. Under the measurement alternative method, the Company records the investment at cost less impairment losses, if any, unless it identifies observable price changes in orderly transactions for the identical or a similar investment of the same issuer, in which case the Company will measure its investments at fair value as of the date that the observable transaction occurred. Such investments are presented as investments on the consolidated balance sheets and any impairment recognized related to these investments are presented in other income (expense), on the consolidated statements of operations (see Note 5,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w w:val="99"/>
              </w:rPr>
              <w:t>June 30, 2022</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December 31, 2021</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Gross</w:t>
            </w:r>
          </w:p>
        </w:tc>
        <w:tc>
          <w:tcPr>
            <w:tcW w:w="1120" w:type="dxa"/>
            <w:vAlign w:val="bottom"/>
            <w:gridSpan w:val="3"/>
          </w:tcPr>
          <w:p>
            <w:pPr>
              <w:ind w:left="480"/>
              <w:spacing w:after="0" w:line="182" w:lineRule="exact"/>
              <w:rPr>
                <w:sz w:val="20"/>
                <w:szCs w:val="20"/>
                <w:color w:val="auto"/>
              </w:rPr>
            </w:pPr>
            <w:r>
              <w:rPr>
                <w:rFonts w:ascii="Arial" w:cs="Arial" w:eastAsia="Arial" w:hAnsi="Arial"/>
                <w:sz w:val="16"/>
                <w:szCs w:val="16"/>
                <w:b w:val="1"/>
                <w:bCs w:val="1"/>
                <w:color w:val="auto"/>
              </w:rPr>
              <w:t>Gross</w:t>
            </w:r>
          </w:p>
        </w:tc>
        <w:tc>
          <w:tcPr>
            <w:tcW w:w="440" w:type="dxa"/>
            <w:vAlign w:val="bottom"/>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Estimated</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Gross</w:t>
            </w:r>
          </w:p>
        </w:tc>
        <w:tc>
          <w:tcPr>
            <w:tcW w:w="440" w:type="dxa"/>
            <w:vAlign w:val="bottom"/>
          </w:tcPr>
          <w:p>
            <w:pPr>
              <w:spacing w:after="0"/>
              <w:rPr>
                <w:sz w:val="15"/>
                <w:szCs w:val="15"/>
                <w:color w:val="auto"/>
              </w:rPr>
            </w:pPr>
          </w:p>
        </w:tc>
        <w:tc>
          <w:tcPr>
            <w:tcW w:w="68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Gross</w:t>
            </w:r>
          </w:p>
        </w:tc>
        <w:tc>
          <w:tcPr>
            <w:tcW w:w="420" w:type="dxa"/>
            <w:vAlign w:val="bottom"/>
          </w:tcPr>
          <w:p>
            <w:pPr>
              <w:spacing w:after="0"/>
              <w:rPr>
                <w:sz w:val="15"/>
                <w:szCs w:val="15"/>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8"/>
              </w:rPr>
              <w:t>Estimated</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Cost</w:t>
            </w:r>
          </w:p>
        </w:tc>
        <w:tc>
          <w:tcPr>
            <w:tcW w:w="104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auto"/>
                <w:w w:val="93"/>
              </w:rPr>
              <w:t>Unrealized</w:t>
            </w:r>
          </w:p>
        </w:tc>
        <w:tc>
          <w:tcPr>
            <w:tcW w:w="1120" w:type="dxa"/>
            <w:vAlign w:val="bottom"/>
            <w:gridSpan w:val="3"/>
          </w:tcPr>
          <w:p>
            <w:pPr>
              <w:ind w:left="160"/>
              <w:spacing w:after="0" w:line="160" w:lineRule="exact"/>
              <w:rPr>
                <w:sz w:val="20"/>
                <w:szCs w:val="20"/>
                <w:color w:val="auto"/>
              </w:rPr>
            </w:pPr>
            <w:r>
              <w:rPr>
                <w:rFonts w:ascii="Arial" w:cs="Arial" w:eastAsia="Arial" w:hAnsi="Arial"/>
                <w:sz w:val="16"/>
                <w:szCs w:val="16"/>
                <w:b w:val="1"/>
                <w:bCs w:val="1"/>
                <w:color w:val="auto"/>
              </w:rPr>
              <w:t>Unrealized</w:t>
            </w:r>
          </w:p>
        </w:tc>
        <w:tc>
          <w:tcPr>
            <w:tcW w:w="4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Cost</w:t>
            </w:r>
          </w:p>
        </w:tc>
        <w:tc>
          <w:tcPr>
            <w:tcW w:w="106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auto"/>
                <w:w w:val="91"/>
              </w:rPr>
              <w:t>Unrealized</w:t>
            </w:r>
          </w:p>
        </w:tc>
        <w:tc>
          <w:tcPr>
            <w:tcW w:w="1120" w:type="dxa"/>
            <w:vAlign w:val="bottom"/>
            <w:gridSpan w:val="3"/>
          </w:tcPr>
          <w:p>
            <w:pPr>
              <w:jc w:val="center"/>
              <w:ind w:right="100"/>
              <w:spacing w:after="0" w:line="160" w:lineRule="exact"/>
              <w:rPr>
                <w:sz w:val="20"/>
                <w:szCs w:val="20"/>
                <w:color w:val="auto"/>
              </w:rPr>
            </w:pPr>
            <w:r>
              <w:rPr>
                <w:rFonts w:ascii="Arial" w:cs="Arial" w:eastAsia="Arial" w:hAnsi="Arial"/>
                <w:sz w:val="16"/>
                <w:szCs w:val="16"/>
                <w:b w:val="1"/>
                <w:bCs w:val="1"/>
                <w:color w:val="auto"/>
                <w:w w:val="91"/>
              </w:rPr>
              <w:t>Unrealized</w:t>
            </w:r>
          </w:p>
        </w:tc>
        <w:tc>
          <w:tcPr>
            <w:tcW w:w="4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Gains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280"/>
              <w:spacing w:after="0"/>
              <w:rPr>
                <w:sz w:val="20"/>
                <w:szCs w:val="20"/>
                <w:color w:val="auto"/>
              </w:rPr>
            </w:pPr>
            <w:r>
              <w:rPr>
                <w:rFonts w:ascii="Arial" w:cs="Arial" w:eastAsia="Arial" w:hAnsi="Arial"/>
                <w:sz w:val="16"/>
                <w:szCs w:val="16"/>
                <w:b w:val="1"/>
                <w:bCs w:val="1"/>
                <w:color w:val="auto"/>
              </w:rPr>
              <w:t>Fair Value</w:t>
            </w:r>
          </w:p>
        </w:tc>
        <w:tc>
          <w:tcPr>
            <w:tcW w:w="5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Gains</w:t>
            </w:r>
          </w:p>
        </w:tc>
        <w:tc>
          <w:tcPr>
            <w:tcW w:w="11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79"/>
              </w:rPr>
              <w:t>Losses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5"/>
        </w:trPr>
        <w:tc>
          <w:tcPr>
            <w:tcW w:w="114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Corporate</w:t>
            </w:r>
          </w:p>
        </w:tc>
        <w:tc>
          <w:tcPr>
            <w:tcW w:w="5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26,966</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(66)</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53,135</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53,070</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5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40" w:type="dxa"/>
            <w:vAlign w:val="bottom"/>
          </w:tcPr>
          <w:p>
            <w:pPr>
              <w:ind w:left="340"/>
              <w:spacing w:after="0" w:line="163" w:lineRule="exact"/>
              <w:rPr>
                <w:sz w:val="20"/>
                <w:szCs w:val="20"/>
                <w:color w:val="auto"/>
              </w:rPr>
            </w:pPr>
            <w:r>
              <w:rPr>
                <w:rFonts w:ascii="Arial" w:cs="Arial" w:eastAsia="Arial" w:hAnsi="Arial"/>
                <w:sz w:val="16"/>
                <w:szCs w:val="16"/>
                <w:color w:val="auto"/>
                <w:w w:val="91"/>
              </w:rPr>
              <w:t>Commercial</w:t>
            </w:r>
          </w:p>
        </w:tc>
        <w:tc>
          <w:tcPr>
            <w:tcW w:w="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4"/>
                <w:szCs w:val="14"/>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140" w:type="dxa"/>
            <w:vAlign w:val="bottom"/>
          </w:tcPr>
          <w:p>
            <w:pPr>
              <w:ind w:left="20"/>
              <w:spacing w:after="0"/>
              <w:rPr>
                <w:sz w:val="20"/>
                <w:szCs w:val="20"/>
                <w:color w:val="auto"/>
              </w:rPr>
            </w:pPr>
            <w:r>
              <w:rPr>
                <w:rFonts w:ascii="Arial" w:cs="Arial" w:eastAsia="Arial" w:hAnsi="Arial"/>
                <w:sz w:val="16"/>
                <w:szCs w:val="16"/>
                <w:color w:val="auto"/>
              </w:rPr>
              <w:t>paper</w:t>
            </w: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rPr>
              <w:t>Money</w:t>
            </w:r>
          </w:p>
        </w:tc>
        <w:tc>
          <w:tcPr>
            <w:tcW w:w="5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22,727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22,727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18,124</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funds</w:t>
            </w:r>
          </w:p>
        </w:tc>
        <w:tc>
          <w:tcPr>
            <w:tcW w:w="5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40" w:type="dxa"/>
            <w:vAlign w:val="bottom"/>
          </w:tcPr>
          <w:p>
            <w:pPr>
              <w:ind w:left="340"/>
              <w:spacing w:after="0" w:line="163" w:lineRule="exact"/>
              <w:rPr>
                <w:sz w:val="20"/>
                <w:szCs w:val="20"/>
                <w:color w:val="auto"/>
              </w:rPr>
            </w:pPr>
            <w:r>
              <w:rPr>
                <w:rFonts w:ascii="Arial" w:cs="Arial" w:eastAsia="Arial" w:hAnsi="Arial"/>
                <w:sz w:val="16"/>
                <w:szCs w:val="16"/>
                <w:color w:val="auto"/>
              </w:rPr>
              <w:t>Municipal</w:t>
            </w:r>
          </w:p>
        </w:tc>
        <w:tc>
          <w:tcPr>
            <w:tcW w:w="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17,086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17,083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20,263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20,258</w:t>
            </w:r>
          </w:p>
        </w:tc>
        <w:tc>
          <w:tcPr>
            <w:tcW w:w="0" w:type="dxa"/>
            <w:vAlign w:val="bottom"/>
          </w:tcPr>
          <w:p>
            <w:pPr>
              <w:spacing w:after="0"/>
              <w:rPr>
                <w:sz w:val="1"/>
                <w:szCs w:val="1"/>
                <w:color w:val="auto"/>
              </w:rPr>
            </w:pPr>
          </w:p>
        </w:tc>
      </w:tr>
      <w:tr>
        <w:trPr>
          <w:trHeight w:val="207"/>
        </w:trPr>
        <w:tc>
          <w:tcPr>
            <w:tcW w:w="1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securities</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91,452</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Pr>
          <w:p>
            <w:pPr>
              <w:spacing w:after="0"/>
              <w:rPr>
                <w:sz w:val="16"/>
                <w:szCs w:val="16"/>
                <w:color w:val="auto"/>
              </w:rPr>
            </w:pPr>
          </w:p>
        </w:tc>
        <w:tc>
          <w:tcPr>
            <w:tcW w:w="1240" w:type="dxa"/>
            <w:vAlign w:val="bottom"/>
          </w:tcPr>
          <w:p>
            <w:pPr>
              <w:jc w:val="right"/>
              <w:ind w:right="16"/>
              <w:spacing w:after="0"/>
              <w:rPr>
                <w:sz w:val="20"/>
                <w:szCs w:val="20"/>
                <w:color w:val="auto"/>
              </w:rPr>
            </w:pPr>
            <w:r>
              <w:rPr>
                <w:rFonts w:ascii="Arial" w:cs="Arial" w:eastAsia="Arial" w:hAnsi="Arial"/>
                <w:sz w:val="14"/>
                <w:szCs w:val="14"/>
                <w:b w:val="1"/>
                <w:bCs w:val="1"/>
                <w:color w:val="auto"/>
                <w:w w:val="88"/>
              </w:rPr>
              <w:t>December 31, 2021</w:t>
            </w:r>
          </w:p>
        </w:tc>
      </w:tr>
      <w:tr>
        <w:trPr>
          <w:trHeight w:val="252"/>
        </w:trPr>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30,045</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21,129</w:t>
            </w:r>
          </w:p>
        </w:tc>
      </w:tr>
      <w:tr>
        <w:trPr>
          <w:trHeight w:val="266"/>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w:t>
            </w: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39,643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70,323</w:t>
            </w:r>
          </w:p>
        </w:tc>
      </w:tr>
      <w:tr>
        <w:trPr>
          <w:trHeight w:val="245"/>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69,688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116" w:lineRule="exact"/>
        <w:rPr>
          <w:sz w:val="20"/>
          <w:szCs w:val="20"/>
          <w:color w:val="auto"/>
        </w:rPr>
      </w:pPr>
    </w:p>
    <w:tbl>
      <w:tblPr>
        <w:tblLayout w:type="fixed"/>
        <w:tblInd w:w="108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June 30, 2022</w:t>
            </w:r>
          </w:p>
        </w:tc>
        <w:tc>
          <w:tcPr>
            <w:tcW w:w="800" w:type="dxa"/>
            <w:vAlign w:val="bottom"/>
            <w:tcBorders>
              <w:bottom w:val="single" w:sz="8" w:color="auto"/>
            </w:tcBorders>
          </w:tcPr>
          <w:p>
            <w:pPr>
              <w:spacing w:after="0"/>
              <w:rPr>
                <w:sz w:val="16"/>
                <w:szCs w:val="16"/>
                <w:color w:val="auto"/>
              </w:rPr>
            </w:pPr>
          </w:p>
        </w:tc>
      </w:tr>
      <w:tr>
        <w:trPr>
          <w:trHeight w:val="353"/>
        </w:trPr>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Estimated Fair Value</w:t>
            </w:r>
          </w:p>
        </w:tc>
      </w:tr>
      <w:tr>
        <w:trPr>
          <w:trHeight w:val="252"/>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69,757</w:t>
            </w:r>
          </w:p>
        </w:tc>
        <w:tc>
          <w:tcPr>
            <w:tcW w:w="14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69,688</w:t>
            </w:r>
          </w:p>
        </w:tc>
      </w:tr>
      <w:tr>
        <w:trPr>
          <w:trHeight w:val="266"/>
        </w:trPr>
        <w:tc>
          <w:tcPr>
            <w:tcW w:w="618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Income (Loss) Per Share</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For the six months ended June 30, 2022 and 2021, the Company incurred net losses and therefore no common stock equivalents were utilized in the calculation of diluted loss per share as they are anti-dilutive. At June 30, 2022 and 2021, the Company excluded the following potentially dilutive securities (in thousands):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22225</wp:posOffset>
            </wp:positionV>
            <wp:extent cx="2307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25"/>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6"/>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21,357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21,357</w:t>
            </w:r>
          </w:p>
        </w:tc>
      </w:tr>
      <w:tr>
        <w:trPr>
          <w:trHeight w:val="227"/>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2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0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14"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8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June 30, 2022 and December 31, 2021 (in thousands).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 2022</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5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21"/>
                <w:szCs w:val="21"/>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2"/>
        </w:trPr>
        <w:tc>
          <w:tcPr>
            <w:tcW w:w="11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Assets:</w:t>
            </w:r>
          </w:p>
        </w:tc>
        <w:tc>
          <w:tcPr>
            <w:tcW w:w="4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320"/>
              <w:spacing w:after="0" w:line="163" w:lineRule="exact"/>
              <w:rPr>
                <w:sz w:val="20"/>
                <w:szCs w:val="20"/>
                <w:color w:val="auto"/>
              </w:rPr>
            </w:pPr>
            <w:r>
              <w:rPr>
                <w:rFonts w:ascii="Arial" w:cs="Arial" w:eastAsia="Arial" w:hAnsi="Arial"/>
                <w:sz w:val="16"/>
                <w:szCs w:val="16"/>
                <w:color w:val="auto"/>
              </w:rPr>
              <w:t>Marketable</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80" w:type="dxa"/>
            <w:vAlign w:val="bottom"/>
          </w:tcPr>
          <w:p>
            <w:pPr>
              <w:ind w:left="20"/>
              <w:spacing w:after="0" w:line="160" w:lineRule="exact"/>
              <w:rPr>
                <w:sz w:val="20"/>
                <w:szCs w:val="20"/>
                <w:color w:val="auto"/>
              </w:rPr>
            </w:pPr>
            <w:r>
              <w:rPr>
                <w:rFonts w:ascii="Arial" w:cs="Arial" w:eastAsia="Arial" w:hAnsi="Arial"/>
                <w:sz w:val="16"/>
                <w:szCs w:val="16"/>
                <w:color w:val="auto"/>
              </w:rPr>
              <w:t>securities -</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ind w:left="20"/>
              <w:spacing w:after="0" w:line="160" w:lineRule="exact"/>
              <w:rPr>
                <w:sz w:val="20"/>
                <w:szCs w:val="20"/>
                <w:color w:val="auto"/>
              </w:rPr>
            </w:pPr>
            <w:r>
              <w:rPr>
                <w:rFonts w:ascii="Arial" w:cs="Arial" w:eastAsia="Arial" w:hAnsi="Arial"/>
                <w:sz w:val="16"/>
                <w:szCs w:val="16"/>
                <w:color w:val="auto"/>
              </w:rPr>
              <w:t>available for</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16"/>
                <w:szCs w:val="16"/>
                <w:color w:val="auto"/>
              </w:rPr>
              <w:t>39,643</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39,643</w:t>
            </w:r>
          </w:p>
        </w:tc>
        <w:tc>
          <w:tcPr>
            <w:tcW w:w="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color w:val="auto"/>
              </w:rPr>
              <w:t>70,323</w:t>
            </w:r>
          </w:p>
        </w:tc>
        <w:tc>
          <w:tcPr>
            <w:tcW w:w="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7"/>
        </w:trPr>
        <w:tc>
          <w:tcPr>
            <w:tcW w:w="1180" w:type="dxa"/>
            <w:vAlign w:val="bottom"/>
          </w:tcPr>
          <w:p>
            <w:pPr>
              <w:ind w:left="20"/>
              <w:spacing w:after="0"/>
              <w:rPr>
                <w:sz w:val="20"/>
                <w:szCs w:val="20"/>
                <w:color w:val="auto"/>
              </w:rPr>
            </w:pPr>
            <w:r>
              <w:rPr>
                <w:rFonts w:ascii="Arial" w:cs="Arial" w:eastAsia="Arial" w:hAnsi="Arial"/>
                <w:sz w:val="16"/>
                <w:szCs w:val="16"/>
                <w:color w:val="auto"/>
              </w:rPr>
              <w:t>sale</w:t>
            </w:r>
          </w:p>
        </w:tc>
        <w:tc>
          <w:tcPr>
            <w:tcW w:w="4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ind w:left="320"/>
              <w:spacing w:after="0" w:line="166" w:lineRule="exact"/>
              <w:rPr>
                <w:sz w:val="20"/>
                <w:szCs w:val="20"/>
                <w:color w:val="auto"/>
              </w:rPr>
            </w:pPr>
            <w:r>
              <w:rPr>
                <w:rFonts w:ascii="Arial" w:cs="Arial" w:eastAsia="Arial" w:hAnsi="Arial"/>
                <w:sz w:val="16"/>
                <w:szCs w:val="16"/>
                <w:color w:val="auto"/>
              </w:rPr>
              <w:t>Investment</w:t>
            </w: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in Cend</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5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Therapeutics</w:t>
            </w: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39,643</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49,643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70,323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3"/>
        </w:trPr>
        <w:tc>
          <w:tcPr>
            <w:tcW w:w="1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as of June 30, 2022 and December 31, 2021 were as follows (in thousands):</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3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December 31, 2021</w:t>
            </w:r>
          </w:p>
        </w:tc>
      </w:tr>
      <w:tr>
        <w:trPr>
          <w:trHeight w:val="252"/>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1320" w:type="dxa"/>
            <w:vAlign w:val="bottom"/>
            <w:shd w:val="clear" w:color="auto" w:fill="CCEEFF"/>
          </w:tcPr>
          <w:p>
            <w:pPr>
              <w:jc w:val="right"/>
              <w:ind w:right="11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2,034</w:t>
            </w:r>
          </w:p>
        </w:tc>
      </w:tr>
      <w:tr>
        <w:trPr>
          <w:trHeight w:val="266"/>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13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229</w:t>
            </w:r>
          </w:p>
        </w:tc>
      </w:tr>
      <w:tr>
        <w:trPr>
          <w:trHeight w:val="26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326</w:t>
            </w:r>
          </w:p>
        </w:tc>
      </w:tr>
      <w:tr>
        <w:trPr>
          <w:trHeight w:val="220"/>
        </w:trPr>
        <w:tc>
          <w:tcPr>
            <w:tcW w:w="538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3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2,589</w:t>
            </w:r>
          </w:p>
        </w:tc>
      </w:tr>
      <w:tr>
        <w:trPr>
          <w:trHeight w:val="20"/>
        </w:trPr>
        <w:tc>
          <w:tcPr>
            <w:tcW w:w="5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158"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The Company has operating leases for two offices with terms that expire in 2023 and 2025, respectively.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190"/>
        </w:trPr>
        <w:tc>
          <w:tcPr>
            <w:tcW w:w="5600" w:type="dxa"/>
            <w:vAlign w:val="bottom"/>
            <w:tcBorders>
              <w:bottom w:val="single" w:sz="8" w:color="BFE4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December 31, 2021</w:t>
            </w:r>
          </w:p>
        </w:tc>
      </w:tr>
      <w:tr>
        <w:trPr>
          <w:trHeight w:val="239"/>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280" w:type="dxa"/>
            <w:vAlign w:val="bottom"/>
            <w:shd w:val="clear" w:color="auto" w:fill="BFE4FF"/>
          </w:tcPr>
          <w:p>
            <w:pPr>
              <w:spacing w:after="0"/>
              <w:rPr>
                <w:sz w:val="20"/>
                <w:szCs w:val="20"/>
                <w:color w:val="auto"/>
              </w:rPr>
            </w:pPr>
          </w:p>
        </w:tc>
        <w:tc>
          <w:tcPr>
            <w:tcW w:w="4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00" w:type="dxa"/>
            <w:vAlign w:val="bottom"/>
            <w:shd w:val="clear" w:color="auto" w:fill="BFE4FF"/>
          </w:tcPr>
          <w:p>
            <w:pPr>
              <w:spacing w:after="0"/>
              <w:rPr>
                <w:sz w:val="20"/>
                <w:szCs w:val="20"/>
                <w:color w:val="auto"/>
              </w:rPr>
            </w:pPr>
          </w:p>
        </w:tc>
        <w:tc>
          <w:tcPr>
            <w:tcW w:w="1480" w:type="dxa"/>
            <w:vAlign w:val="bottom"/>
            <w:shd w:val="clear" w:color="auto" w:fill="BFE4FF"/>
          </w:tcPr>
          <w:p>
            <w:pPr>
              <w:spacing w:after="0"/>
              <w:rPr>
                <w:sz w:val="20"/>
                <w:szCs w:val="20"/>
                <w:color w:val="auto"/>
              </w:rPr>
            </w:pPr>
          </w:p>
        </w:tc>
      </w:tr>
      <w:tr>
        <w:trPr>
          <w:trHeight w:val="252"/>
        </w:trPr>
        <w:tc>
          <w:tcPr>
            <w:tcW w:w="5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28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608</w:t>
            </w:r>
          </w:p>
        </w:tc>
        <w:tc>
          <w:tcPr>
            <w:tcW w:w="120" w:type="dxa"/>
            <w:vAlign w:val="bottom"/>
            <w:tcBorders>
              <w:bottom w:val="single" w:sz="8" w:color="BFE4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45"/>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280" w:type="dxa"/>
            <w:vAlign w:val="bottom"/>
            <w:tcBorders>
              <w:bottom w:val="single" w:sz="8" w:color="auto"/>
            </w:tcBorders>
            <w:shd w:val="clear" w:color="auto" w:fill="BFE4FF"/>
          </w:tcPr>
          <w:p>
            <w:pPr>
              <w:jc w:val="right"/>
              <w:ind w:right="10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w w:val="93"/>
              </w:rPr>
              <w:t>608</w:t>
            </w:r>
          </w:p>
        </w:tc>
        <w:tc>
          <w:tcPr>
            <w:tcW w:w="12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5600" w:type="dxa"/>
            <w:vAlign w:val="bottom"/>
            <w:tcBorders>
              <w:top w:val="single" w:sz="8" w:color="BFE4FF"/>
            </w:tcBorders>
          </w:tcPr>
          <w:p>
            <w:pPr>
              <w:spacing w:after="0" w:line="20" w:lineRule="exact"/>
              <w:rPr>
                <w:sz w:val="1"/>
                <w:szCs w:val="1"/>
                <w:color w:val="auto"/>
              </w:rPr>
            </w:pPr>
          </w:p>
        </w:tc>
        <w:tc>
          <w:tcPr>
            <w:tcW w:w="1280" w:type="dxa"/>
            <w:vAlign w:val="bottom"/>
            <w:tcBorders>
              <w:top w:val="single" w:sz="8" w:color="BFE4FF"/>
              <w:bottom w:val="single" w:sz="8" w:color="auto"/>
            </w:tcBorders>
          </w:tcPr>
          <w:p>
            <w:pPr>
              <w:spacing w:after="0" w:line="20" w:lineRule="exact"/>
              <w:rPr>
                <w:sz w:val="1"/>
                <w:szCs w:val="1"/>
                <w:color w:val="auto"/>
              </w:rPr>
            </w:pPr>
          </w:p>
        </w:tc>
        <w:tc>
          <w:tcPr>
            <w:tcW w:w="4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480" w:type="dxa"/>
            <w:vAlign w:val="bottom"/>
            <w:tcBorders>
              <w:top w:val="single" w:sz="8" w:color="BFE4FF"/>
              <w:bottom w:val="single" w:sz="8" w:color="auto"/>
            </w:tcBorders>
          </w:tcPr>
          <w:p>
            <w:pPr>
              <w:spacing w:after="0" w:line="20" w:lineRule="exact"/>
              <w:rPr>
                <w:sz w:val="1"/>
                <w:szCs w:val="1"/>
                <w:color w:val="auto"/>
              </w:rPr>
            </w:pPr>
          </w:p>
        </w:tc>
      </w:tr>
      <w:tr>
        <w:trPr>
          <w:trHeight w:val="200"/>
        </w:trPr>
        <w:tc>
          <w:tcPr>
            <w:tcW w:w="5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280" w:type="dxa"/>
            <w:vAlign w:val="bottom"/>
            <w:shd w:val="clear" w:color="auto" w:fill="BFE4FF"/>
          </w:tcPr>
          <w:p>
            <w:pPr>
              <w:spacing w:after="0"/>
              <w:rPr>
                <w:sz w:val="21"/>
                <w:szCs w:val="21"/>
                <w:color w:val="auto"/>
              </w:rPr>
            </w:pPr>
          </w:p>
        </w:tc>
        <w:tc>
          <w:tcPr>
            <w:tcW w:w="4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480" w:type="dxa"/>
            <w:vAlign w:val="bottom"/>
            <w:shd w:val="clear" w:color="auto" w:fill="BFE4FF"/>
          </w:tcPr>
          <w:p>
            <w:pPr>
              <w:spacing w:after="0"/>
              <w:rPr>
                <w:sz w:val="21"/>
                <w:szCs w:val="21"/>
                <w:color w:val="auto"/>
              </w:rPr>
            </w:pP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280" w:type="dxa"/>
            <w:vAlign w:val="bottom"/>
          </w:tcPr>
          <w:p>
            <w:pPr>
              <w:jc w:val="right"/>
              <w:ind w:right="10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1"/>
              <w:spacing w:after="0"/>
              <w:rPr>
                <w:sz w:val="20"/>
                <w:szCs w:val="20"/>
                <w:color w:val="auto"/>
              </w:rPr>
            </w:pPr>
            <w:r>
              <w:rPr>
                <w:rFonts w:ascii="Arial" w:cs="Arial" w:eastAsia="Arial" w:hAnsi="Arial"/>
                <w:sz w:val="18"/>
                <w:szCs w:val="18"/>
                <w:color w:val="auto"/>
                <w:w w:val="93"/>
              </w:rPr>
              <w:t>178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auto"/>
            </w:tcBorders>
            <w:shd w:val="clear" w:color="auto" w:fill="BFE4FF"/>
          </w:tcPr>
          <w:p>
            <w:pPr>
              <w:spacing w:after="0"/>
              <w:rPr>
                <w:sz w:val="21"/>
                <w:szCs w:val="21"/>
                <w:color w:val="auto"/>
              </w:rPr>
            </w:pPr>
          </w:p>
        </w:tc>
        <w:tc>
          <w:tcPr>
            <w:tcW w:w="4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w w:val="93"/>
              </w:rPr>
              <w:t>383</w:t>
            </w:r>
          </w:p>
        </w:tc>
        <w:tc>
          <w:tcPr>
            <w:tcW w:w="120" w:type="dxa"/>
            <w:vAlign w:val="bottom"/>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spacing w:after="0"/>
              <w:rPr>
                <w:sz w:val="21"/>
                <w:szCs w:val="21"/>
                <w:color w:val="auto"/>
              </w:rPr>
            </w:pP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485</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561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0"/>
        </w:trPr>
        <w:tc>
          <w:tcPr>
            <w:tcW w:w="5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As of June 30, 2022, the weighted average remaining lease term for our operating leases was 2.0 years, and the weighted average discount rate for our operating leases was 9.625%. Future minimum lease payments under the lease agreements as of June 30, 2022 were as follows (in thousands):</w:t>
      </w:r>
    </w:p>
    <w:p>
      <w:pPr>
        <w:spacing w:after="0" w:line="305" w:lineRule="exact"/>
        <w:rPr>
          <w:sz w:val="20"/>
          <w:szCs w:val="20"/>
          <w:color w:val="auto"/>
        </w:rPr>
      </w:pPr>
    </w:p>
    <w:tbl>
      <w:tblPr>
        <w:tblLayout w:type="fixed"/>
        <w:tblInd w:w="1080" w:type="dxa"/>
        <w:tblCellMar>
          <w:top w:w="0" w:type="dxa"/>
          <w:left w:w="0" w:type="dxa"/>
          <w:bottom w:w="0" w:type="dxa"/>
          <w:right w:w="0" w:type="dxa"/>
        </w:tblCellMar>
      </w:tblPr>
      <w:tr>
        <w:trPr>
          <w:trHeight w:val="211"/>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Operating Leases</w:t>
            </w:r>
          </w:p>
        </w:tc>
      </w:tr>
      <w:tr>
        <w:trPr>
          <w:trHeight w:val="236"/>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BFE4FF"/>
          </w:tcPr>
          <w:p>
            <w:pPr>
              <w:spacing w:after="0"/>
              <w:rPr>
                <w:sz w:val="20"/>
                <w:szCs w:val="20"/>
                <w:color w:val="auto"/>
              </w:rPr>
            </w:pPr>
          </w:p>
        </w:tc>
        <w:tc>
          <w:tcPr>
            <w:tcW w:w="760" w:type="dxa"/>
            <w:vAlign w:val="bottom"/>
            <w:shd w:val="clear" w:color="auto" w:fill="BFE4FF"/>
          </w:tcPr>
          <w:p>
            <w:pPr>
              <w:ind w:left="400"/>
              <w:spacing w:after="0"/>
              <w:rPr>
                <w:sz w:val="20"/>
                <w:szCs w:val="20"/>
                <w:color w:val="auto"/>
              </w:rPr>
            </w:pPr>
            <w:r>
              <w:rPr>
                <w:rFonts w:ascii="Arial" w:cs="Arial" w:eastAsia="Arial" w:hAnsi="Arial"/>
                <w:sz w:val="18"/>
                <w:szCs w:val="18"/>
                <w:color w:val="auto"/>
              </w:rPr>
              <w:t>103</w:t>
            </w:r>
          </w:p>
        </w:tc>
      </w:tr>
      <w:tr>
        <w:trPr>
          <w:trHeight w:val="252"/>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217</w:t>
            </w:r>
          </w:p>
        </w:tc>
      </w:tr>
      <w:tr>
        <w:trPr>
          <w:trHeight w:val="254"/>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BFE4FF"/>
          </w:tcPr>
          <w:p>
            <w:pPr>
              <w:spacing w:after="0"/>
              <w:rPr>
                <w:sz w:val="22"/>
                <w:szCs w:val="22"/>
                <w:color w:val="auto"/>
              </w:rPr>
            </w:pPr>
          </w:p>
        </w:tc>
        <w:tc>
          <w:tcPr>
            <w:tcW w:w="760" w:type="dxa"/>
            <w:vAlign w:val="bottom"/>
            <w:shd w:val="clear" w:color="auto" w:fill="BFE4FF"/>
          </w:tcPr>
          <w:p>
            <w:pPr>
              <w:ind w:left="400"/>
              <w:spacing w:after="0"/>
              <w:rPr>
                <w:sz w:val="20"/>
                <w:szCs w:val="20"/>
                <w:color w:val="auto"/>
              </w:rPr>
            </w:pPr>
            <w:r>
              <w:rPr>
                <w:rFonts w:ascii="Arial" w:cs="Arial" w:eastAsia="Arial" w:hAnsi="Arial"/>
                <w:sz w:val="18"/>
                <w:szCs w:val="18"/>
                <w:color w:val="auto"/>
              </w:rPr>
              <w:t>190</w:t>
            </w:r>
          </w:p>
        </w:tc>
      </w:tr>
      <w:tr>
        <w:trPr>
          <w:trHeight w:val="252"/>
        </w:trPr>
        <w:tc>
          <w:tcPr>
            <w:tcW w:w="78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143</w:t>
            </w:r>
          </w:p>
        </w:tc>
      </w:tr>
      <w:tr>
        <w:trPr>
          <w:trHeight w:val="234"/>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BFE4FF"/>
          </w:tcPr>
          <w:p>
            <w:pPr>
              <w:spacing w:after="0"/>
              <w:rPr>
                <w:sz w:val="20"/>
                <w:szCs w:val="20"/>
                <w:color w:val="auto"/>
              </w:rPr>
            </w:pPr>
          </w:p>
        </w:tc>
        <w:tc>
          <w:tcPr>
            <w:tcW w:w="760" w:type="dxa"/>
            <w:vAlign w:val="bottom"/>
            <w:shd w:val="clear" w:color="auto" w:fill="BFE4FF"/>
          </w:tcPr>
          <w:p>
            <w:pPr>
              <w:ind w:left="400"/>
              <w:spacing w:after="0"/>
              <w:rPr>
                <w:sz w:val="20"/>
                <w:szCs w:val="20"/>
                <w:color w:val="auto"/>
              </w:rPr>
            </w:pPr>
            <w:r>
              <w:rPr>
                <w:rFonts w:ascii="Arial" w:cs="Arial" w:eastAsia="Arial" w:hAnsi="Arial"/>
                <w:sz w:val="18"/>
                <w:szCs w:val="18"/>
                <w:color w:val="auto"/>
              </w:rPr>
              <w:t>653</w:t>
            </w:r>
          </w:p>
        </w:tc>
      </w:tr>
      <w:tr>
        <w:trPr>
          <w:trHeight w:val="252"/>
        </w:trPr>
        <w:tc>
          <w:tcPr>
            <w:tcW w:w="78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(92)</w:t>
            </w:r>
          </w:p>
        </w:tc>
      </w:tr>
      <w:tr>
        <w:trPr>
          <w:trHeight w:val="245"/>
        </w:trPr>
        <w:tc>
          <w:tcPr>
            <w:tcW w:w="7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FE4FF"/>
          </w:tcPr>
          <w:p>
            <w:pPr>
              <w:ind w:left="400"/>
              <w:spacing w:after="0"/>
              <w:rPr>
                <w:sz w:val="20"/>
                <w:szCs w:val="20"/>
                <w:color w:val="auto"/>
              </w:rPr>
            </w:pPr>
            <w:r>
              <w:rPr>
                <w:rFonts w:ascii="Arial" w:cs="Arial" w:eastAsia="Arial" w:hAnsi="Arial"/>
                <w:sz w:val="18"/>
                <w:szCs w:val="18"/>
                <w:color w:val="auto"/>
              </w:rPr>
              <w:t>561</w:t>
            </w:r>
          </w:p>
        </w:tc>
      </w:tr>
      <w:tr>
        <w:trPr>
          <w:trHeight w:val="20"/>
        </w:trPr>
        <w:tc>
          <w:tcPr>
            <w:tcW w:w="786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116"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w:t>
      </w:r>
    </w:p>
    <w:p>
      <w:pPr>
        <w:spacing w:after="0" w:line="3" w:lineRule="exact"/>
        <w:rPr>
          <w:sz w:val="20"/>
          <w:szCs w:val="20"/>
          <w:color w:val="auto"/>
        </w:rPr>
      </w:pPr>
    </w:p>
    <w:p>
      <w:pPr>
        <w:jc w:val="both"/>
        <w:ind w:firstLine="6"/>
        <w:spacing w:after="0" w:line="250" w:lineRule="auto"/>
        <w:tabs>
          <w:tab w:leader="none" w:pos="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0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11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As of June 30, 2022, the Company had not made any sales of common stock to Lincoln Park under the Purchase Agreement other than the Initial Purchase. The agreement expired on April 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Agreement</w:t>
      </w:r>
    </w:p>
    <w:p>
      <w:pPr>
        <w:spacing w:after="0" w:line="1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On June 4, 2021, the Company entered into an At The Market Offering Agreement (the “ATM Agreement”) with HCW, as sales agent, in connection with an “at the market offering” under which the Company from time to time may offer and sell shares of its common stock, having an aggregate offering price of up to $50.0 million. During the six months ended June 30, 2022 and since inception the Company had not issued any shares under the ATM Agreement. Having received a listing deficiency notice from Nasdaq on February 18, 2022 after the Company’s shares traded below $1.00 for 30 consecutive trading days, the Company will not be permitted to sell additional shares under the ATM Agreement until it re-establishes timely compliance. Compliance may be reestablished by various mechanisms, including stock price appreciation at or above $1.00 for a requisite period of time and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for stock options and warrants for the six months ended June 30, 2022:</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color w:val="auto"/>
              </w:rPr>
              <w:t>Stock Options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color w:val="auto"/>
              </w:rPr>
              <w:t>Warrants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140"/>
              <w:spacing w:after="0" w:line="119" w:lineRule="exact"/>
              <w:rPr>
                <w:sz w:val="20"/>
                <w:szCs w:val="20"/>
                <w:color w:val="auto"/>
              </w:rPr>
            </w:pPr>
            <w:r>
              <w:rPr>
                <w:rFonts w:ascii="Arial" w:cs="Arial" w:eastAsia="Arial" w:hAnsi="Arial"/>
                <w:sz w:val="12"/>
                <w:szCs w:val="12"/>
                <w:color w:val="auto"/>
                <w:w w:val="93"/>
              </w:rPr>
              <w:t>Weighted Average</w:t>
            </w: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Aggregate Intrinsic</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120"/>
              <w:spacing w:after="0" w:line="119" w:lineRule="exact"/>
              <w:rPr>
                <w:sz w:val="20"/>
                <w:szCs w:val="20"/>
                <w:color w:val="auto"/>
              </w:rPr>
            </w:pPr>
            <w:r>
              <w:rPr>
                <w:rFonts w:ascii="Arial" w:cs="Arial" w:eastAsia="Arial" w:hAnsi="Arial"/>
                <w:sz w:val="12"/>
                <w:szCs w:val="12"/>
                <w:color w:val="auto"/>
                <w:w w:val="93"/>
              </w:rPr>
              <w:t>Weighted Average</w:t>
            </w: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color w:val="auto"/>
                <w:w w:val="95"/>
              </w:rPr>
              <w:t>Aggregate Intrinsic</w:t>
            </w: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2"/>
                <w:szCs w:val="12"/>
                <w:color w:val="auto"/>
              </w:rPr>
              <w:t>Weighted Average</w:t>
            </w:r>
          </w:p>
        </w:tc>
        <w:tc>
          <w:tcPr>
            <w:tcW w:w="108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4"/>
              </w:rPr>
              <w:t>Remaining</w:t>
            </w:r>
          </w:p>
        </w:tc>
        <w:tc>
          <w:tcPr>
            <w:tcW w:w="11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2"/>
                <w:szCs w:val="12"/>
                <w:color w:val="auto"/>
              </w:rPr>
              <w:t>Weighted Average</w:t>
            </w:r>
          </w:p>
        </w:tc>
        <w:tc>
          <w:tcPr>
            <w:tcW w:w="10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7"/>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2"/>
                <w:szCs w:val="12"/>
                <w:color w:val="auto"/>
              </w:rPr>
              <w:t>Shares</w:t>
            </w:r>
          </w:p>
        </w:tc>
        <w:tc>
          <w:tcPr>
            <w:tcW w:w="1060" w:type="dxa"/>
            <w:vAlign w:val="bottom"/>
            <w:gridSpan w:val="3"/>
            <w:vMerge w:val="continue"/>
          </w:tcPr>
          <w:p>
            <w:pPr>
              <w:spacing w:after="0"/>
              <w:rPr>
                <w:sz w:val="10"/>
                <w:szCs w:val="10"/>
                <w:color w:val="auto"/>
              </w:rPr>
            </w:pPr>
          </w:p>
        </w:tc>
        <w:tc>
          <w:tcPr>
            <w:tcW w:w="1080" w:type="dxa"/>
            <w:vAlign w:val="bottom"/>
            <w:gridSpan w:val="2"/>
          </w:tcPr>
          <w:p>
            <w:pPr>
              <w:jc w:val="center"/>
              <w:ind w:right="120"/>
              <w:spacing w:after="0" w:line="120" w:lineRule="exact"/>
              <w:rPr>
                <w:sz w:val="20"/>
                <w:szCs w:val="20"/>
                <w:color w:val="auto"/>
              </w:rPr>
            </w:pPr>
            <w:r>
              <w:rPr>
                <w:rFonts w:ascii="Arial" w:cs="Arial" w:eastAsia="Arial" w:hAnsi="Arial"/>
                <w:sz w:val="12"/>
                <w:szCs w:val="12"/>
                <w:color w:val="auto"/>
                <w:w w:val="94"/>
              </w:rPr>
              <w:t>Contractual Term</w:t>
            </w:r>
          </w:p>
        </w:tc>
        <w:tc>
          <w:tcPr>
            <w:tcW w:w="140" w:type="dxa"/>
            <w:vAlign w:val="bottom"/>
          </w:tcPr>
          <w:p>
            <w:pPr>
              <w:spacing w:after="0"/>
              <w:rPr>
                <w:sz w:val="10"/>
                <w:szCs w:val="10"/>
                <w:color w:val="auto"/>
              </w:rPr>
            </w:pPr>
          </w:p>
        </w:tc>
        <w:tc>
          <w:tcPr>
            <w:tcW w:w="980" w:type="dxa"/>
            <w:vAlign w:val="bottom"/>
            <w:gridSpan w:val="2"/>
          </w:tcPr>
          <w:p>
            <w:pPr>
              <w:ind w:left="140"/>
              <w:spacing w:after="0" w:line="120" w:lineRule="exact"/>
              <w:rPr>
                <w:sz w:val="20"/>
                <w:szCs w:val="20"/>
                <w:color w:val="auto"/>
              </w:rPr>
            </w:pPr>
            <w:r>
              <w:rPr>
                <w:rFonts w:ascii="Arial" w:cs="Arial" w:eastAsia="Arial" w:hAnsi="Arial"/>
                <w:sz w:val="12"/>
                <w:szCs w:val="12"/>
                <w:color w:val="auto"/>
              </w:rPr>
              <w:t>Value (In</w:t>
            </w:r>
          </w:p>
        </w:tc>
        <w:tc>
          <w:tcPr>
            <w:tcW w:w="1020" w:type="dxa"/>
            <w:vAlign w:val="bottom"/>
            <w:gridSpan w:val="2"/>
            <w:vMerge w:val="restart"/>
          </w:tcPr>
          <w:p>
            <w:pPr>
              <w:ind w:left="280"/>
              <w:spacing w:after="0"/>
              <w:rPr>
                <w:sz w:val="20"/>
                <w:szCs w:val="20"/>
                <w:color w:val="auto"/>
              </w:rPr>
            </w:pPr>
            <w:r>
              <w:rPr>
                <w:rFonts w:ascii="Arial" w:cs="Arial" w:eastAsia="Arial" w:hAnsi="Arial"/>
                <w:sz w:val="12"/>
                <w:szCs w:val="12"/>
                <w:color w:val="auto"/>
              </w:rPr>
              <w:t>Shares</w:t>
            </w:r>
          </w:p>
        </w:tc>
        <w:tc>
          <w:tcPr>
            <w:tcW w:w="1060" w:type="dxa"/>
            <w:vAlign w:val="bottom"/>
            <w:gridSpan w:val="3"/>
            <w:vMerge w:val="continue"/>
          </w:tcPr>
          <w:p>
            <w:pPr>
              <w:spacing w:after="0"/>
              <w:rPr>
                <w:sz w:val="10"/>
                <w:szCs w:val="10"/>
                <w:color w:val="auto"/>
              </w:rPr>
            </w:pPr>
          </w:p>
        </w:tc>
        <w:tc>
          <w:tcPr>
            <w:tcW w:w="10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4"/>
              </w:rPr>
              <w:t>Contractual Term</w:t>
            </w:r>
          </w:p>
        </w:tc>
        <w:tc>
          <w:tcPr>
            <w:tcW w:w="160" w:type="dxa"/>
            <w:vAlign w:val="bottom"/>
          </w:tcPr>
          <w:p>
            <w:pPr>
              <w:spacing w:after="0"/>
              <w:rPr>
                <w:sz w:val="10"/>
                <w:szCs w:val="10"/>
                <w:color w:val="auto"/>
              </w:rPr>
            </w:pPr>
          </w:p>
        </w:tc>
        <w:tc>
          <w:tcPr>
            <w:tcW w:w="860" w:type="dxa"/>
            <w:vAlign w:val="bottom"/>
          </w:tcPr>
          <w:p>
            <w:pPr>
              <w:ind w:left="120"/>
              <w:spacing w:after="0" w:line="120" w:lineRule="exact"/>
              <w:rPr>
                <w:sz w:val="20"/>
                <w:szCs w:val="20"/>
                <w:color w:val="auto"/>
              </w:rPr>
            </w:pPr>
            <w:r>
              <w:rPr>
                <w:rFonts w:ascii="Arial" w:cs="Arial" w:eastAsia="Arial" w:hAnsi="Arial"/>
                <w:sz w:val="12"/>
                <w:szCs w:val="12"/>
                <w:color w:val="auto"/>
              </w:rPr>
              <w:t>Value (In</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(Years)</w:t>
            </w: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color w:val="auto"/>
              </w:rPr>
              <w:t>Thousands)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(Years)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color w:val="auto"/>
              </w:rPr>
              <w:t>Thousands)</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2,131,849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21,356,600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2.84</w:t>
            </w: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2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1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547,600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140"/>
              <w:spacing w:after="0"/>
              <w:rPr>
                <w:sz w:val="20"/>
                <w:szCs w:val="20"/>
                <w:color w:val="auto"/>
              </w:rPr>
            </w:pPr>
            <w:r>
              <w:rPr>
                <w:rFonts w:ascii="Arial" w:cs="Arial" w:eastAsia="Arial" w:hAnsi="Arial"/>
                <w:sz w:val="14"/>
                <w:szCs w:val="14"/>
                <w:color w:val="auto"/>
              </w:rPr>
              <w:t>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Expired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Outstanding at 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2,612,285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21,356,600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64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color w:val="auto"/>
              </w:rPr>
              <w:t>Vested at June 30, 2022</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2,574,724</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21,356,600</w:t>
            </w: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shd w:val="clear" w:color="auto" w:fill="CCEEFF"/>
          </w:tcPr>
          <w:p>
            <w:pPr>
              <w:ind w:left="60"/>
              <w:spacing w:after="0" w:line="160" w:lineRule="exact"/>
              <w:rPr>
                <w:sz w:val="20"/>
                <w:szCs w:val="20"/>
                <w:color w:val="auto"/>
              </w:rPr>
            </w:pPr>
            <w:r>
              <w:rPr>
                <w:rFonts w:ascii="Arial" w:cs="Arial" w:eastAsia="Arial" w:hAnsi="Arial"/>
                <w:sz w:val="14"/>
                <w:szCs w:val="14"/>
                <w:color w:val="auto"/>
              </w:rPr>
              <w:t>or expected to vest in the future</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40" w:type="dxa"/>
            <w:vAlign w:val="bottom"/>
          </w:tcPr>
          <w:p>
            <w:pPr>
              <w:ind w:left="20"/>
              <w:spacing w:after="0" w:line="159" w:lineRule="exact"/>
              <w:rPr>
                <w:sz w:val="20"/>
                <w:szCs w:val="20"/>
                <w:color w:val="auto"/>
              </w:rPr>
            </w:pPr>
            <w:r>
              <w:rPr>
                <w:rFonts w:ascii="Arial" w:cs="Arial" w:eastAsia="Arial" w:hAnsi="Arial"/>
                <w:sz w:val="14"/>
                <w:szCs w:val="14"/>
                <w:color w:val="auto"/>
              </w:rPr>
              <w:t>Vested at June 30, 2022</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1,388,935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6.92</w:t>
            </w:r>
          </w:p>
        </w:tc>
        <w:tc>
          <w:tcPr>
            <w:tcW w:w="1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6.24</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6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21,356,600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2.84</w:t>
            </w:r>
          </w:p>
        </w:tc>
        <w:tc>
          <w:tcPr>
            <w:tcW w:w="1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3.88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six months ended June 30, 2022 and 2021, the Company issued restricted stock for services as follows ($ in thousands):</w:t>
      </w:r>
    </w:p>
    <w:p>
      <w:pPr>
        <w:spacing w:after="0" w:line="178"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5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5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r>
      <w:tr>
        <w:trPr>
          <w:trHeight w:val="247"/>
        </w:trPr>
        <w:tc>
          <w:tcPr>
            <w:tcW w:w="5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Number of restricted stock issued</w:t>
            </w:r>
          </w:p>
        </w:tc>
        <w:tc>
          <w:tcPr>
            <w:tcW w:w="6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1,061,175</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300,450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100" w:type="dxa"/>
            <w:vAlign w:val="bottom"/>
          </w:tcPr>
          <w:p>
            <w:pPr>
              <w:ind w:left="320"/>
              <w:spacing w:after="0"/>
              <w:rPr>
                <w:sz w:val="20"/>
                <w:szCs w:val="20"/>
                <w:color w:val="auto"/>
              </w:rPr>
            </w:pPr>
            <w:r>
              <w:rPr>
                <w:rFonts w:ascii="Arial" w:cs="Arial" w:eastAsia="Arial" w:hAnsi="Arial"/>
                <w:sz w:val="16"/>
                <w:szCs w:val="16"/>
                <w:color w:val="auto"/>
              </w:rPr>
              <w:t>Value of restricted stock issued</w:t>
            </w: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0"/>
        </w:trPr>
        <w:tc>
          <w:tcPr>
            <w:tcW w:w="5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vesting terms of restricted stock issuances are generally between one to four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six months ended June 30, 2022 and 2021, the Company issued restricted stock units for services as follows ($ in thousands, except share data):</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5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r>
      <w:tr>
        <w:trPr>
          <w:trHeight w:val="247"/>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Number of restricted stock units issued</w:t>
            </w:r>
          </w:p>
        </w:tc>
        <w:tc>
          <w:tcPr>
            <w:tcW w:w="6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1,379,860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458,245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340" w:type="dxa"/>
            <w:vAlign w:val="bottom"/>
          </w:tcPr>
          <w:p>
            <w:pPr>
              <w:ind w:left="340"/>
              <w:spacing w:after="0"/>
              <w:rPr>
                <w:sz w:val="20"/>
                <w:szCs w:val="20"/>
                <w:color w:val="auto"/>
              </w:rPr>
            </w:pPr>
            <w:r>
              <w:rPr>
                <w:rFonts w:ascii="Arial" w:cs="Arial" w:eastAsia="Arial" w:hAnsi="Arial"/>
                <w:sz w:val="16"/>
                <w:szCs w:val="16"/>
                <w:color w:val="auto"/>
              </w:rPr>
              <w:t>Value of restricted stock units issued</w:t>
            </w: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0"/>
        </w:trPr>
        <w:tc>
          <w:tcPr>
            <w:tcW w:w="5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weighted average estimated fair value of restricted stock issued for services in the six months ended June 30, 2022 and 2021 was $0.92 and $1.59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2" w:lineRule="exact"/>
        <w:rPr>
          <w:sz w:val="20"/>
          <w:szCs w:val="20"/>
          <w:color w:val="auto"/>
        </w:rPr>
      </w:pPr>
    </w:p>
    <w:p>
      <w:pPr>
        <w:jc w:val="both"/>
        <w:ind w:right="20" w:firstLine="320"/>
        <w:spacing w:after="0" w:line="296"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six months ended June 30, 2022 and 2021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Index</w:t>
              </w:r>
            </w:hyperlink>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13"/>
        </w:trPr>
        <w:tc>
          <w:tcPr>
            <w:tcW w:w="340" w:type="dxa"/>
            <w:vAlign w:val="bottom"/>
            <w:tcBorders>
              <w:top w:val="single" w:sz="8" w:color="0000FF"/>
            </w:tcBorders>
          </w:tcPr>
          <w:p>
            <w:pPr>
              <w:spacing w:after="0"/>
              <w:rPr>
                <w:sz w:val="24"/>
                <w:szCs w:val="24"/>
                <w:color w:val="auto"/>
              </w:rPr>
            </w:pPr>
          </w:p>
        </w:tc>
        <w:tc>
          <w:tcPr>
            <w:tcW w:w="424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34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r>
      <w:tr>
        <w:trPr>
          <w:trHeight w:val="221"/>
        </w:trPr>
        <w:tc>
          <w:tcPr>
            <w:tcW w:w="3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340" w:type="dxa"/>
            <w:vAlign w:val="bottom"/>
          </w:tcPr>
          <w:p>
            <w:pPr>
              <w:spacing w:after="0"/>
              <w:rPr>
                <w:sz w:val="19"/>
                <w:szCs w:val="19"/>
                <w:color w:val="auto"/>
              </w:rPr>
            </w:pPr>
          </w:p>
        </w:tc>
        <w:tc>
          <w:tcPr>
            <w:tcW w:w="4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5"/>
        </w:trPr>
        <w:tc>
          <w:tcPr>
            <w:tcW w:w="340" w:type="dxa"/>
            <w:vAlign w:val="bottom"/>
            <w:tcBorders>
              <w:right w:val="single" w:sz="8" w:color="CCEEFF"/>
            </w:tcBorders>
          </w:tcPr>
          <w:p>
            <w:pPr>
              <w:spacing w:after="0"/>
              <w:rPr>
                <w:sz w:val="20"/>
                <w:szCs w:val="20"/>
                <w:color w:val="auto"/>
              </w:rPr>
            </w:pPr>
          </w:p>
        </w:tc>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4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right="100" w:firstLine="320"/>
        <w:spacing w:after="0" w:line="266"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June 30, 2022 were as follows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Restricted Stock</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685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319</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869</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1.56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w w:val="91"/>
              </w:rPr>
              <w:t>0.74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w w:val="85"/>
              </w:rPr>
              <w:t>2.04</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100" w:firstLine="320"/>
        <w:spacing w:after="0" w:line="266"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six months ended June 30, 2022 and 2021 were as follows (in thousands):</w:t>
      </w:r>
    </w:p>
    <w:p>
      <w:pPr>
        <w:spacing w:after="0" w:line="23"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Stock Options</w:t>
            </w:r>
          </w:p>
        </w:tc>
        <w:tc>
          <w:tcPr>
            <w:tcW w:w="880" w:type="dxa"/>
            <w:vAlign w:val="bottom"/>
            <w:tcBorders>
              <w:bottom w:val="single" w:sz="8" w:color="auto"/>
            </w:tcBorders>
          </w:tcPr>
          <w:p>
            <w:pPr>
              <w:spacing w:after="0"/>
              <w:rPr>
                <w:sz w:val="16"/>
                <w:szCs w:val="16"/>
                <w:color w:val="auto"/>
              </w:rPr>
            </w:pPr>
          </w:p>
        </w:tc>
      </w:tr>
      <w:tr>
        <w:trPr>
          <w:trHeight w:val="193"/>
        </w:trPr>
        <w:tc>
          <w:tcPr>
            <w:tcW w:w="59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Six Months Ended June 30,</w:t>
            </w:r>
          </w:p>
        </w:tc>
      </w:tr>
      <w:tr>
        <w:trPr>
          <w:trHeight w:val="193"/>
        </w:trPr>
        <w:tc>
          <w:tcPr>
            <w:tcW w:w="59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252"/>
        </w:trPr>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fair value of shares vested</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65"/>
        </w:trPr>
        <w:tc>
          <w:tcPr>
            <w:tcW w:w="5900" w:type="dxa"/>
            <w:vAlign w:val="bottom"/>
          </w:tcPr>
          <w:p>
            <w:pPr>
              <w:ind w:left="320"/>
              <w:spacing w:after="0"/>
              <w:rPr>
                <w:sz w:val="20"/>
                <w:szCs w:val="20"/>
                <w:color w:val="auto"/>
              </w:rPr>
            </w:pPr>
            <w:r>
              <w:rPr>
                <w:rFonts w:ascii="Arial" w:cs="Arial" w:eastAsia="Arial" w:hAnsi="Arial"/>
                <w:sz w:val="18"/>
                <w:szCs w:val="18"/>
                <w:color w:val="auto"/>
              </w:rPr>
              <w:t>Weighted average estimated fair value of shares granted</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23"/>
                <w:szCs w:val="23"/>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39" w:lineRule="exact"/>
        <w:rPr>
          <w:sz w:val="20"/>
          <w:szCs w:val="20"/>
          <w:color w:val="auto"/>
        </w:rPr>
      </w:pPr>
    </w:p>
    <w:p>
      <w:pPr>
        <w:jc w:val="both"/>
        <w:ind w:right="100" w:firstLine="320"/>
        <w:spacing w:after="0" w:line="303"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Income Taxes</w:t>
      </w:r>
    </w:p>
    <w:p>
      <w:pPr>
        <w:spacing w:after="0" w:line="145" w:lineRule="exact"/>
        <w:rPr>
          <w:sz w:val="20"/>
          <w:szCs w:val="20"/>
          <w:color w:val="auto"/>
        </w:rPr>
      </w:pPr>
    </w:p>
    <w:p>
      <w:pPr>
        <w:jc w:val="both"/>
        <w:ind w:right="100" w:firstLine="320"/>
        <w:spacing w:after="0" w:line="303"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89" w:lineRule="exact"/>
        <w:rPr>
          <w:sz w:val="20"/>
          <w:szCs w:val="20"/>
          <w:color w:val="auto"/>
        </w:rPr>
      </w:pPr>
    </w:p>
    <w:p>
      <w:pPr>
        <w:jc w:val="both"/>
        <w:ind w:right="100" w:firstLine="320"/>
        <w:spacing w:after="0" w:line="285" w:lineRule="auto"/>
        <w:rPr>
          <w:sz w:val="20"/>
          <w:szCs w:val="20"/>
          <w:color w:val="auto"/>
        </w:rPr>
      </w:pPr>
      <w:r>
        <w:rPr>
          <w:rFonts w:ascii="Arial" w:cs="Arial" w:eastAsia="Arial" w:hAnsi="Arial"/>
          <w:sz w:val="16"/>
          <w:szCs w:val="16"/>
          <w:color w:val="auto"/>
        </w:rPr>
        <w:t>As of December 31, 2021 and 2020, the Company had approximately $281 million and $264 million, respectively of federal NOLs available to offset future taxable income expiring from 2030 through 2036. The Company performed an analysis and determined that they had an ownership change of greater than 50% over a 3-year testing period on January 25, 2021. As a result, $169 million of the $281 million of federal NOLs will expire unutilized. The Company wrote off that portion of the deferred tax asset and reduced the corresponding valuation allowance resulting in $112 million of remaining federal NOL. The write off of the deferred tax asset and the corresponding reduction in valuation allowance has no impact to the balance sheet or income statement. Losses incurred before the ownership change on January 25, 2021 will be subject to an annual limitation of $173k under Internal Revenue Code Section 382, while losses incurred after January 25, 2021 will not be subject to limitations. The Company may be able to utilize additional NOLs of approximately $1.1 million per year for the first five years after this ownership change as a result of the application of the Net Unrealized Built-in Gain rules.</w:t>
      </w:r>
    </w:p>
    <w:p>
      <w:pPr>
        <w:spacing w:after="0" w:line="102" w:lineRule="exact"/>
        <w:rPr>
          <w:sz w:val="20"/>
          <w:szCs w:val="20"/>
          <w:color w:val="auto"/>
        </w:rPr>
      </w:pPr>
    </w:p>
    <w:p>
      <w:pPr>
        <w:jc w:val="both"/>
        <w:ind w:right="100" w:firstLine="320"/>
        <w:spacing w:after="0" w:line="251" w:lineRule="auto"/>
        <w:rPr>
          <w:sz w:val="20"/>
          <w:szCs w:val="20"/>
          <w:color w:val="auto"/>
        </w:rPr>
      </w:pPr>
      <w:r>
        <w:rPr>
          <w:rFonts w:ascii="Arial" w:cs="Arial" w:eastAsia="Arial" w:hAnsi="Arial"/>
          <w:sz w:val="18"/>
          <w:szCs w:val="18"/>
          <w:color w:val="auto"/>
        </w:rPr>
        <w:t>As of December 31, 2021 and 2020 the Company had state NOLs available in New Jersey of $97 million and $99 million, respectively, California of $70 million and $70 million, respectively, and New York City of $13 million and $13 million, respectively, to offset future taxable income expiring from 2031 through 2041. In accordance with Section 382 of the Internal Revenue code, the usage of the Company’s NOLs would be limited given the change in ownership. The ultimate realization of deferred tax assets is dependent upon the generation of future taxable income during the period when those temporary differences become deductible.</w:t>
      </w:r>
    </w:p>
    <w:p>
      <w:pPr>
        <w:spacing w:after="0" w:line="116" w:lineRule="exact"/>
        <w:rPr>
          <w:sz w:val="20"/>
          <w:szCs w:val="20"/>
          <w:color w:val="auto"/>
        </w:rPr>
      </w:pPr>
    </w:p>
    <w:p>
      <w:pPr>
        <w:jc w:val="both"/>
        <w:ind w:right="120" w:firstLine="320"/>
        <w:spacing w:after="0" w:line="266"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spacing w:after="0" w:line="6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As of June 30, 2022,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11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For years prior to 2018, the federal statute of limitations is closed for assessing tax. The Company’s state tax returns remain open to examination for a period of three to four years from date of filing.</w:t>
      </w:r>
    </w:p>
    <w:p>
      <w:pPr>
        <w:spacing w:after="0" w:line="114"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In December 2021,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February 22, 2022, the Company received final approval from NJEDA to sell $2.5 million of its NJ NOLs related tax benefits (“NJ NOL Tax Benefits”), which was subsequently sold to a qualifying and approved buyer pursuant to the Program for net proceeds of $2.3 million. The gross proceeds of $2.5 million have been recorded as a benefit from income taxes and the loss on sale of NJ NOLs of $0.1 million recorded in other income (expense) in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2021 Form 10-K. The following discussion should be read in conjunction with our consolidated financial statements and related notes thereto included elsewhere in this Quarterly Report and in our 2021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We are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112" w:lineRule="exact"/>
        <w:rPr>
          <w:sz w:val="20"/>
          <w:szCs w:val="20"/>
          <w:color w:val="auto"/>
        </w:rPr>
      </w:pPr>
    </w:p>
    <w:p>
      <w:pPr>
        <w:jc w:val="both"/>
        <w:ind w:firstLine="320"/>
        <w:spacing w:after="0" w:line="222" w:lineRule="auto"/>
        <w:rPr>
          <w:sz w:val="20"/>
          <w:szCs w:val="20"/>
          <w:color w:val="auto"/>
        </w:rPr>
      </w:pPr>
      <w:r>
        <w:rPr>
          <w:rFonts w:ascii="Arial" w:cs="Arial" w:eastAsia="Arial" w:hAnsi="Arial"/>
          <w:sz w:val="18"/>
          <w:szCs w:val="18"/>
          <w:color w:val="auto"/>
        </w:rPr>
        <w:t>Our leadership team has decades of collective biopharmaceutical product development experience in a variety of therapeutic categories, including cardiovascular and oncology. Our goal is to develop and commercialize products that address important unmet medical needs based on a broad and versatile portfolio of candidates. Our current product candidates include:</w:t>
      </w:r>
    </w:p>
    <w:p>
      <w:pPr>
        <w:spacing w:after="0" w:line="1" w:lineRule="exact"/>
        <w:rPr>
          <w:sz w:val="20"/>
          <w:szCs w:val="20"/>
          <w:color w:val="auto"/>
        </w:rPr>
      </w:pPr>
    </w:p>
    <w:p>
      <w:pPr>
        <w:ind w:firstLine="326"/>
        <w:spacing w:after="0" w:line="221"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(CLBS16), the subject of both a completed positive Phase 2a study (ESCaPE-CMD) and an ongoing follow on Phase 2b study (FREEDOM Trial) in the United States for the treatment of coronary microvascular dysfunction (“CMD”);</w:t>
      </w:r>
    </w:p>
    <w:p>
      <w:pPr>
        <w:spacing w:after="0" w:line="122" w:lineRule="exact"/>
        <w:rPr>
          <w:rFonts w:ascii="Arial" w:cs="Arial" w:eastAsia="Arial" w:hAnsi="Arial"/>
          <w:sz w:val="18"/>
          <w:szCs w:val="18"/>
          <w:color w:val="auto"/>
        </w:rPr>
      </w:pPr>
    </w:p>
    <w:p>
      <w:pPr>
        <w:jc w:val="both"/>
        <w:ind w:firstLine="326"/>
        <w:spacing w:after="0" w:line="229"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(CLBS12), recipient of SAKIGAKE designation and eligible for early conditional approval in Japan for the treatment of critical limb ischemia (“CLI”) and Buerger’s disease is being sought based on the current results of a clinical trial executed in Japan. CLBS12 was the recipient of orphan drug designation in March 2021 from the U.S. Food and Drug Administration (“FDA”) for Buerger's disease; and</w:t>
      </w:r>
    </w:p>
    <w:p>
      <w:pPr>
        <w:spacing w:after="0" w:line="177" w:lineRule="exact"/>
        <w:rPr>
          <w:rFonts w:ascii="Arial" w:cs="Arial" w:eastAsia="Arial" w:hAnsi="Arial"/>
          <w:sz w:val="18"/>
          <w:szCs w:val="18"/>
          <w:color w:val="auto"/>
        </w:rPr>
      </w:pPr>
    </w:p>
    <w:p>
      <w:pPr>
        <w:ind w:firstLine="326"/>
        <w:spacing w:after="0" w:line="233" w:lineRule="auto"/>
        <w:tabs>
          <w:tab w:leader="none" w:pos="634" w:val="left"/>
        </w:tabs>
        <w:numPr>
          <w:ilvl w:val="0"/>
          <w:numId w:val="6"/>
        </w:numPr>
        <w:rPr>
          <w:rFonts w:ascii="Arial" w:cs="Arial" w:eastAsia="Arial" w:hAnsi="Arial"/>
          <w:sz w:val="21"/>
          <w:szCs w:val="21"/>
          <w:color w:val="auto"/>
        </w:rPr>
      </w:pPr>
      <w:r>
        <w:rPr>
          <w:rFonts w:ascii="Arial" w:cs="Arial" w:eastAsia="Arial" w:hAnsi="Arial"/>
          <w:sz w:val="18"/>
          <w:szCs w:val="18"/>
          <w:color w:val="auto"/>
        </w:rPr>
        <w:t>CLBS201, the subject of a study designed to assess the safety and efficacy of CD34+ cell therapy as a treatment for patients with chronic kidney disease related to type 2 diabetes (diabetic kidney disease or “DKD”).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Merger</w:t>
      </w:r>
    </w:p>
    <w:p>
      <w:pPr>
        <w:spacing w:after="0" w:line="139"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On April 26, 2022, we, CS Cedar Merger Sub, Inc., a Delaware corporation and our wholly owned subsidiary (“Merger Sub”), and Cend Therapeutics, Inc., a Delaware corporation (“Cend”), entered into an Agreement and Plan of Merger and Reorganization (the “Merger Agreement”), pursuant to which, among other matters, and subject to the satisfaction or waiver of the conditions set forth in the Merger Agreement, Merger Sub will merge with and into Cend, with Cend continuing as our wholly owned subsidiary and the surviving corporation of the merger (the “Merger”). The Merger is intended to qualify for federal income tax purposes as a tax-free reorganization under the provisions of Section 368(a) of the Internal Revenue Code of 1986, as amended.</w:t>
      </w:r>
    </w:p>
    <w:p>
      <w:pPr>
        <w:spacing w:after="0" w:line="10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Subject to the terms and conditions of the Merger Agreement, at the closing of the Merger, (a) each outstanding share of Cend common stock and Cend preferred stock will be converted into the right to receive a number of shares of our common stock (“Caladrius Common Stock”) equal to an exchange ratio calculated pursuant to the terms of the Merger Agreement; and (b) each outstanding Cend stock option that has not previously been exercised prior to the closing of the Merger will be assumed by us.</w:t>
      </w:r>
    </w:p>
    <w:p>
      <w:pPr>
        <w:spacing w:after="0" w:line="126"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Under the exchange ratio formula, as of immediately after the Merger, the former Cend stockholders are expected to own approximately 50% of the outstanding shares of Caladrius Common Stock and our stockholders as of immediately prior to the Merger are expected to own approximately 50% of the outstanding shares of Caladrius Common Stock. The actual allocation will be subject to adjustment based on our net cash balance at the time of closing and the amount of any transaction expenses of Cend in excess of $250 thousand at the time of closing.</w:t>
      </w:r>
    </w:p>
    <w:p>
      <w:pPr>
        <w:spacing w:after="0" w:line="96"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Consummation of the Merger is subject to certain closing conditions, including, among other things, approval by the stockholders of Caladrius and Cend, and Caladrius’ satisfaction of a minimum net cash threshold at closing, expected to be approximately $64.9 million assuming a closing at the end of the third quarter of 2022, and as described further in the Merger Agreement. In accordance with the terms of the Merger Agreement, (i) certain executive officers, directors and stockholders of Cend (solely in their respective capacities as Cend stockholders) holding approximately 77.5% of the outstanding Cend capital stock have entered into support agreements with Caladrius to vote all of their shares of Cend capital stock in favor of adoption of the Merger Agreement (the “Cend Support Agreements”) and (ii) certain executive officers and directors of Caladrius (solely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their respective capacities as Caladrius stockholders) holding approximately 1.8% of the outstanding Caladrius common stock have entered into support agreements with Cend to vote all of their shares of Caladrius common stock in favor of approval of the Merger Agreement (the “Caladrius Support Agreements,” together with the Cend Support Agreements, the “Support Agreements”). The Support Agreements include covenants with respect to the voting of such shares in favor of approving the transactions contemplated by the Merger Agreement and against any competing acquisition proposals and place certain restrictions on the transfer of the shares of Caladrius and Cend held by the respective signatories thereto.</w:t>
      </w:r>
    </w:p>
    <w:p>
      <w:pPr>
        <w:spacing w:after="0" w:line="11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Concurrently with the execution of the Merger Agreement, certain officers and directors of Caladrius holding approximately 1.8% of the outstanding Caladrius common stock and certain officers, directors and stockholders of Cend holding approximately 77.5% of the Cend capital stock have entered into lock-up agreements (the “Lock-Up Agreements”) pursuant to which they accepted certain restrictions on transfers of shares of Caladrius Common Stock for the 120-day period following the closing of the Merger.</w:t>
      </w:r>
    </w:p>
    <w:p>
      <w:pPr>
        <w:spacing w:after="0" w:line="11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Merger Agreement contains certain termination rights for both us and Cend, and further provides that, upon termination of the Merger Agreement under specified circumstances, we may be required to pay Cend a termination fee of $1.0 million, Cend may be required to pay us a termination fee of $4.0 million, or in some circumstances reimburse the other party’s expenses up to a maximum of $1.0 million.</w:t>
      </w:r>
    </w:p>
    <w:p>
      <w:pPr>
        <w:spacing w:after="0" w:line="123"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At the effective time of the Merger, our Board of Directors is expected to consist of nine members, four of whom will be designated by us, four of whom will be designated by Cend and one member who will be mutually agreed between us and Cend.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Investment and Collaboration Agreement</w:t>
      </w:r>
    </w:p>
    <w:p>
      <w:pPr>
        <w:spacing w:after="0" w:line="139"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6"/>
          <w:szCs w:val="16"/>
          <w:color w:val="auto"/>
        </w:rPr>
        <w:t>In order to provide Cend with capital for its development programs prior to the closing of the Merger, we and Cend entered into a Series D Preferred Stock Purchase Agreement (the “Purchase Agreement”), pursuant to which we purchased from Cend 1,135,628 shares of Series D Preferred Stock, $0.00001 par value per share (the “Series D Preferred Stock”), of Cend at a purchase price per share equal to $8.8057 per share (the “Series D Original Issue Price”), or approximately $10 million in the aggregate. The Purchase Agreement contains customary representations, warranties and agreements by us and Cend and customary conditions to closing. The Series D Preferred Stock ranks senior to Cend’s common stock and the other series of preferred stock with respect to rights on the distribution of assets on any voluntary or involuntary liquidation, dissolution or winding up of Cend. The Series D Preferred Stock has a liquidation preference equal to the Series D Original Issue Price plus an amount equal to any accrued and unpaid dividends to the date of payment and will participate with Cend’s common stockholders and other preferred stockholders thereafter on an as-converted basis. The Series D Preferred Stock shall vote with the common stock on an as-converted basis on any matters presented to the stockholders of Cend. Each share of Series D Preferred Stock is convertible, at the option of the holder thereof, into such number of shares of Cend common stock as is determined by dividing the Original Issue Price by the conversion price in effect at the time of conversion, which conversion price shall be the Original Issue Price as appropriately adjusted for stock splits, stock dividends, combinations, and subdivisions of Cend common stock, and as adjusted pursuant to a weighted-average antidilution adjustment. The Series D Preferred Stock will automatically convert into shares of Cend common stock upon the closing of a firm-commitment underwritten initial public offering implying a pre-equity offering value of at least $250 million, resulting in at least $50 million of gross proceeds to Cend.</w:t>
      </w:r>
    </w:p>
    <w:p>
      <w:pPr>
        <w:spacing w:after="0" w:line="11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In connection with the Purchase Agreement, we and Cend entered into a Collaboration Agreement (the “Collaboration Agreement”), pursuant to which we agreed to collaborate with Cend on certain developmental and clinical activities prior to the closing of the Merger. Pursuant to the Collaboration Agreement, we and Cend have formed a joint steering committee (the “Committee”) comprised of individuals from both entities. The Committee meets regularly and is responsible for monitoring ongoing studies and making recommendations for development activity and trial planning. Cend has agreed to pay each member of the Committee from Caladrius an hourly consulting fee for such service.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3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10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impacted area. We believe that a number of conditions caused by underlying ischemic injury can be improved through our CD34+ cell technology including, but not limited to, Buerger's disease, CLI, CMD, and DKD.</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XOWNA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Coronary Microvascular Dysfunction</w:t>
      </w:r>
    </w:p>
    <w:p>
      <w:pPr>
        <w:spacing w:after="0" w:line="75" w:lineRule="exact"/>
        <w:rPr>
          <w:sz w:val="20"/>
          <w:szCs w:val="20"/>
          <w:color w:val="auto"/>
        </w:rPr>
      </w:pPr>
    </w:p>
    <w:p>
      <w:pPr>
        <w:jc w:val="both"/>
        <w:ind w:firstLine="320"/>
        <w:spacing w:after="0" w:line="228" w:lineRule="auto"/>
        <w:rPr>
          <w:sz w:val="20"/>
          <w:szCs w:val="20"/>
          <w:color w:val="auto"/>
        </w:rPr>
      </w:pPr>
      <w:r>
        <w:rPr>
          <w:rFonts w:ascii="Arial" w:cs="Arial" w:eastAsia="Arial" w:hAnsi="Arial"/>
          <w:sz w:val="16"/>
          <w:szCs w:val="16"/>
          <w:color w:val="auto"/>
        </w:rPr>
        <w:t>In 2017, with the assistance of a $1.9 million grant from the National Institutes of Health (Award Number R44HL135889), we initiated our program for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 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 In December 2020, we commenced enrollment in our Phase 2b FREEDOM Trial of XOWNA</w:t>
      </w:r>
      <w:r>
        <w:rPr>
          <w:rFonts w:ascii="Arial" w:cs="Arial" w:eastAsia="Arial" w:hAnsi="Arial"/>
          <w:sz w:val="20"/>
          <w:szCs w:val="20"/>
          <w:color w:val="auto"/>
          <w:vertAlign w:val="superscript"/>
        </w:rPr>
        <w:t>®</w:t>
      </w:r>
      <w:r>
        <w:rPr>
          <w:rFonts w:ascii="Arial" w:cs="Arial" w:eastAsia="Arial" w:hAnsi="Arial"/>
          <w:sz w:val="16"/>
          <w:szCs w:val="16"/>
          <w:color w:val="auto"/>
        </w:rPr>
        <w:t>, a double-blind, randomized, placebo-controlled clinical trial designed to further evaluate the efficacy and safety of intracoronary artery delivery of autologous CD34+ cells in subjects with CMD and without obstructive coronary artery disease and was expected to complete enrollment in approximately 12 months.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as well as with a contrast agent typically used in many catheter laboratories. Protocol amendments to the initial FREEDOM Trial protocol, as agreed to by the FDA, were implemented with the goal of enhancing breadth and speed of subject enrollment. In May 2022, we announced that enrollment in the FREEDOM Trial had been suspended and that we intend to conduct an interim analysis of the data from not less than the first 20 patients enrolled using the 6-month follow-up data to evaluate the efficacy and safety of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subjects with CMD and corroborate the ESCaPE-CMD study results. The interim analysis is expected to be completed in the third quarter of 2022 and the next steps in development of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will subsequently be determined after appropriate regulatory and business review, expected to be announced prior to year-end 2022.</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6"/>
          <w:szCs w:val="16"/>
          <w:color w:val="auto"/>
        </w:rPr>
        <w:t>Our randomized, open-label, registration-eligible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for the treatment of CLI and Buerger's disease has, to date, demonstrated positive trends in both safety and efficacy.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re-initiation, we suspended further enrollment in the fourth quarter of 2021. Following study suspension, we completed all protocol-defined patient observations and are preparing the clinical study report.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now in the pre-consultation phase of the registration process with the Pharmaceuticals and Medical Devices Agency (“PMDA”) in Japan. Data from the follow-up of all patients completed in the registration-eligible clinical trial in Japan has been compiled and is expected to be reviewed by PMDA during the third quarter of 2022 after which the PMDA is expected to provide important perspective to be considered in preparation for the formal consultation meetings which precede the Japanese new drug application. We are focusing our efforts on consummating a partnership for the product in Japan. Such a partnership may become the basis for the completion of development and registration of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Japan. This may include the completion of enrollment of the four-remaining no-option CLI subjects stipulated in the original protocol, if necessary, and/or exploration of submitting the existing data to Japan's PMDA under Japan's regenerative medicine regulations, which allow for conditional approval of innovative regenerative medicine products. Despite receipt of orphan designation from FDA in March 2021 in the United States for CLBS12 as a potential treatment for Buerger's disease, based on a response from the FDA in October 2021 regarding a development plan for U.S. registration, we have decided not to pursue U.S. development in Buerger's disease at this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CLBS201 for Treatment of Diabetic Kidney Disease</w:t>
      </w:r>
    </w:p>
    <w:p>
      <w:pPr>
        <w:spacing w:after="0" w:line="139"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8"/>
          <w:szCs w:val="18"/>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we have elected to move forward with a Phase 1b, open-label, proof-of-concept trial evaluating CLBS201 dosed via intra-renal artery injections in subjects with DKD. This protocol includes six subjects in total with the first two subjects sequentially dosed and followed for a two-week safety observation period. Clearance by an independent Data Safety Monitoring Board (“DSMB”) overseeing the study then permitted the treatment of the next four patients, with all patients being followed for safety and therapeutic effect. A read-out of data will occur after the six-month follow-up visit for all patients. A key criterion for continued development of CLBS201 will be our ability to demonstrate a therapeutic effect that will make it competitive in the field of DKD treatment, i.e., kidney function regeneration, as indicated by increased glomerular filtration rate. The Company treated the first patient in the CLBS201 proof-of-concept study in April 2022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20"/>
        <w:spacing w:after="0" w:line="409" w:lineRule="auto"/>
        <w:rPr>
          <w:sz w:val="20"/>
          <w:szCs w:val="20"/>
          <w:color w:val="auto"/>
        </w:rPr>
      </w:pPr>
      <w:r>
        <w:rPr>
          <w:rFonts w:ascii="Arial" w:cs="Arial" w:eastAsia="Arial" w:hAnsi="Arial"/>
          <w:sz w:val="18"/>
          <w:szCs w:val="18"/>
          <w:color w:val="auto"/>
        </w:rPr>
        <w:t xml:space="preserve">and completed treatment for all six subjects during the third quarter of 2022. Top-line data is anticipated from all subjects by the first quarter of 2023. </w:t>
      </w:r>
      <w:r>
        <w:rPr>
          <w:rFonts w:ascii="Arial" w:cs="Arial" w:eastAsia="Arial" w:hAnsi="Arial"/>
          <w:sz w:val="18"/>
          <w:szCs w:val="18"/>
          <w:b w:val="1"/>
          <w:bCs w:val="1"/>
          <w:i w:val="1"/>
          <w:iCs w:val="1"/>
          <w:color w:val="auto"/>
        </w:rPr>
        <w:t>Additional Out-licensing Opportunities</w:t>
      </w:r>
    </w:p>
    <w:p>
      <w:pPr>
        <w:jc w:val="both"/>
        <w:ind w:firstLine="320"/>
        <w:spacing w:after="0" w:line="270"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110"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6"/>
          <w:szCs w:val="16"/>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implemented a universal work from home policy as well as stringent social distancing and other hygiene policies for employees when they must be in the office. Our clinical study of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Japan experienced significant delays in enrollment due to the States of Emergency in effect in Japan for most of 2020, 2021, and 2022 covering Tokyo and other regions in response to an increased number of COVID-19 infections. With our expectation that COVID-19 in Japan would continue to impact negatively enrollment of patients in the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clinical trial, we elected to suspend trial enrollment, seek a</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development partner and consult with the Japanese regulatory authorities regarding the submission of patient data already accrued. In addition, our phase 2b trial of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has also experienced delays in enrolling patients as a result of COVID-19, as described above. In May 2022, we announced that enrollment in the FREEDOM Trial had been suspended and that we intend to conduct an interim analysis of the data from not less than the first 20 patients enrolled using the 6-month follow-up data to evaluate the efficacy and safety of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subjects with CMD and corroborate the ESCaPE-CMD study results.</w:t>
      </w:r>
    </w:p>
    <w:p>
      <w:pPr>
        <w:spacing w:after="0" w:line="3"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Beyond its impact on our development pipeline described above,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 continue to be negatively affected by COVID-19, which could materially and adversely affect our business, financial condition and results of operations. See “Risk Factors” in our 2021 Form 10-K for additional discussion of the potential adverse impact of the COVID-19 pandemic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to Three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June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7"/>
        </w:trPr>
        <w:tc>
          <w:tcPr>
            <w:tcW w:w="59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Change</w:t>
            </w:r>
          </w:p>
        </w:tc>
      </w:tr>
      <w:tr>
        <w:trPr>
          <w:trHeight w:val="195"/>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10"/>
        </w:trPr>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r>
      <w:tr>
        <w:trPr>
          <w:trHeight w:val="209"/>
        </w:trPr>
        <w:tc>
          <w:tcPr>
            <w:tcW w:w="5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0"/>
        </w:trPr>
        <w:tc>
          <w:tcPr>
            <w:tcW w:w="5900" w:type="dxa"/>
            <w:vAlign w:val="bottom"/>
          </w:tcPr>
          <w:p>
            <w:pPr>
              <w:ind w:left="100"/>
              <w:spacing w:after="0"/>
              <w:rPr>
                <w:sz w:val="20"/>
                <w:szCs w:val="20"/>
                <w:color w:val="auto"/>
              </w:rPr>
            </w:pPr>
            <w:r>
              <w:rPr>
                <w:rFonts w:ascii="Arial" w:cs="Arial" w:eastAsia="Arial" w:hAnsi="Arial"/>
                <w:sz w:val="16"/>
                <w:szCs w:val="16"/>
                <w:color w:val="auto"/>
              </w:rPr>
              <w:t>Loss from operations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(6,720)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(7,147)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04"/>
        </w:trPr>
        <w:tc>
          <w:tcPr>
            <w:tcW w:w="5900" w:type="dxa"/>
            <w:vAlign w:val="bottom"/>
          </w:tcPr>
          <w:p>
            <w:pPr>
              <w:ind w:left="220"/>
              <w:spacing w:after="0"/>
              <w:rPr>
                <w:sz w:val="20"/>
                <w:szCs w:val="20"/>
                <w:color w:val="auto"/>
              </w:rPr>
            </w:pPr>
            <w:r>
              <w:rPr>
                <w:rFonts w:ascii="Arial" w:cs="Arial" w:eastAsia="Arial" w:hAnsi="Arial"/>
                <w:sz w:val="16"/>
                <w:szCs w:val="16"/>
                <w:color w:val="auto"/>
              </w:rPr>
              <w:t>Benefit from income taxes</w:t>
            </w:r>
          </w:p>
        </w:tc>
        <w:tc>
          <w:tcPr>
            <w:tcW w:w="86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(1,508)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209"/>
        </w:trPr>
        <w:tc>
          <w:tcPr>
            <w:tcW w:w="5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(6,626)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(5,682)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Overall, net losses were $6.6 million for the three months ended June 30, 2022, compared to $5.7 million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For the three months ended June 30, 2022, operating expenses totaled $6.7 million compared to $7.1 million for the three months ended June 30, 2021, representing a decrease of 6%. Operating expenses comprised the following:</w:t>
      </w:r>
    </w:p>
    <w:p>
      <w:pPr>
        <w:spacing w:after="0" w:line="100" w:lineRule="exact"/>
        <w:rPr>
          <w:sz w:val="20"/>
          <w:szCs w:val="20"/>
          <w:color w:val="auto"/>
        </w:rPr>
      </w:pPr>
    </w:p>
    <w:p>
      <w:pPr>
        <w:jc w:val="both"/>
        <w:ind w:firstLine="326"/>
        <w:spacing w:after="0" w:line="249" w:lineRule="auto"/>
        <w:tabs>
          <w:tab w:leader="none" w:pos="63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Research and development expenses were approximately $3.2 million for the three months ended June 30, 2022, compared to $4.3 million for the three months ended June 30, 2021, representing a decrease of $1.1 million or 25%. This decrease was primarily due to a decrease in expenses associated with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revenue received from the Collaboration Agreement and one off recruiting expenses in the prior year. Research and development in both periods focused on the advancement of our ischemic repair platform and related to:</w:t>
      </w:r>
    </w:p>
    <w:p>
      <w:pPr>
        <w:spacing w:after="0" w:line="133" w:lineRule="exact"/>
        <w:rPr>
          <w:rFonts w:ascii="Arial" w:cs="Arial" w:eastAsia="Arial" w:hAnsi="Arial"/>
          <w:sz w:val="17"/>
          <w:szCs w:val="17"/>
          <w:color w:val="auto"/>
        </w:rPr>
      </w:pPr>
    </w:p>
    <w:p>
      <w:pPr>
        <w:ind w:left="1280" w:right="20" w:hanging="315"/>
        <w:spacing w:after="0" w:line="226" w:lineRule="auto"/>
        <w:tabs>
          <w:tab w:leader="none" w:pos="1283" w:val="left"/>
        </w:tabs>
        <w:numPr>
          <w:ilvl w:val="1"/>
          <w:numId w:val="7"/>
        </w:numPr>
        <w:rPr>
          <w:rFonts w:ascii="Arial" w:cs="Arial" w:eastAsia="Arial" w:hAnsi="Arial"/>
          <w:sz w:val="20"/>
          <w:szCs w:val="20"/>
          <w:color w:val="auto"/>
        </w:rPr>
      </w:pPr>
      <w:r>
        <w:rPr>
          <w:rFonts w:ascii="Arial" w:cs="Arial" w:eastAsia="Arial" w:hAnsi="Arial"/>
          <w:sz w:val="18"/>
          <w:szCs w:val="18"/>
          <w:color w:val="auto"/>
        </w:rPr>
        <w:t>expenses associated with our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Phase 2b study (the FREEDOM Trial) which commenced in the fourth quarter of 2020 with the first patient in the study treated in January 2021;</w:t>
      </w:r>
    </w:p>
    <w:p>
      <w:pPr>
        <w:spacing w:after="0" w:line="128" w:lineRule="exact"/>
        <w:rPr>
          <w:rFonts w:ascii="Arial" w:cs="Arial" w:eastAsia="Arial" w:hAnsi="Arial"/>
          <w:sz w:val="20"/>
          <w:szCs w:val="20"/>
          <w:color w:val="auto"/>
        </w:rPr>
      </w:pPr>
    </w:p>
    <w:p>
      <w:pPr>
        <w:jc w:val="both"/>
        <w:ind w:left="1280" w:hanging="315"/>
        <w:spacing w:after="0" w:line="255" w:lineRule="auto"/>
        <w:tabs>
          <w:tab w:leader="none" w:pos="1303" w:val="left"/>
        </w:tabs>
        <w:numPr>
          <w:ilvl w:val="1"/>
          <w:numId w:val="7"/>
        </w:numPr>
        <w:rPr>
          <w:rFonts w:ascii="Arial" w:cs="Arial" w:eastAsia="Arial" w:hAnsi="Arial"/>
          <w:sz w:val="17"/>
          <w:szCs w:val="17"/>
          <w:color w:val="auto"/>
        </w:rPr>
      </w:pPr>
      <w:r>
        <w:rPr>
          <w:rFonts w:ascii="Arial" w:cs="Arial" w:eastAsia="Arial" w:hAnsi="Arial"/>
          <w:sz w:val="17"/>
          <w:szCs w:val="17"/>
          <w:color w:val="auto"/>
        </w:rPr>
        <w:t>ongoing registration-eligible study expenses for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critical limb ischemia in Japan which focused on patient enrollment completion. The study's enrollment has been significantly curtailed by the COVID-19 pandemic's impact in Japan, including the States of Emergency that have persisted there for most of 2020, 2021 and 2022. Due to the significant and continued operational and financial burden incurred as a result of these COVID-19 delays, coupled with the complete unpredictability of the timing of site enrollment re-initiation, we will focus our efforts on consummating a partnership with a Japanese company in order to complete the study enrollment as well as to explore the possibility of submitting the existing data to PMDA under the SAKIGAKE designation;</w:t>
      </w:r>
    </w:p>
    <w:p>
      <w:pPr>
        <w:spacing w:after="0" w:line="110" w:lineRule="exact"/>
        <w:rPr>
          <w:rFonts w:ascii="Arial" w:cs="Arial" w:eastAsia="Arial" w:hAnsi="Arial"/>
          <w:sz w:val="17"/>
          <w:szCs w:val="17"/>
          <w:color w:val="auto"/>
        </w:rPr>
      </w:pPr>
    </w:p>
    <w:p>
      <w:pPr>
        <w:jc w:val="both"/>
        <w:ind w:left="1280" w:hanging="315"/>
        <w:spacing w:after="0" w:line="273" w:lineRule="auto"/>
        <w:tabs>
          <w:tab w:leader="none" w:pos="1303" w:val="left"/>
        </w:tabs>
        <w:numPr>
          <w:ilvl w:val="1"/>
          <w:numId w:val="7"/>
        </w:numPr>
        <w:rPr>
          <w:rFonts w:ascii="Arial" w:cs="Arial" w:eastAsia="Arial" w:hAnsi="Arial"/>
          <w:sz w:val="17"/>
          <w:szCs w:val="17"/>
          <w:color w:val="auto"/>
        </w:rPr>
      </w:pPr>
      <w:r>
        <w:rPr>
          <w:rFonts w:ascii="Arial" w:cs="Arial" w:eastAsia="Arial" w:hAnsi="Arial"/>
          <w:sz w:val="17"/>
          <w:szCs w:val="17"/>
          <w:color w:val="auto"/>
        </w:rPr>
        <w:t>expenses associated with the preparation of our filing of an IND and study start-up expenses for the clinical study of CLBS201 for treatment of diabetic kidney disease. A Phase 1b, open-label, proof-of-concept trial which includes six subjects in total. The trial commenced in the first quarter of 2022 with the first patient in the study treated in April 2022 and completed treatment for all six subjects during the third quarter of 2022. Top-line data is anticipated from all subjects by the first quarter of 2023.</w:t>
      </w:r>
    </w:p>
    <w:p>
      <w:pPr>
        <w:spacing w:after="0" w:line="108" w:lineRule="exact"/>
        <w:rPr>
          <w:rFonts w:ascii="Arial" w:cs="Arial" w:eastAsia="Arial" w:hAnsi="Arial"/>
          <w:sz w:val="17"/>
          <w:szCs w:val="17"/>
          <w:color w:val="auto"/>
        </w:rPr>
      </w:pPr>
    </w:p>
    <w:p>
      <w:pPr>
        <w:jc w:val="both"/>
        <w:ind w:left="640" w:hanging="314"/>
        <w:spacing w:after="0" w:line="303" w:lineRule="auto"/>
        <w:tabs>
          <w:tab w:leader="none" w:pos="635" w:val="left"/>
        </w:tabs>
        <w:numPr>
          <w:ilvl w:val="0"/>
          <w:numId w:val="7"/>
        </w:numPr>
        <w:rPr>
          <w:rFonts w:ascii="Arial" w:cs="Arial" w:eastAsia="Arial" w:hAnsi="Arial"/>
          <w:sz w:val="16"/>
          <w:szCs w:val="16"/>
          <w:i w:val="1"/>
          <w:iCs w:val="1"/>
          <w:color w:val="auto"/>
        </w:rPr>
      </w:pPr>
      <w:r>
        <w:rPr>
          <w:rFonts w:ascii="Arial" w:cs="Arial" w:eastAsia="Arial" w:hAnsi="Arial"/>
          <w:sz w:val="16"/>
          <w:szCs w:val="16"/>
          <w:color w:val="auto"/>
        </w:rPr>
        <w:t>General and administrative expenses were approximately $3.5 million for the three months ended June 30, 2022, compared to $2.8 million for the three months ended June 30, 2021, representing an increase of 24%. This increase was primarily due to an increase in fees associated with the proposed merger with Cend Therapeutics, Inc. Our general and administrative expenses focus on general corporate-related activities.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0"/>
        <w:spacing w:after="0" w:line="330"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45"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Total other income (expense) is comprised of investment income on cash, cash equivalents and marketable securities and a loss on sale related to the sale of our NJ NOLs.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June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7"/>
        </w:trPr>
        <w:tc>
          <w:tcPr>
            <w:tcW w:w="59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Change</w:t>
            </w:r>
          </w:p>
        </w:tc>
      </w:tr>
      <w:tr>
        <w:trPr>
          <w:trHeight w:val="195"/>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5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w:t>
            </w:r>
          </w:p>
        </w:tc>
      </w:tr>
      <w:tr>
        <w:trPr>
          <w:trHeight w:val="210"/>
        </w:trPr>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General and administrative</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6,823</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r>
      <w:tr>
        <w:trPr>
          <w:trHeight w:val="196"/>
        </w:trPr>
        <w:tc>
          <w:tcPr>
            <w:tcW w:w="5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13,340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w:t>
            </w:r>
          </w:p>
        </w:tc>
      </w:tr>
      <w:tr>
        <w:trPr>
          <w:trHeight w:val="210"/>
        </w:trPr>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 from operations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(13,340)</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(15,233)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r>
      <w:tr>
        <w:trPr>
          <w:trHeight w:val="19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0"/>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from income taxes</w:t>
            </w: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w:t>
            </w:r>
          </w:p>
        </w:tc>
      </w:tr>
      <w:tr>
        <w:trPr>
          <w:trHeight w:val="207"/>
        </w:trPr>
        <w:tc>
          <w:tcPr>
            <w:tcW w:w="5940" w:type="dxa"/>
            <w:vAlign w:val="bottom"/>
            <w:tcBorders>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6"/>
                <w:szCs w:val="16"/>
                <w:color w:val="auto"/>
              </w:rPr>
              <w:t>Net loss</w:t>
            </w: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(10,852)</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(13,745)</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Overall, net losses were $10.9 million for the six months ended June 30, 2022, compared to $13.7 million for the six months ended June 30, 2021.</w:t>
      </w:r>
    </w:p>
    <w:p>
      <w:pPr>
        <w:spacing w:after="0" w:line="175"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For the six months ended June 30, 2022, operating expenses totaled $13.3 million compared to $15.2 million for the six months ended June 30, 2021, representing a decrease of 12%. Operating expenses comprised the following:</w:t>
      </w:r>
    </w:p>
    <w:p>
      <w:pPr>
        <w:spacing w:after="0" w:line="114" w:lineRule="exact"/>
        <w:rPr>
          <w:sz w:val="20"/>
          <w:szCs w:val="20"/>
          <w:color w:val="auto"/>
        </w:rPr>
      </w:pPr>
    </w:p>
    <w:p>
      <w:pPr>
        <w:jc w:val="both"/>
        <w:ind w:firstLine="326"/>
        <w:spacing w:after="0" w:line="236" w:lineRule="auto"/>
        <w:tabs>
          <w:tab w:leader="none" w:pos="634"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Research and development expenses were approximately $6.5 million for the six months ended June 30, 2022, compared to $9.4 million for the six months ended June 30, 2021, representing a decrease of $2.9 million or 31%. This decrease was primarily due to a decrease in expenses associated with manufacturing start-up costs and process development expenses for our XOWNA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Phase 2b study (the FREEDOM Trial), a decrease in expenses associated with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revenue received from the Collaboration Agreement and one off recruiting expenses in the prior year. Research and development in both periods focused on the advancement of our ischemic repair platform and related to:</w:t>
      </w:r>
    </w:p>
    <w:p>
      <w:pPr>
        <w:spacing w:after="0" w:line="137" w:lineRule="exact"/>
        <w:rPr>
          <w:rFonts w:ascii="Arial" w:cs="Arial" w:eastAsia="Arial" w:hAnsi="Arial"/>
          <w:sz w:val="17"/>
          <w:szCs w:val="17"/>
          <w:color w:val="auto"/>
        </w:rPr>
      </w:pPr>
    </w:p>
    <w:p>
      <w:pPr>
        <w:ind w:left="1280" w:right="20" w:hanging="315"/>
        <w:spacing w:after="0" w:line="222" w:lineRule="auto"/>
        <w:tabs>
          <w:tab w:leader="none" w:pos="1283" w:val="left"/>
        </w:tabs>
        <w:numPr>
          <w:ilvl w:val="1"/>
          <w:numId w:val="8"/>
        </w:numPr>
        <w:rPr>
          <w:rFonts w:ascii="Arial" w:cs="Arial" w:eastAsia="Arial" w:hAnsi="Arial"/>
          <w:sz w:val="20"/>
          <w:szCs w:val="20"/>
          <w:color w:val="auto"/>
        </w:rPr>
      </w:pPr>
      <w:r>
        <w:rPr>
          <w:rFonts w:ascii="Arial" w:cs="Arial" w:eastAsia="Arial" w:hAnsi="Arial"/>
          <w:sz w:val="18"/>
          <w:szCs w:val="18"/>
          <w:color w:val="auto"/>
        </w:rPr>
        <w:t>expenses associated with our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Phase 2b study (the FREEDOM Trial) which commenced in the fourth quarter of 2020 with the first patient in the study treated in January 2021;</w:t>
      </w:r>
    </w:p>
    <w:p>
      <w:pPr>
        <w:spacing w:after="0" w:line="129" w:lineRule="exact"/>
        <w:rPr>
          <w:rFonts w:ascii="Arial" w:cs="Arial" w:eastAsia="Arial" w:hAnsi="Arial"/>
          <w:sz w:val="20"/>
          <w:szCs w:val="20"/>
          <w:color w:val="auto"/>
        </w:rPr>
      </w:pPr>
    </w:p>
    <w:p>
      <w:pPr>
        <w:jc w:val="both"/>
        <w:ind w:left="1280" w:hanging="315"/>
        <w:spacing w:after="0" w:line="255" w:lineRule="auto"/>
        <w:tabs>
          <w:tab w:leader="none" w:pos="1303" w:val="left"/>
        </w:tabs>
        <w:numPr>
          <w:ilvl w:val="1"/>
          <w:numId w:val="8"/>
        </w:numPr>
        <w:rPr>
          <w:rFonts w:ascii="Arial" w:cs="Arial" w:eastAsia="Arial" w:hAnsi="Arial"/>
          <w:sz w:val="17"/>
          <w:szCs w:val="17"/>
          <w:color w:val="auto"/>
        </w:rPr>
      </w:pPr>
      <w:r>
        <w:rPr>
          <w:rFonts w:ascii="Arial" w:cs="Arial" w:eastAsia="Arial" w:hAnsi="Arial"/>
          <w:sz w:val="17"/>
          <w:szCs w:val="17"/>
          <w:color w:val="auto"/>
        </w:rPr>
        <w:t>ongoing registration-eligible study expenses for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critical limb ischemia in Japan which focused on patient enrollment completion. The study's enrollment has been significantly curtailed by the COVID-19 pandemic's impact in Japan, including the States of Emergency that have persisted there for most of 2020, 2021 and 2022. Due to the significant and continued operational and financial burden incurred as a result of these COVID-19 delays, coupled with the complete unpredictability of the timing of site enrollment re-initiation, we will focus our efforts on consummating a partnership with a Japanese company in order to complete the study enrollment as well as to explore the possibility of submitting the existing data to PMDA under the SAKIGAKE designation; and</w:t>
      </w:r>
    </w:p>
    <w:p>
      <w:pPr>
        <w:spacing w:after="0" w:line="124" w:lineRule="exact"/>
        <w:rPr>
          <w:rFonts w:ascii="Arial" w:cs="Arial" w:eastAsia="Arial" w:hAnsi="Arial"/>
          <w:sz w:val="17"/>
          <w:szCs w:val="17"/>
          <w:color w:val="auto"/>
        </w:rPr>
      </w:pPr>
    </w:p>
    <w:p>
      <w:pPr>
        <w:jc w:val="both"/>
        <w:ind w:left="1280" w:hanging="315"/>
        <w:spacing w:after="0" w:line="273" w:lineRule="auto"/>
        <w:tabs>
          <w:tab w:leader="none" w:pos="1303" w:val="left"/>
        </w:tabs>
        <w:numPr>
          <w:ilvl w:val="1"/>
          <w:numId w:val="8"/>
        </w:numPr>
        <w:rPr>
          <w:rFonts w:ascii="Arial" w:cs="Arial" w:eastAsia="Arial" w:hAnsi="Arial"/>
          <w:sz w:val="17"/>
          <w:szCs w:val="17"/>
          <w:color w:val="auto"/>
        </w:rPr>
      </w:pPr>
      <w:r>
        <w:rPr>
          <w:rFonts w:ascii="Arial" w:cs="Arial" w:eastAsia="Arial" w:hAnsi="Arial"/>
          <w:sz w:val="17"/>
          <w:szCs w:val="17"/>
          <w:color w:val="auto"/>
        </w:rPr>
        <w:t>expenses associated with the preparation of our filing of an IND and study start-up expenses for the clinical study of CLBS201 for treatment of diabetic kidney disease. A Phase 1b, open-label, proof-of-concept trial which includes six subjects in total. The trial commenced in the first quarter of 2022 with the first patient in the study treated in April 2022 and completed treatment for all six subjects during the third quarter of 2022. Top-line data is anticipated from all subjects by the first quarter of 2023.</w:t>
      </w:r>
    </w:p>
    <w:p>
      <w:pPr>
        <w:spacing w:after="0" w:line="95" w:lineRule="exact"/>
        <w:rPr>
          <w:rFonts w:ascii="Arial" w:cs="Arial" w:eastAsia="Arial" w:hAnsi="Arial"/>
          <w:sz w:val="17"/>
          <w:szCs w:val="17"/>
          <w:color w:val="auto"/>
        </w:rPr>
      </w:pPr>
    </w:p>
    <w:p>
      <w:pPr>
        <w:jc w:val="both"/>
        <w:ind w:left="640" w:hanging="314"/>
        <w:spacing w:after="0" w:line="256" w:lineRule="auto"/>
        <w:tabs>
          <w:tab w:leader="none" w:pos="63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expenses were approximately $6.8 million for the six months ended June 30, 2022, compared to $5.8 million for the six months ended June 30, 2021, representing an increase of 17%. This increase was primarily due to an increase in fees associated with the review of potential strategic transactions and an increase in fees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right="20"/>
        <w:spacing w:after="0" w:line="266" w:lineRule="auto"/>
        <w:rPr>
          <w:sz w:val="20"/>
          <w:szCs w:val="20"/>
          <w:color w:val="auto"/>
        </w:rPr>
      </w:pPr>
      <w:r>
        <w:rPr>
          <w:rFonts w:ascii="Arial" w:cs="Arial" w:eastAsia="Arial" w:hAnsi="Arial"/>
          <w:sz w:val="18"/>
          <w:szCs w:val="18"/>
          <w:color w:val="auto"/>
        </w:rPr>
        <w:t>associated with the proposed merger with Cend Therapeutics, Inc. Our general and administrative expenses focus on general corporate-related activities.</w:t>
      </w:r>
    </w:p>
    <w:p>
      <w:pPr>
        <w:spacing w:after="0" w:line="114"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Total other income (expense) is comprised of investment income on cash, cash equivalents and marketable securities and a loss on sale related to the sale of our NJ NOLs.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4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In February 2022,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As of June 30, 2022, we had cash, cash equivalents and marketable securities of approximately $73.0 million, working capital of approximately $71.6 million, and stockholders’ equity of approximately $82.4 million.</w:t>
      </w:r>
    </w:p>
    <w:p>
      <w:pPr>
        <w:spacing w:after="0" w:line="10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six months ended June 30, 2022, we met our immediate cash requirements through existing cash balances. Additionally, we used equity and equity-linked instruments to pay for services and compensation.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or provided by, operating, investing and financing activities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206"/>
        </w:trPr>
        <w:tc>
          <w:tcPr>
            <w:tcW w:w="7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(12,602)</w:t>
            </w:r>
          </w:p>
        </w:tc>
      </w:tr>
      <w:tr>
        <w:trPr>
          <w:trHeight w:val="226"/>
        </w:trPr>
        <w:tc>
          <w:tcPr>
            <w:tcW w:w="75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(76,294)</w:t>
            </w:r>
          </w:p>
        </w:tc>
      </w:tr>
      <w:tr>
        <w:trPr>
          <w:trHeight w:val="22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85,319</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52"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Our cash used in operating activities during the six months ended June 30, 2022 was $10.7 million, which is comprised of (i) our net loss of $10.9 million, adjusted for non-cash expenses totaling $2.0 million (which includes adjustments for equity-based compensation, depreciation and amortization, and amortization/accretion of marketable securities), and (ii) changes in operating assets and liabilities using approximately $1.9 million.</w:t>
      </w:r>
    </w:p>
    <w:p>
      <w:pPr>
        <w:spacing w:after="0" w:line="104"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Our cash used in operating activities during the six months ended June 30, 2021 was $12.6 million, which is comprised of (i) our net loss of $13.7 million, adjusted for non-cash expenses totaling $2.0 million (which includes adjustments for equity-based compensation, depreciation and amortization, and amortization/accretion of marketable securities) and (ii) changes in operating assets and liabilities using approximately $0.9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provided by investing activities during the six months ended June 30, 2022 totaled $19.5 million and was primarily due to net sales of marketable securities (net of purchases of marketable securities).</w:t>
      </w:r>
    </w:p>
    <w:p>
      <w:pPr>
        <w:spacing w:after="0" w:line="114"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used in investing activities during the six months ended June 30, 2021 totaled $76.3 million and was primarily due to net purchases of marketable securities (net of sales of marketable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used in financing activities during the six months ended June 30, 2022 totaled $0.1 million, consisted primarily of tax withholding-related payments on net share settlement equity awards to employees.</w:t>
      </w:r>
    </w:p>
    <w:p>
      <w:pPr>
        <w:spacing w:after="0" w:line="114"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Our cash provided by financing activities during the six months ended June 30, 2021 totaled $85.3 million, primarily consisted of (i) net proceeds of $23.1 million through the issuance of common shares and warrants in our January 2021 private placement, (ii) net proceeds of $1.8 million in connection with warrant exercises, (iii) net proceeds of $60.6 million through the issuance of common shares and warrants in both of our February 2021 registered direct offerings, which was partially offset by tax withholding-related payments on net share settlement equity awards to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158"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absent any impact from the Merger, if consummated. Our future capital requirements are difficult to forecast and will depend on many factors, including our ability to consummate the Merger; if the Merger is not completed, the timing and nature of any other strategic transactions that we undertake; and our ability to establish and maintain collaboration partnerships, in-license/out-license or other similar arrangements and the financial terms of such agreements.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In order to provide Cend with capital for its development programs prior to the closing of the Merger, pursuant to the Purchase Agreement, we purchased 1,135,628 shares of Series D Preferred Stock of Cend for an aggregate purchase price of approximately $10.0 million.</w:t>
      </w:r>
    </w:p>
    <w:p>
      <w:pPr>
        <w:spacing w:after="0" w:line="90"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On June 4, 2021, we entered into an At The Market Offering Agreement (the “ATM Agreement”) with H.C. Wainwright &amp; Co., LLC (“HCW”), as sales agent, in connection with an “at the market offering” under which we from time to time may offer and sell shares of our common stock, having an aggregate offering price of up to $50.0 million. On February 18, 2022, we received a deficiency notice from Nasdaq informing us that we are not in compliance with the Minimum Bid Price Requirement. As such, we will not be able to sell shares under the ATM Agreement until we regain compliance, if ever. As of June 30, 2022, we had not issued any shares under the ATM Agreement. HCW is only obligated to make sales when we are in compliance with all Nasdaq listing standards.</w:t>
      </w:r>
    </w:p>
    <w:p>
      <w:pPr>
        <w:spacing w:after="0" w:line="11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In December 2021, we received preliminary approval from the NJEDA to participate in the NJ Technology Business Tax Certificate Transfer Program (the “Program”). The Program permits qualified companies to sell a percentage of their NJ NOLs to unrelated profitable corporations. On February 22, 2022, we received final approval from NJEDA to sell $2.5 million of our NJ NOL Tax Benefits, which were subsequently sold to a qualifying and approved buyer pursuant to the Program for net proceeds of $2.3 million.</w:t>
      </w:r>
    </w:p>
    <w:p>
      <w:pPr>
        <w:spacing w:after="0" w:line="126"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six months ended June 30, 2022, compared to those reported in our 2021 Form 10-K.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58"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As of June 30, 2022, we carried out an evaluation, with the participation of our management, including our principal executive officer and principal financial officer, of the effectiveness of our disclosure controls and procedures pursuant to Rule 13a-15(e) and 15d-15(e) of the Exchange Act. Based on that evaluation, our principal executive officer and principal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principal executive officer and principal financial officer, as appropriate to allow timely decisions regarding required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4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material changes to the disclosures previously reported in our 2021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Other than as set forth below, there have been no material changes to the risk factors previously reported in our 2021 Form 10-K. See the risk factors set forth in our 2021 Annual Report on Form 10-K under the caption “Item 1 A - Risk Factors.”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do not meet the continued listing standards of the Nasdaq Capital Market, which require a minimum closing bid price of $1.00 per share. Our failure to meet Nasdaq’s continued listing standards could result in the delisting of our common stock, negatively impact the price of our common stock and negatively impact our ability to raise additional capital.</w:t>
      </w:r>
    </w:p>
    <w:p>
      <w:pPr>
        <w:spacing w:after="0" w:line="110"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Our common stock is listed on the Nasdaq Capital Market. Nasdaq provides various continued listing requirements that a company must meet in order for its stock to continue trading on the Nasdaq Capital Market. Among these requirements is the requirement that the Company’s stock trades at a minimum closing bid price of $1.00 per share. Our stock has recently and consistently traded below $1.00 per share, including closing bid prices below $1.00 per share. On February 18, 2022, we received a deficiency letter from The Nasdaq Stock Market which provided us a grace period of 180 calendar days, or until August 17, 2022, to regain compliance with the minimum bid price requirement. We may achieve compliance during this 180-day period if the closing bid price of our common stock is at least $1.00 per share for a minimum of 10 consecutive business days before August 17, 2022. If we fail to regain compliance on or prior to August 17, 2022,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merger with Cend may not be consummated or may not deliver the anticipated benefits we expect.</w:t>
      </w:r>
    </w:p>
    <w:p>
      <w:pPr>
        <w:spacing w:after="0" w:line="15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There can be no assurance that the Merger will be completed in a timely manner or at all. In addition, even if the Merger is completed, there can be no assurance that the Merger will enhance stockholder value. The Merger Agreement is subject to many closing conditions and termination rights, as set forth in the Merger Agreement. If we do not close the Merger, our board of directors may elect to attempt to complete another strategic transaction similar to the Merger. Attempting to complete another strategic transaction similar to the Merger would be costly and time consuming, and we cannot make any assurances that a future strategic transaction will occur on commercially reasonable terms or at all. We are devoting a significant amount of our time and resources to consummating this transaction, however, there can be no assurance that such activities will result in the consummation of this transaction or that such transaction will deliver the anticipated benefits or enhance stockholder value.</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net cash may be less than the required amount at the closing of the Merger, which would result in our stockholders owning a smaller percentage of the combined organization and could even result in the termination of the Merger Agreement.</w:t>
      </w:r>
    </w:p>
    <w:p>
      <w:pPr>
        <w:spacing w:after="0" w:line="11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Merger Agreement includes a net cash requirement as a condition precedent for closing of the Merger. For purposes of the Merger Agreement, net cash is subject to certain reductions, including, without limitation, accounts payable, accrued liabilities (except those related to the Merger), current liabilities payable in cash, unpaid expenses related to the Merger and certain other unpaid obligations, including declared but unpaid cash dividends. In the event the amount of our net cash is smaller or such reductions are greater than anticipated, our stockholders could hold a significantly smaller portion of the combined organization.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 to complete the Merger may result in us paying a termination fee or expenses to Cend and could harm the price of our common stock and our future business and operations.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Merger is not completed, we are subject to the following risks: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right="40" w:hanging="315"/>
        <w:spacing w:after="0" w:line="266" w:lineRule="auto"/>
        <w:tabs>
          <w:tab w:leader="none" w:pos="127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Merger Agreement is terminated under certain circumstances, we will be required to pay certain transaction expenses of Cend, up to a maximum of $1.0 million;</w:t>
      </w:r>
    </w:p>
    <w:p>
      <w:pPr>
        <w:spacing w:after="0" w:line="153" w:lineRule="exact"/>
        <w:rPr>
          <w:rFonts w:ascii="Arial" w:cs="Arial" w:eastAsia="Arial" w:hAnsi="Arial"/>
          <w:sz w:val="18"/>
          <w:szCs w:val="18"/>
          <w:color w:val="auto"/>
        </w:rPr>
      </w:pPr>
    </w:p>
    <w:p>
      <w:pPr>
        <w:ind w:left="1280" w:right="80" w:hanging="315"/>
        <w:spacing w:after="0" w:line="233" w:lineRule="auto"/>
        <w:tabs>
          <w:tab w:leader="none" w:pos="1276" w:val="left"/>
        </w:tabs>
        <w:numPr>
          <w:ilvl w:val="0"/>
          <w:numId w:val="9"/>
        </w:numPr>
        <w:rPr>
          <w:rFonts w:ascii="Arial" w:cs="Arial" w:eastAsia="Arial" w:hAnsi="Arial"/>
          <w:sz w:val="21"/>
          <w:szCs w:val="21"/>
          <w:color w:val="auto"/>
        </w:rPr>
      </w:pPr>
      <w:r>
        <w:rPr>
          <w:rFonts w:ascii="Arial" w:cs="Arial" w:eastAsia="Arial" w:hAnsi="Arial"/>
          <w:sz w:val="18"/>
          <w:szCs w:val="18"/>
          <w:color w:val="auto"/>
        </w:rPr>
        <w:t>if the Merger Agreement is terminated under certain circumstances, we will be required to pay Cend a termination fee of $4.0 million, or in some circumstances reimburse the other party’s expenses up to a maximum of $1.0 million;</w:t>
      </w:r>
    </w:p>
    <w:p>
      <w:pPr>
        <w:spacing w:after="0" w:line="146" w:lineRule="exact"/>
        <w:rPr>
          <w:rFonts w:ascii="Arial" w:cs="Arial" w:eastAsia="Arial" w:hAnsi="Arial"/>
          <w:sz w:val="21"/>
          <w:szCs w:val="21"/>
          <w:color w:val="auto"/>
        </w:rPr>
      </w:pPr>
    </w:p>
    <w:p>
      <w:pPr>
        <w:ind w:left="1280" w:hanging="315"/>
        <w:spacing w:after="0"/>
        <w:tabs>
          <w:tab w:leader="none" w:pos="1280" w:val="left"/>
        </w:tabs>
        <w:numPr>
          <w:ilvl w:val="0"/>
          <w:numId w:val="9"/>
        </w:numPr>
        <w:rPr>
          <w:rFonts w:ascii="Arial" w:cs="Arial" w:eastAsia="Arial" w:hAnsi="Arial"/>
          <w:sz w:val="21"/>
          <w:szCs w:val="21"/>
          <w:color w:val="auto"/>
        </w:rPr>
      </w:pPr>
      <w:r>
        <w:rPr>
          <w:rFonts w:ascii="Arial" w:cs="Arial" w:eastAsia="Arial" w:hAnsi="Arial"/>
          <w:sz w:val="18"/>
          <w:szCs w:val="18"/>
          <w:color w:val="auto"/>
        </w:rPr>
        <w:t>the price of our common stock may decline and remain volatile; and</w:t>
      </w:r>
    </w:p>
    <w:p>
      <w:pPr>
        <w:spacing w:after="0" w:line="169" w:lineRule="exact"/>
        <w:rPr>
          <w:rFonts w:ascii="Arial" w:cs="Arial" w:eastAsia="Arial" w:hAnsi="Arial"/>
          <w:sz w:val="21"/>
          <w:szCs w:val="21"/>
          <w:color w:val="auto"/>
        </w:rPr>
      </w:pPr>
    </w:p>
    <w:p>
      <w:pPr>
        <w:ind w:left="1280" w:hanging="315"/>
        <w:spacing w:after="0"/>
        <w:tabs>
          <w:tab w:leader="none" w:pos="1280" w:val="left"/>
        </w:tabs>
        <w:numPr>
          <w:ilvl w:val="0"/>
          <w:numId w:val="9"/>
        </w:numPr>
        <w:rPr>
          <w:rFonts w:ascii="Arial" w:cs="Arial" w:eastAsia="Arial" w:hAnsi="Arial"/>
          <w:sz w:val="20"/>
          <w:szCs w:val="20"/>
          <w:color w:val="auto"/>
        </w:rPr>
      </w:pPr>
      <w:r>
        <w:rPr>
          <w:rFonts w:ascii="Arial" w:cs="Arial" w:eastAsia="Arial" w:hAnsi="Arial"/>
          <w:sz w:val="17"/>
          <w:szCs w:val="17"/>
          <w:color w:val="auto"/>
        </w:rPr>
        <w:t>certain of the costs related to the Merger, such as legal and accounting fees, must be paid even if the Merger is not completed.</w:t>
      </w:r>
    </w:p>
    <w:p>
      <w:pPr>
        <w:spacing w:after="0" w:line="13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In addition, if the Merger Agreement is terminated and our Board of Directors or the Cend Board of Directors determines to seek another business combination, there can be no assurance that we will be able to diversify and enhance our product candidate portfolio on terms equivalent or more attractive than the Merger.</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11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In general, either we or Cend can refuse to complete the Merger if there is a material adverse change affecting the other party between the date of the Merger Agreement, and the Closing. However, certain types of changes do not permit either party to refuse to complete the Merger, even if such change could be said to have a material adverse effect on us or Cend, including:</w:t>
      </w:r>
    </w:p>
    <w:p>
      <w:pPr>
        <w:spacing w:after="0" w:line="157" w:lineRule="exact"/>
        <w:rPr>
          <w:sz w:val="20"/>
          <w:szCs w:val="20"/>
          <w:color w:val="auto"/>
        </w:rPr>
      </w:pPr>
    </w:p>
    <w:p>
      <w:pPr>
        <w:ind w:left="1280" w:hanging="315"/>
        <w:spacing w:after="0"/>
        <w:tabs>
          <w:tab w:leader="none" w:pos="1280" w:val="left"/>
        </w:tabs>
        <w:numPr>
          <w:ilvl w:val="0"/>
          <w:numId w:val="10"/>
        </w:numPr>
        <w:rPr>
          <w:rFonts w:ascii="Arial" w:cs="Arial" w:eastAsia="Arial" w:hAnsi="Arial"/>
          <w:sz w:val="20"/>
          <w:szCs w:val="20"/>
          <w:color w:val="auto"/>
        </w:rPr>
      </w:pPr>
      <w:r>
        <w:rPr>
          <w:rFonts w:ascii="Arial" w:cs="Arial" w:eastAsia="Arial" w:hAnsi="Arial"/>
          <w:sz w:val="17"/>
          <w:szCs w:val="17"/>
          <w:color w:val="auto"/>
        </w:rPr>
        <w:t>any rejection or non-acceptance by a governmental body of a registration or filing relating to certain of our intellectual property rights;</w:t>
      </w:r>
    </w:p>
    <w:p>
      <w:pPr>
        <w:spacing w:after="0" w:line="161" w:lineRule="exact"/>
        <w:rPr>
          <w:rFonts w:ascii="Arial" w:cs="Arial" w:eastAsia="Arial" w:hAnsi="Arial"/>
          <w:sz w:val="20"/>
          <w:szCs w:val="20"/>
          <w:color w:val="auto"/>
        </w:rPr>
      </w:pPr>
    </w:p>
    <w:p>
      <w:pPr>
        <w:ind w:left="1280" w:hanging="315"/>
        <w:spacing w:after="0"/>
        <w:tabs>
          <w:tab w:leader="none" w:pos="1280"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taking of any action, or the failure to take any action, by either us or Cend required to comply with the terms of the Merger Agreement;</w:t>
      </w:r>
    </w:p>
    <w:p>
      <w:pPr>
        <w:spacing w:after="0" w:line="163" w:lineRule="exact"/>
        <w:rPr>
          <w:rFonts w:ascii="Arial" w:cs="Arial" w:eastAsia="Arial" w:hAnsi="Arial"/>
          <w:sz w:val="19"/>
          <w:szCs w:val="19"/>
          <w:color w:val="auto"/>
        </w:rPr>
      </w:pPr>
    </w:p>
    <w:p>
      <w:pPr>
        <w:ind w:left="1280" w:hanging="315"/>
        <w:spacing w:after="0"/>
        <w:tabs>
          <w:tab w:leader="none" w:pos="1280" w:val="left"/>
        </w:tabs>
        <w:numPr>
          <w:ilvl w:val="0"/>
          <w:numId w:val="10"/>
        </w:numPr>
        <w:rPr>
          <w:rFonts w:ascii="Arial" w:cs="Arial" w:eastAsia="Arial" w:hAnsi="Arial"/>
          <w:sz w:val="21"/>
          <w:szCs w:val="21"/>
          <w:color w:val="auto"/>
        </w:rPr>
      </w:pPr>
      <w:r>
        <w:rPr>
          <w:rFonts w:ascii="Arial" w:cs="Arial" w:eastAsia="Arial" w:hAnsi="Arial"/>
          <w:sz w:val="18"/>
          <w:szCs w:val="18"/>
          <w:color w:val="auto"/>
        </w:rPr>
        <w:t>any effect resulting from the announcement or pendency of the Merger or any related transactions;</w:t>
      </w:r>
    </w:p>
    <w:p>
      <w:pPr>
        <w:spacing w:after="0" w:line="175" w:lineRule="exact"/>
        <w:rPr>
          <w:rFonts w:ascii="Arial" w:cs="Arial" w:eastAsia="Arial" w:hAnsi="Arial"/>
          <w:sz w:val="21"/>
          <w:szCs w:val="21"/>
          <w:color w:val="auto"/>
        </w:rPr>
      </w:pPr>
    </w:p>
    <w:p>
      <w:pPr>
        <w:jc w:val="both"/>
        <w:ind w:left="1280" w:hanging="315"/>
        <w:spacing w:after="0" w:line="238" w:lineRule="auto"/>
        <w:tabs>
          <w:tab w:leader="none" w:pos="1276" w:val="left"/>
        </w:tabs>
        <w:numPr>
          <w:ilvl w:val="0"/>
          <w:numId w:val="10"/>
        </w:numPr>
        <w:rPr>
          <w:rFonts w:ascii="Arial" w:cs="Arial" w:eastAsia="Arial" w:hAnsi="Arial"/>
          <w:sz w:val="21"/>
          <w:szCs w:val="21"/>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162" w:lineRule="exact"/>
        <w:rPr>
          <w:rFonts w:ascii="Arial" w:cs="Arial" w:eastAsia="Arial" w:hAnsi="Arial"/>
          <w:sz w:val="21"/>
          <w:szCs w:val="21"/>
          <w:color w:val="auto"/>
        </w:rPr>
      </w:pPr>
    </w:p>
    <w:p>
      <w:pPr>
        <w:ind w:left="1280" w:hanging="315"/>
        <w:spacing w:after="0"/>
        <w:tabs>
          <w:tab w:leader="none" w:pos="1280" w:val="left"/>
        </w:tabs>
        <w:numPr>
          <w:ilvl w:val="0"/>
          <w:numId w:val="10"/>
        </w:numPr>
        <w:rPr>
          <w:rFonts w:ascii="Arial" w:cs="Arial" w:eastAsia="Arial" w:hAnsi="Arial"/>
          <w:sz w:val="19"/>
          <w:szCs w:val="19"/>
          <w:color w:val="auto"/>
        </w:rPr>
      </w:pPr>
      <w:r>
        <w:rPr>
          <w:rFonts w:ascii="Arial" w:cs="Arial" w:eastAsia="Arial" w:hAnsi="Arial"/>
          <w:sz w:val="16"/>
          <w:szCs w:val="16"/>
          <w:color w:val="auto"/>
        </w:rPr>
        <w:t>any change in accounting requirements or principles of any change in applicable laws, rules or regulations or the interpretation thereof;</w:t>
      </w:r>
    </w:p>
    <w:p>
      <w:pPr>
        <w:spacing w:after="0" w:line="163" w:lineRule="exact"/>
        <w:rPr>
          <w:rFonts w:ascii="Arial" w:cs="Arial" w:eastAsia="Arial" w:hAnsi="Arial"/>
          <w:sz w:val="19"/>
          <w:szCs w:val="19"/>
          <w:color w:val="auto"/>
        </w:rPr>
      </w:pPr>
    </w:p>
    <w:p>
      <w:pPr>
        <w:ind w:left="1280" w:hanging="315"/>
        <w:spacing w:after="0"/>
        <w:tabs>
          <w:tab w:leader="none" w:pos="1280" w:val="left"/>
        </w:tabs>
        <w:numPr>
          <w:ilvl w:val="0"/>
          <w:numId w:val="10"/>
        </w:numPr>
        <w:rPr>
          <w:rFonts w:ascii="Arial" w:cs="Arial" w:eastAsia="Arial" w:hAnsi="Arial"/>
          <w:sz w:val="21"/>
          <w:szCs w:val="21"/>
          <w:color w:val="auto"/>
        </w:rPr>
      </w:pPr>
      <w:r>
        <w:rPr>
          <w:rFonts w:ascii="Arial" w:cs="Arial" w:eastAsia="Arial" w:hAnsi="Arial"/>
          <w:sz w:val="18"/>
          <w:szCs w:val="18"/>
          <w:color w:val="auto"/>
        </w:rPr>
        <w:t>any general economic or political conditions or conditions generally affecting the industries in which we and Cend operate;</w:t>
      </w:r>
    </w:p>
    <w:p>
      <w:pPr>
        <w:spacing w:after="0" w:line="157" w:lineRule="exact"/>
        <w:rPr>
          <w:rFonts w:ascii="Arial" w:cs="Arial" w:eastAsia="Arial" w:hAnsi="Arial"/>
          <w:sz w:val="21"/>
          <w:szCs w:val="21"/>
          <w:color w:val="auto"/>
        </w:rPr>
      </w:pPr>
    </w:p>
    <w:p>
      <w:pPr>
        <w:ind w:left="1280" w:hanging="315"/>
        <w:spacing w:after="0"/>
        <w:tabs>
          <w:tab w:leader="none" w:pos="1280" w:val="left"/>
        </w:tabs>
        <w:numPr>
          <w:ilvl w:val="0"/>
          <w:numId w:val="10"/>
        </w:numPr>
        <w:rPr>
          <w:rFonts w:ascii="Arial" w:cs="Arial" w:eastAsia="Arial" w:hAnsi="Arial"/>
          <w:sz w:val="21"/>
          <w:szCs w:val="21"/>
          <w:color w:val="auto"/>
        </w:rPr>
      </w:pPr>
      <w:r>
        <w:rPr>
          <w:rFonts w:ascii="Arial" w:cs="Arial" w:eastAsia="Arial" w:hAnsi="Arial"/>
          <w:sz w:val="18"/>
          <w:szCs w:val="18"/>
          <w:color w:val="auto"/>
        </w:rPr>
        <w:t>any changes in research in development, clinical trials or other drug development activities conducted on our behalf;</w:t>
      </w:r>
    </w:p>
    <w:p>
      <w:pPr>
        <w:spacing w:after="0" w:line="144" w:lineRule="exact"/>
        <w:rPr>
          <w:rFonts w:ascii="Arial" w:cs="Arial" w:eastAsia="Arial" w:hAnsi="Arial"/>
          <w:sz w:val="21"/>
          <w:szCs w:val="21"/>
          <w:color w:val="auto"/>
        </w:rPr>
      </w:pPr>
    </w:p>
    <w:p>
      <w:pPr>
        <w:ind w:left="1280" w:hanging="315"/>
        <w:spacing w:after="0"/>
        <w:tabs>
          <w:tab w:leader="none" w:pos="1280" w:val="left"/>
        </w:tabs>
        <w:numPr>
          <w:ilvl w:val="0"/>
          <w:numId w:val="10"/>
        </w:numPr>
        <w:rPr>
          <w:rFonts w:ascii="Arial" w:cs="Arial" w:eastAsia="Arial" w:hAnsi="Arial"/>
          <w:sz w:val="21"/>
          <w:szCs w:val="21"/>
          <w:color w:val="auto"/>
        </w:rPr>
      </w:pPr>
      <w:r>
        <w:rPr>
          <w:rFonts w:ascii="Arial" w:cs="Arial" w:eastAsia="Arial" w:hAnsi="Arial"/>
          <w:sz w:val="18"/>
          <w:szCs w:val="18"/>
          <w:color w:val="auto"/>
        </w:rPr>
        <w:t>continued losses from our operations or decreases in our cash balance;</w:t>
      </w:r>
    </w:p>
    <w:p>
      <w:pPr>
        <w:spacing w:after="0" w:line="175" w:lineRule="exact"/>
        <w:rPr>
          <w:rFonts w:ascii="Arial" w:cs="Arial" w:eastAsia="Arial" w:hAnsi="Arial"/>
          <w:sz w:val="21"/>
          <w:szCs w:val="21"/>
          <w:color w:val="auto"/>
        </w:rPr>
      </w:pPr>
    </w:p>
    <w:p>
      <w:pPr>
        <w:ind w:left="1280" w:right="60" w:hanging="315"/>
        <w:spacing w:after="0" w:line="233" w:lineRule="auto"/>
        <w:tabs>
          <w:tab w:leader="none" w:pos="1276" w:val="left"/>
        </w:tabs>
        <w:numPr>
          <w:ilvl w:val="0"/>
          <w:numId w:val="10"/>
        </w:numPr>
        <w:rPr>
          <w:rFonts w:ascii="Arial" w:cs="Arial" w:eastAsia="Arial" w:hAnsi="Arial"/>
          <w:sz w:val="21"/>
          <w:szCs w:val="21"/>
          <w:color w:val="auto"/>
        </w:rPr>
      </w:pPr>
      <w:r>
        <w:rPr>
          <w:rFonts w:ascii="Arial" w:cs="Arial" w:eastAsia="Arial" w:hAnsi="Arial"/>
          <w:sz w:val="18"/>
          <w:szCs w:val="18"/>
          <w:color w:val="auto"/>
        </w:rPr>
        <w:t>any epidemics, pandemics, disease outbreaks, or other public health emergencies or the escalation or worsening thereof, including COVID-19;</w:t>
      </w:r>
    </w:p>
    <w:p>
      <w:pPr>
        <w:spacing w:after="0" w:line="176" w:lineRule="exact"/>
        <w:rPr>
          <w:rFonts w:ascii="Arial" w:cs="Arial" w:eastAsia="Arial" w:hAnsi="Arial"/>
          <w:sz w:val="21"/>
          <w:szCs w:val="21"/>
          <w:color w:val="auto"/>
        </w:rPr>
      </w:pPr>
    </w:p>
    <w:p>
      <w:pPr>
        <w:ind w:left="1280" w:hanging="315"/>
        <w:spacing w:after="0" w:line="233" w:lineRule="auto"/>
        <w:tabs>
          <w:tab w:leader="none" w:pos="1289" w:val="left"/>
        </w:tabs>
        <w:numPr>
          <w:ilvl w:val="0"/>
          <w:numId w:val="10"/>
        </w:numPr>
        <w:rPr>
          <w:rFonts w:ascii="Arial" w:cs="Arial" w:eastAsia="Arial" w:hAnsi="Arial"/>
          <w:sz w:val="21"/>
          <w:szCs w:val="21"/>
          <w:color w:val="auto"/>
        </w:rPr>
      </w:pPr>
      <w:r>
        <w:rPr>
          <w:rFonts w:ascii="Arial" w:cs="Arial" w:eastAsia="Arial" w:hAnsi="Arial"/>
          <w:sz w:val="18"/>
          <w:szCs w:val="18"/>
          <w:color w:val="auto"/>
        </w:rPr>
        <w:t>with respect to us, any change in the stock price or trading volume of our common stock excluding any underlying effect that may have caused such change; and</w:t>
      </w:r>
    </w:p>
    <w:p>
      <w:pPr>
        <w:spacing w:after="0" w:line="157" w:lineRule="exact"/>
        <w:rPr>
          <w:rFonts w:ascii="Arial" w:cs="Arial" w:eastAsia="Arial" w:hAnsi="Arial"/>
          <w:sz w:val="21"/>
          <w:szCs w:val="21"/>
          <w:color w:val="auto"/>
        </w:rPr>
      </w:pPr>
    </w:p>
    <w:p>
      <w:pPr>
        <w:ind w:left="1280" w:hanging="315"/>
        <w:spacing w:after="0"/>
        <w:tabs>
          <w:tab w:leader="none" w:pos="1280" w:val="left"/>
        </w:tabs>
        <w:numPr>
          <w:ilvl w:val="0"/>
          <w:numId w:val="10"/>
        </w:numPr>
        <w:rPr>
          <w:rFonts w:ascii="Arial" w:cs="Arial" w:eastAsia="Arial" w:hAnsi="Arial"/>
          <w:sz w:val="20"/>
          <w:szCs w:val="20"/>
          <w:color w:val="auto"/>
        </w:rPr>
      </w:pPr>
      <w:r>
        <w:rPr>
          <w:rFonts w:ascii="Arial" w:cs="Arial" w:eastAsia="Arial" w:hAnsi="Arial"/>
          <w:sz w:val="17"/>
          <w:szCs w:val="17"/>
          <w:color w:val="auto"/>
        </w:rPr>
        <w:t>with respect to Cend, any change in the cash position of Cend that results from operations in the ordinary course of business.</w:t>
      </w:r>
    </w:p>
    <w:p>
      <w:pPr>
        <w:spacing w:after="0" w:line="135"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If adverse changes occur and we and Cend still complete the Merger, the price of our common stock may suffer. This in turn may reduce the value of the Merger to our stockholders.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following the Merger may decline as a result of the Merger.</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decline as a result of the Merger for a number of reasons if:</w:t>
      </w:r>
    </w:p>
    <w:p>
      <w:pPr>
        <w:spacing w:after="0" w:line="162" w:lineRule="exact"/>
        <w:rPr>
          <w:sz w:val="20"/>
          <w:szCs w:val="20"/>
          <w:color w:val="auto"/>
        </w:rPr>
      </w:pPr>
    </w:p>
    <w:p>
      <w:pPr>
        <w:ind w:left="1280" w:hanging="315"/>
        <w:spacing w:after="0"/>
        <w:tabs>
          <w:tab w:leader="none" w:pos="1280" w:val="left"/>
        </w:tabs>
        <w:numPr>
          <w:ilvl w:val="0"/>
          <w:numId w:val="11"/>
        </w:numPr>
        <w:rPr>
          <w:rFonts w:ascii="Arial" w:cs="Arial" w:eastAsia="Arial" w:hAnsi="Arial"/>
          <w:sz w:val="21"/>
          <w:szCs w:val="21"/>
          <w:color w:val="auto"/>
        </w:rPr>
      </w:pPr>
      <w:r>
        <w:rPr>
          <w:rFonts w:ascii="Arial" w:cs="Arial" w:eastAsia="Arial" w:hAnsi="Arial"/>
          <w:sz w:val="18"/>
          <w:szCs w:val="18"/>
          <w:color w:val="auto"/>
        </w:rPr>
        <w:t>investors react negatively to the prospects of the combined organization’s business and prospects from the Merger;</w:t>
      </w:r>
    </w:p>
    <w:p>
      <w:pPr>
        <w:spacing w:after="0" w:line="175" w:lineRule="exact"/>
        <w:rPr>
          <w:rFonts w:ascii="Arial" w:cs="Arial" w:eastAsia="Arial" w:hAnsi="Arial"/>
          <w:sz w:val="21"/>
          <w:szCs w:val="21"/>
          <w:color w:val="auto"/>
        </w:rPr>
      </w:pPr>
    </w:p>
    <w:p>
      <w:pPr>
        <w:ind w:left="1280" w:hanging="315"/>
        <w:spacing w:after="0" w:line="233" w:lineRule="auto"/>
        <w:tabs>
          <w:tab w:leader="none" w:pos="1302"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 effect of the Merger on the combined organization’s business and prospects is not consistent with the expectations of financial or industry analysts; or</w:t>
      </w:r>
    </w:p>
    <w:p>
      <w:pPr>
        <w:spacing w:after="0" w:line="176" w:lineRule="exact"/>
        <w:rPr>
          <w:rFonts w:ascii="Arial" w:cs="Arial" w:eastAsia="Arial" w:hAnsi="Arial"/>
          <w:sz w:val="21"/>
          <w:szCs w:val="21"/>
          <w:color w:val="auto"/>
        </w:rPr>
      </w:pPr>
    </w:p>
    <w:p>
      <w:pPr>
        <w:ind w:left="1280" w:hanging="315"/>
        <w:spacing w:after="0" w:line="233" w:lineRule="auto"/>
        <w:tabs>
          <w:tab w:leader="none" w:pos="1289"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 combined organization does not achieve the perceived benefits of the Merger as rapidly or to the extent anticipated by financial or industry analysts.</w:t>
      </w:r>
    </w:p>
    <w:p>
      <w:pPr>
        <w:spacing w:after="0" w:line="124"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i w:val="1"/>
          <w:iCs w:val="1"/>
          <w:color w:val="auto"/>
        </w:rPr>
        <w:t>Our stockholders may not realize a benefit from the Merger commensurate with the ownership dilution they will experience in connection with the Merger.</w:t>
      </w:r>
    </w:p>
    <w:p>
      <w:pPr>
        <w:spacing w:after="0" w:line="114"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If the combined organization is unable to realize the full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organization is able to realize only part of the strategic and financial benefits currently anticipated from the Merger.</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stockholders will have a reduced ownership and voting interest in, and will exercise less influence over the management of, the combined organization following the completion of the Merger as compared to their current ownership and voting interests.</w:t>
      </w:r>
    </w:p>
    <w:p>
      <w:pPr>
        <w:spacing w:after="0" w:line="10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After the completion of the Merger, our current stockholders will own a smaller percentage of the combined organization than their ownership prior to the Merger. Immediately after the Merger, our stockholders, whose shares of common stock will remain outstanding after the Merger, will own approximately 50% of the fully-diluted common stock of the combined organization, excluding out-of-the-money securities. These estimates are based on the anticipated exchange ratio and are subject to adjustment.</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During the pendency of the Merger, we may not be able to enter into a business combination with another party at a favorable price because of restrictions in the Merger Agreement, which could adversely affect our respective businesses.</w:t>
      </w:r>
    </w:p>
    <w:p>
      <w:pPr>
        <w:spacing w:after="0" w:line="114"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Covenants in the Merger Agreement impede our ability to make acquisitions, subject to certain exceptions relating to fiduciary duties, or to complete other transactions that are not in the ordinary course of business pending completion of the Merger. As a result, if the Merger is not completed, we may be at a disadvantage to our competitors during such period. In addition, while the Merger Agreement is in effect, we are generally prohibited from soliciting, initiating, encouraging or entering into certain extraordinary transactions, such as merger, sale of assets or other business combination outside the ordinary course of business with any third party, subject to certain exceptions relating to fiduciary duties. Any such transactions could be favorable to our stockholders.</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14"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terms of the Merger Agreement prohibit us from soliciting alternative takeover proposals or cooperating with persons making unsolicited takeover proposals, except in limited circumstances when our board of directors determines in good faith that an unsolicited alternative takeover proposal is or is reasonably likely to be inconsistent with the board’s fiduciary duties. Moreover, even if we receive what our board of directors determines is a superior proposal, the Merger Agreement does not permit us to terminate the Merger Agreement to enter into a superior proposal.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of the Merger are not met, the Merger will not occur.</w:t>
      </w:r>
    </w:p>
    <w:p>
      <w:pPr>
        <w:spacing w:after="0" w:line="13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Even if the Merger is approved by our stockholders and Cend Stockholders, specified conditions must be satisfied or waived to complete the Merger. These conditions are set forth in the Merger Agreement, which is attached to this Quarterly Report as Exhibit 2.1. We cannot assure you that all of the conditions will be satisfied or waived. If the conditions are not satisfied or waived, the Merger will not occur or will be delayed, and we may lose some or all of the intended benefits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140" w:type="dxa"/>
            <w:vAlign w:val="bottom"/>
            <w:gridSpan w:val="3"/>
          </w:tcPr>
          <w:p>
            <w:pPr>
              <w:ind w:left="1160"/>
              <w:spacing w:after="0"/>
              <w:rPr>
                <w:sz w:val="20"/>
                <w:szCs w:val="20"/>
                <w:color w:val="auto"/>
              </w:rPr>
            </w:pPr>
            <w:r>
              <w:rPr>
                <w:rFonts w:ascii="Arial" w:cs="Arial" w:eastAsia="Arial" w:hAnsi="Arial"/>
                <w:sz w:val="18"/>
                <w:szCs w:val="18"/>
                <w:b w:val="1"/>
                <w:bCs w:val="1"/>
                <w:color w:val="auto"/>
              </w:rPr>
              <w:t>CALADRIUS BIOSCIENCES, INC.</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August 4, 2022</w:t>
            </w:r>
          </w:p>
        </w:tc>
        <w:tc>
          <w:tcPr>
            <w:tcW w:w="5140" w:type="dxa"/>
            <w:vAlign w:val="bottom"/>
            <w:gridSpan w:val="3"/>
          </w:tcPr>
          <w:p>
            <w:pPr>
              <w:ind w:left="1160"/>
              <w:spacing w:after="0" w:line="201" w:lineRule="exact"/>
              <w:rPr>
                <w:sz w:val="20"/>
                <w:szCs w:val="20"/>
                <w:color w:val="auto"/>
              </w:rPr>
            </w:pPr>
            <w:r>
              <w:rPr>
                <w:rFonts w:ascii="Arial" w:cs="Arial" w:eastAsia="Arial" w:hAnsi="Arial"/>
                <w:sz w:val="18"/>
                <w:szCs w:val="18"/>
                <w:color w:val="auto"/>
              </w:rPr>
              <w:t>By: /s/ David J. Mazzo, PhD</w:t>
            </w:r>
          </w:p>
        </w:tc>
      </w:tr>
      <w:tr>
        <w:trPr>
          <w:trHeight w:val="20"/>
        </w:trPr>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1"/>
        </w:trPr>
        <w:tc>
          <w:tcPr>
            <w:tcW w:w="2260" w:type="dxa"/>
            <w:vAlign w:val="bottom"/>
          </w:tcPr>
          <w:p>
            <w:pPr>
              <w:spacing w:after="0"/>
              <w:rPr>
                <w:sz w:val="19"/>
                <w:szCs w:val="19"/>
                <w:color w:val="auto"/>
              </w:rPr>
            </w:pPr>
          </w:p>
        </w:tc>
        <w:tc>
          <w:tcPr>
            <w:tcW w:w="5140" w:type="dxa"/>
            <w:vAlign w:val="bottom"/>
            <w:gridSpan w:val="3"/>
          </w:tcPr>
          <w:p>
            <w:pPr>
              <w:ind w:left="1160"/>
              <w:spacing w:after="0"/>
              <w:rPr>
                <w:sz w:val="20"/>
                <w:szCs w:val="20"/>
                <w:color w:val="auto"/>
              </w:rPr>
            </w:pPr>
            <w:r>
              <w:rPr>
                <w:rFonts w:ascii="Arial" w:cs="Arial" w:eastAsia="Arial" w:hAnsi="Arial"/>
                <w:sz w:val="18"/>
                <w:szCs w:val="18"/>
                <w:color w:val="auto"/>
              </w:rPr>
              <w:t>Name: David J. Mazzo, PhD</w:t>
            </w:r>
          </w:p>
        </w:tc>
      </w:tr>
      <w:tr>
        <w:trPr>
          <w:trHeight w:val="213"/>
        </w:trPr>
        <w:tc>
          <w:tcPr>
            <w:tcW w:w="2260" w:type="dxa"/>
            <w:vAlign w:val="bottom"/>
          </w:tcPr>
          <w:p>
            <w:pPr>
              <w:spacing w:after="0"/>
              <w:rPr>
                <w:sz w:val="18"/>
                <w:szCs w:val="18"/>
                <w:color w:val="auto"/>
              </w:rPr>
            </w:pPr>
          </w:p>
        </w:tc>
        <w:tc>
          <w:tcPr>
            <w:tcW w:w="5140" w:type="dxa"/>
            <w:vAlign w:val="bottom"/>
            <w:gridSpan w:val="3"/>
          </w:tcPr>
          <w:p>
            <w:pPr>
              <w:ind w:left="1160"/>
              <w:spacing w:after="0"/>
              <w:rPr>
                <w:sz w:val="20"/>
                <w:szCs w:val="20"/>
                <w:color w:val="auto"/>
              </w:rPr>
            </w:pPr>
            <w:r>
              <w:rPr>
                <w:rFonts w:ascii="Arial" w:cs="Arial" w:eastAsia="Arial" w:hAnsi="Arial"/>
                <w:sz w:val="18"/>
                <w:szCs w:val="18"/>
                <w:color w:val="auto"/>
              </w:rPr>
              <w:t>Title: President and Chief Executive Officer</w:t>
            </w:r>
          </w:p>
        </w:tc>
      </w:tr>
      <w:tr>
        <w:trPr>
          <w:trHeight w:val="213"/>
        </w:trPr>
        <w:tc>
          <w:tcPr>
            <w:tcW w:w="2260" w:type="dxa"/>
            <w:vAlign w:val="bottom"/>
          </w:tcPr>
          <w:p>
            <w:pPr>
              <w:spacing w:after="0"/>
              <w:rPr>
                <w:sz w:val="18"/>
                <w:szCs w:val="18"/>
                <w:color w:val="auto"/>
              </w:rPr>
            </w:pPr>
          </w:p>
        </w:tc>
        <w:tc>
          <w:tcPr>
            <w:tcW w:w="5140" w:type="dxa"/>
            <w:vAlign w:val="bottom"/>
            <w:gridSpan w:val="3"/>
          </w:tcPr>
          <w:p>
            <w:pPr>
              <w:ind w:left="1160"/>
              <w:spacing w:after="0"/>
              <w:rPr>
                <w:sz w:val="20"/>
                <w:szCs w:val="20"/>
                <w:color w:val="auto"/>
              </w:rPr>
            </w:pPr>
            <w:r>
              <w:rPr>
                <w:rFonts w:ascii="Arial" w:cs="Arial" w:eastAsia="Arial" w:hAnsi="Arial"/>
                <w:sz w:val="18"/>
                <w:szCs w:val="18"/>
                <w:color w:val="auto"/>
                <w:w w:val="92"/>
              </w:rPr>
              <w:t>(Principal Executive Officer, Principal Financial Officer</w:t>
            </w:r>
          </w:p>
        </w:tc>
      </w:tr>
      <w:tr>
        <w:trPr>
          <w:trHeight w:val="224"/>
        </w:trPr>
        <w:tc>
          <w:tcPr>
            <w:tcW w:w="2260" w:type="dxa"/>
            <w:vAlign w:val="bottom"/>
          </w:tcPr>
          <w:p>
            <w:pPr>
              <w:spacing w:after="0"/>
              <w:rPr>
                <w:sz w:val="19"/>
                <w:szCs w:val="19"/>
                <w:color w:val="auto"/>
              </w:rPr>
            </w:pPr>
          </w:p>
        </w:tc>
        <w:tc>
          <w:tcPr>
            <w:tcW w:w="5140" w:type="dxa"/>
            <w:vAlign w:val="bottom"/>
            <w:gridSpan w:val="3"/>
          </w:tcPr>
          <w:p>
            <w:pPr>
              <w:ind w:left="120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Index</w:t>
        </w:r>
      </w:hyperlink>
    </w:p>
    <w:p>
      <w:pPr>
        <w:sectPr>
          <w:pgSz w:w="11900" w:h="16838" w:orient="portrait"/>
          <w:cols w:equalWidth="0" w:num="1">
            <w:col w:w="10260"/>
          </w:cols>
          <w:pgMar w:left="320" w:top="12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00"/>
        <w:spacing w:after="0"/>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2.1</w:t>
        </w:r>
      </w:hyperlink>
    </w:p>
    <w:p>
      <w:pPr>
        <w:spacing w:after="0" w:line="345" w:lineRule="exact"/>
        <w:rPr>
          <w:sz w:val="20"/>
          <w:szCs w:val="20"/>
          <w:color w:val="auto"/>
        </w:rPr>
      </w:pPr>
    </w:p>
    <w:p>
      <w:pPr>
        <w:ind w:left="1300"/>
        <w:spacing w:after="0"/>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2.2</w:t>
        </w:r>
      </w:hyperlink>
    </w:p>
    <w:p>
      <w:pPr>
        <w:spacing w:after="0" w:line="265" w:lineRule="exact"/>
        <w:rPr>
          <w:sz w:val="20"/>
          <w:szCs w:val="20"/>
          <w:color w:val="auto"/>
        </w:rPr>
      </w:pPr>
    </w:p>
    <w:p>
      <w:pPr>
        <w:ind w:left="1300"/>
        <w:spacing w:after="0"/>
        <w:rPr>
          <w:rFonts w:ascii="Arial" w:cs="Arial" w:eastAsia="Arial" w:hAnsi="Arial"/>
          <w:sz w:val="14"/>
          <w:szCs w:val="14"/>
          <w:u w:val="single" w:color="auto"/>
          <w:color w:val="0000FF"/>
        </w:rPr>
      </w:pPr>
      <w:hyperlink r:id="rId48">
        <w:r>
          <w:rPr>
            <w:rFonts w:ascii="Arial" w:cs="Arial" w:eastAsia="Arial" w:hAnsi="Arial"/>
            <w:sz w:val="14"/>
            <w:szCs w:val="14"/>
            <w:u w:val="single" w:color="auto"/>
            <w:color w:val="0000FF"/>
          </w:rPr>
          <w:t>2.3</w:t>
        </w:r>
      </w:hyperlink>
    </w:p>
    <w:p>
      <w:pPr>
        <w:spacing w:after="0" w:line="332" w:lineRule="exact"/>
        <w:rPr>
          <w:sz w:val="20"/>
          <w:szCs w:val="20"/>
          <w:color w:val="auto"/>
        </w:rPr>
      </w:pPr>
    </w:p>
    <w:p>
      <w:pPr>
        <w:ind w:left="1300"/>
        <w:spacing w:after="0"/>
        <w:rPr>
          <w:rFonts w:ascii="Arial" w:cs="Arial" w:eastAsia="Arial" w:hAnsi="Arial"/>
          <w:sz w:val="14"/>
          <w:szCs w:val="14"/>
          <w:u w:val="single" w:color="auto"/>
          <w:color w:val="0000FF"/>
        </w:rPr>
      </w:pPr>
      <w:hyperlink r:id="rId49">
        <w:r>
          <w:rPr>
            <w:rFonts w:ascii="Arial" w:cs="Arial" w:eastAsia="Arial" w:hAnsi="Arial"/>
            <w:sz w:val="14"/>
            <w:szCs w:val="14"/>
            <w:u w:val="single" w:color="auto"/>
            <w:color w:val="0000FF"/>
          </w:rPr>
          <w:t>2.4</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CALADRIUS BIOSCIENCES,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10-Q</w:t>
      </w:r>
    </w:p>
    <w:p>
      <w:pPr>
        <w:spacing w:after="0" w:line="22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32385</wp:posOffset>
            </wp:positionV>
            <wp:extent cx="5883275" cy="363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883275" cy="363220"/>
                    </a:xfrm>
                    <a:prstGeom prst="rect">
                      <a:avLst/>
                    </a:prstGeom>
                    <a:noFill/>
                  </pic:spPr>
                </pic:pic>
              </a:graphicData>
            </a:graphic>
          </wp:anchor>
        </w:drawing>
      </w:r>
    </w:p>
    <w:p>
      <w:pPr>
        <w:spacing w:after="0" w:line="34" w:lineRule="exact"/>
        <w:rPr>
          <w:sz w:val="20"/>
          <w:szCs w:val="20"/>
          <w:color w:val="auto"/>
        </w:rPr>
      </w:pPr>
    </w:p>
    <w:p>
      <w:pPr>
        <w:ind w:right="100"/>
        <w:spacing w:after="0" w:line="227" w:lineRule="auto"/>
        <w:rPr>
          <w:sz w:val="20"/>
          <w:szCs w:val="20"/>
          <w:color w:val="auto"/>
        </w:rPr>
      </w:pPr>
      <w:r>
        <w:rPr>
          <w:rFonts w:ascii="Arial" w:cs="Arial" w:eastAsia="Arial" w:hAnsi="Arial"/>
          <w:sz w:val="16"/>
          <w:szCs w:val="16"/>
          <w:color w:val="auto"/>
        </w:rPr>
        <w:t>Agreement and Plan of Merger and Reorganization, dated April 26, 2022, among Caladrius Biosciences, Inc., CS Cedar Merger Sub, Inc., and Cend Therapeutics, Inc. (filed as Exhibit 2.1 to the Company's Current Report on Form 8-K, filed with the SEC on April 27, 2022).</w:t>
      </w:r>
    </w:p>
    <w:p>
      <w:pPr>
        <w:spacing w:after="0" w:line="50"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Form of Support Agreement, by and between Caladrius Biosciences, Inc. and certain securityholders of Cend Therapeutics, Inc. (filed as Exhibit 2.2 to the Company's Current Report on Form 8-K, filed with the SEC on 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10795</wp:posOffset>
            </wp:positionV>
            <wp:extent cx="5883275" cy="270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883275" cy="270510"/>
                    </a:xfrm>
                    <a:prstGeom prst="rect">
                      <a:avLst/>
                    </a:prstGeom>
                    <a:noFill/>
                  </pic:spPr>
                </pic:pic>
              </a:graphicData>
            </a:graphic>
          </wp:anchor>
        </w:drawing>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Form of Support Agreement, by and between Cend Therapeutics, Inc. and certain securityholders of Caladrius Biosciences, Inc. (filed as Exhibit 2.3 to the Company's Current Report on Form 8-K, filed with the SEC on April 27, 2022).</w:t>
      </w:r>
    </w:p>
    <w:p>
      <w:pPr>
        <w:spacing w:after="0" w:line="21"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color w:val="auto"/>
        </w:rPr>
        <w:t>Form of Lock-Up Agreement, by and between Caladrius Biosciences, Inc. and certain securityholders of Caladrius Biosciences, Inc. and Cend Therapeutics, Inc. (filed as Exhibit 2.4 to the Company's Current Report on Form 8-K, filed with the SEC on April 27, 2022).</w:t>
      </w:r>
    </w:p>
    <w:p>
      <w:pPr>
        <w:spacing w:after="0" w:line="26" w:lineRule="exact"/>
        <w:rPr>
          <w:sz w:val="20"/>
          <w:szCs w:val="20"/>
          <w:color w:val="auto"/>
        </w:rPr>
      </w:pPr>
    </w:p>
    <w:p>
      <w:pPr>
        <w:sectPr>
          <w:pgSz w:w="11900" w:h="16838" w:orient="portrait"/>
          <w:cols w:equalWidth="0" w:num="2">
            <w:col w:w="1500" w:space="660"/>
            <w:col w:w="8100"/>
          </w:cols>
          <w:pgMar w:left="320" w:top="121" w:right="1319" w:bottom="1440" w:gutter="0" w:footer="0" w:header="0"/>
          <w:type w:val="continuous"/>
        </w:sectPr>
      </w:pPr>
    </w:p>
    <w:tbl>
      <w:tblPr>
        <w:tblLayout w:type="fixed"/>
        <w:tblInd w:w="1000" w:type="dxa"/>
        <w:tblCellMar>
          <w:top w:w="0" w:type="dxa"/>
          <w:left w:w="0" w:type="dxa"/>
          <w:bottom w:w="0" w:type="dxa"/>
          <w:right w:w="0" w:type="dxa"/>
        </w:tblCellMar>
      </w:tblPr>
      <w:tr>
        <w:trPr>
          <w:trHeight w:val="184"/>
        </w:trPr>
        <w:tc>
          <w:tcPr>
            <w:tcW w:w="860" w:type="dxa"/>
            <w:vAlign w:val="bottom"/>
            <w:gridSpan w:val="3"/>
            <w:vMerge w:val="restart"/>
            <w:shd w:val="clear" w:color="auto" w:fill="CCEEFF"/>
          </w:tcPr>
          <w:p>
            <w:pPr>
              <w:jc w:val="right"/>
              <w:ind w:right="320"/>
              <w:spacing w:after="0"/>
              <w:rPr>
                <w:rFonts w:ascii="Arial" w:cs="Arial" w:eastAsia="Arial" w:hAnsi="Arial"/>
                <w:sz w:val="16"/>
                <w:szCs w:val="16"/>
                <w:color w:val="0000FF"/>
              </w:rPr>
            </w:pPr>
            <w:hyperlink r:id="rId52">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84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Series D Preferred Stock Purchase Agreement, dated April 26, 2022, among Caladrius Biosciences, Inc. and Cend</w:t>
            </w:r>
          </w:p>
        </w:tc>
        <w:tc>
          <w:tcPr>
            <w:tcW w:w="0" w:type="dxa"/>
            <w:vAlign w:val="bottom"/>
          </w:tcPr>
          <w:p>
            <w:pPr>
              <w:spacing w:after="0"/>
              <w:rPr>
                <w:sz w:val="1"/>
                <w:szCs w:val="1"/>
                <w:color w:val="auto"/>
              </w:rPr>
            </w:pPr>
          </w:p>
        </w:tc>
      </w:tr>
      <w:tr>
        <w:trPr>
          <w:trHeight w:val="170"/>
        </w:trPr>
        <w:tc>
          <w:tcPr>
            <w:tcW w:w="860" w:type="dxa"/>
            <w:vAlign w:val="bottom"/>
            <w:gridSpan w:val="3"/>
            <w:vMerge w:val="continue"/>
            <w:shd w:val="clear" w:color="auto" w:fill="CCEEFF"/>
          </w:tcPr>
          <w:p>
            <w:pPr>
              <w:spacing w:after="0"/>
              <w:rPr>
                <w:sz w:val="14"/>
                <w:szCs w:val="14"/>
                <w:color w:val="auto"/>
              </w:rPr>
            </w:pPr>
          </w:p>
        </w:tc>
        <w:tc>
          <w:tcPr>
            <w:tcW w:w="8400" w:type="dxa"/>
            <w:vAlign w:val="bottom"/>
            <w:shd w:val="clear" w:color="auto" w:fill="CCEEFF"/>
          </w:tcPr>
          <w:p>
            <w:pPr>
              <w:ind w:left="300"/>
              <w:spacing w:after="0" w:line="170" w:lineRule="exact"/>
              <w:rPr>
                <w:sz w:val="20"/>
                <w:szCs w:val="20"/>
                <w:color w:val="auto"/>
              </w:rPr>
            </w:pPr>
            <w:r>
              <w:rPr>
                <w:rFonts w:ascii="Arial" w:cs="Arial" w:eastAsia="Arial" w:hAnsi="Arial"/>
                <w:sz w:val="16"/>
                <w:szCs w:val="16"/>
                <w:color w:val="auto"/>
                <w:w w:val="97"/>
              </w:rPr>
              <w:t>Therapeutics, Inc. (filed as Exhibit 10.1 to the Company's Current Report on Form 8-K, filed with the SEC on April 27,</w:t>
            </w:r>
          </w:p>
        </w:tc>
        <w:tc>
          <w:tcPr>
            <w:tcW w:w="0" w:type="dxa"/>
            <w:vAlign w:val="bottom"/>
          </w:tcPr>
          <w:p>
            <w:pPr>
              <w:spacing w:after="0"/>
              <w:rPr>
                <w:sz w:val="1"/>
                <w:szCs w:val="1"/>
                <w:color w:val="auto"/>
              </w:rPr>
            </w:pPr>
          </w:p>
        </w:tc>
      </w:tr>
      <w:tr>
        <w:trPr>
          <w:trHeight w:val="180"/>
        </w:trPr>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CCEEFF"/>
            </w:tcBorders>
            <w:shd w:val="clear" w:color="auto" w:fill="CCEEFF"/>
          </w:tcPr>
          <w:p>
            <w:pPr>
              <w:ind w:left="300"/>
              <w:spacing w:after="0" w:line="180" w:lineRule="exact"/>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63"/>
        </w:trPr>
        <w:tc>
          <w:tcPr>
            <w:tcW w:w="600" w:type="dxa"/>
            <w:vAlign w:val="bottom"/>
            <w:gridSpan w:val="2"/>
            <w:vMerge w:val="restart"/>
          </w:tcPr>
          <w:p>
            <w:pPr>
              <w:jc w:val="right"/>
              <w:ind w:right="320"/>
              <w:spacing w:after="0"/>
              <w:rPr>
                <w:rFonts w:ascii="Arial" w:cs="Arial" w:eastAsia="Arial" w:hAnsi="Arial"/>
                <w:sz w:val="16"/>
                <w:szCs w:val="16"/>
                <w:color w:val="0000FF"/>
                <w:w w:val="83"/>
              </w:rPr>
            </w:pPr>
            <w:hyperlink r:id="rId53">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2</w:t>
              </w:r>
            </w:hyperlink>
          </w:p>
        </w:tc>
        <w:tc>
          <w:tcPr>
            <w:tcW w:w="8120" w:type="dxa"/>
            <w:vAlign w:val="bottom"/>
          </w:tcPr>
          <w:p>
            <w:pPr>
              <w:ind w:left="300"/>
              <w:spacing w:after="0" w:line="163" w:lineRule="exact"/>
              <w:rPr>
                <w:sz w:val="20"/>
                <w:szCs w:val="20"/>
                <w:color w:val="auto"/>
              </w:rPr>
            </w:pPr>
            <w:r>
              <w:rPr>
                <w:rFonts w:ascii="Arial" w:cs="Arial" w:eastAsia="Arial" w:hAnsi="Arial"/>
                <w:sz w:val="16"/>
                <w:szCs w:val="16"/>
                <w:color w:val="auto"/>
                <w:w w:val="90"/>
              </w:rPr>
              <w:t>Collaboration Agreement, dated April 26, 2022, between Caladrius Biosciences, Inc. and Cend Therapeutics, Inc. (filed as</w:t>
            </w:r>
          </w:p>
        </w:tc>
        <w:tc>
          <w:tcPr>
            <w:tcW w:w="0" w:type="dxa"/>
            <w:vAlign w:val="bottom"/>
          </w:tcPr>
          <w:p>
            <w:pPr>
              <w:spacing w:after="0"/>
              <w:rPr>
                <w:sz w:val="1"/>
                <w:szCs w:val="1"/>
                <w:color w:val="auto"/>
              </w:rPr>
            </w:pPr>
          </w:p>
        </w:tc>
      </w:tr>
      <w:tr>
        <w:trPr>
          <w:trHeight w:val="116"/>
        </w:trPr>
        <w:tc>
          <w:tcPr>
            <w:tcW w:w="600" w:type="dxa"/>
            <w:vAlign w:val="bottom"/>
            <w:gridSpan w:val="2"/>
            <w:vMerge w:val="continue"/>
          </w:tcPr>
          <w:p>
            <w:pPr>
              <w:spacing w:after="0"/>
              <w:rPr>
                <w:sz w:val="10"/>
                <w:szCs w:val="10"/>
                <w:color w:val="auto"/>
              </w:rPr>
            </w:pPr>
          </w:p>
        </w:tc>
        <w:tc>
          <w:tcPr>
            <w:tcW w:w="8120" w:type="dxa"/>
            <w:vAlign w:val="bottom"/>
            <w:vMerge w:val="restart"/>
          </w:tcPr>
          <w:p>
            <w:pPr>
              <w:ind w:left="300"/>
              <w:spacing w:after="0"/>
              <w:rPr>
                <w:sz w:val="20"/>
                <w:szCs w:val="20"/>
                <w:color w:val="auto"/>
              </w:rPr>
            </w:pPr>
            <w:r>
              <w:rPr>
                <w:rFonts w:ascii="Arial" w:cs="Arial" w:eastAsia="Arial" w:hAnsi="Arial"/>
                <w:sz w:val="16"/>
                <w:szCs w:val="16"/>
                <w:color w:val="auto"/>
              </w:rPr>
              <w:t>Exhibit 10.2 to the Company's Current Report on Form 8-K, filed with the SEC on April 27, 2022).</w:t>
            </w:r>
          </w:p>
        </w:tc>
        <w:tc>
          <w:tcPr>
            <w:tcW w:w="0" w:type="dxa"/>
            <w:vAlign w:val="bottom"/>
          </w:tcPr>
          <w:p>
            <w:pPr>
              <w:spacing w:after="0"/>
              <w:rPr>
                <w:sz w:val="1"/>
                <w:szCs w:val="1"/>
                <w:color w:val="auto"/>
              </w:rPr>
            </w:pPr>
          </w:p>
        </w:tc>
      </w:tr>
      <w:tr>
        <w:trPr>
          <w:trHeight w:val="68"/>
        </w:trPr>
        <w:tc>
          <w:tcPr>
            <w:tcW w:w="28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8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36830</wp:posOffset>
            </wp:positionV>
            <wp:extent cx="5883275" cy="270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883275" cy="270510"/>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type w:val="continuous"/>
        </w:sectPr>
      </w:pPr>
    </w:p>
    <w:p>
      <w:pPr>
        <w:spacing w:after="0" w:line="168" w:lineRule="exact"/>
        <w:rPr>
          <w:sz w:val="20"/>
          <w:szCs w:val="20"/>
          <w:color w:val="auto"/>
        </w:rPr>
      </w:pPr>
    </w:p>
    <w:p>
      <w:pPr>
        <w:ind w:left="126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31.1</w:t>
        </w:r>
      </w:hyperlink>
    </w:p>
    <w:p>
      <w:pPr>
        <w:spacing w:after="0" w:line="269" w:lineRule="exact"/>
        <w:rPr>
          <w:sz w:val="20"/>
          <w:szCs w:val="20"/>
          <w:color w:val="auto"/>
        </w:rPr>
      </w:pPr>
    </w:p>
    <w:p>
      <w:pPr>
        <w:ind w:left="1320"/>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32</w:t>
        </w:r>
      </w:hyperlink>
    </w:p>
    <w:p>
      <w:pPr>
        <w:spacing w:after="0" w:line="26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101.INS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39" w:right="100" w:hanging="339"/>
        <w:spacing w:after="0" w:line="237" w:lineRule="auto"/>
        <w:tabs>
          <w:tab w:leader="none" w:pos="3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Certification of Principal Executive Officer, Principal Financial Officer and Principal Accounting Officer pursuant to Section 302 of the Sarbanes-Oxley Act of 2002</w:t>
      </w:r>
    </w:p>
    <w:p>
      <w:pPr>
        <w:spacing w:after="0" w:line="63" w:lineRule="exact"/>
        <w:rPr>
          <w:sz w:val="20"/>
          <w:szCs w:val="20"/>
          <w:color w:val="auto"/>
        </w:rPr>
      </w:pPr>
    </w:p>
    <w:p>
      <w:pPr>
        <w:ind w:left="339" w:right="420" w:hanging="339"/>
        <w:spacing w:after="0" w:line="237" w:lineRule="auto"/>
        <w:tabs>
          <w:tab w:leader="none" w:pos="3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Certification of Principal Executive Officer, Principal Financial Officer and Principal Accounting Officer pursuant to 18 U.S.C. Section 1350, as adopted pursuant to Section 906 of the Sarbanes-Oxley Act of 2002</w:t>
      </w:r>
    </w:p>
    <w:p>
      <w:pPr>
        <w:spacing w:after="0" w:line="169" w:lineRule="exact"/>
        <w:rPr>
          <w:rFonts w:ascii="Arial" w:cs="Arial" w:eastAsia="Arial" w:hAnsi="Arial"/>
          <w:sz w:val="16"/>
          <w:szCs w:val="16"/>
          <w:color w:val="auto"/>
        </w:rPr>
      </w:pPr>
    </w:p>
    <w:p>
      <w:pPr>
        <w:ind w:left="339" w:right="120"/>
        <w:spacing w:after="0" w:line="237" w:lineRule="auto"/>
        <w:rPr>
          <w:rFonts w:ascii="Arial" w:cs="Arial" w:eastAsia="Arial" w:hAnsi="Arial"/>
          <w:sz w:val="16"/>
          <w:szCs w:val="16"/>
          <w:color w:val="auto"/>
        </w:rPr>
      </w:pPr>
      <w:r>
        <w:rPr>
          <w:rFonts w:ascii="Arial" w:cs="Arial" w:eastAsia="Arial" w:hAnsi="Arial"/>
          <w:sz w:val="16"/>
          <w:szCs w:val="16"/>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-266065</wp:posOffset>
            </wp:positionV>
            <wp:extent cx="5883275" cy="270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883275" cy="27051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1660" w:space="161"/>
            <w:col w:w="8439"/>
          </w:cols>
          <w:pgMar w:left="320" w:top="121" w:right="1319" w:bottom="1440" w:gutter="0" w:footer="0" w:header="0"/>
          <w:type w:val="continuous"/>
        </w:sectPr>
      </w:pPr>
    </w:p>
    <w:tbl>
      <w:tblPr>
        <w:tblLayout w:type="fixed"/>
        <w:tblInd w:w="1000" w:type="dxa"/>
        <w:tblCellMar>
          <w:top w:w="0" w:type="dxa"/>
          <w:left w:w="0" w:type="dxa"/>
          <w:bottom w:w="0" w:type="dxa"/>
          <w:right w:w="0" w:type="dxa"/>
        </w:tblCellMar>
      </w:tblPr>
      <w:tr>
        <w:trPr>
          <w:trHeight w:val="234"/>
        </w:trPr>
        <w:tc>
          <w:tcPr>
            <w:tcW w:w="940" w:type="dxa"/>
            <w:vAlign w:val="bottom"/>
          </w:tcPr>
          <w:p>
            <w:pPr>
              <w:jc w:val="center"/>
              <w:ind w:right="60"/>
              <w:spacing w:after="0"/>
              <w:rPr>
                <w:sz w:val="20"/>
                <w:szCs w:val="20"/>
                <w:color w:val="auto"/>
              </w:rPr>
            </w:pPr>
            <w:r>
              <w:rPr>
                <w:rFonts w:ascii="Arial" w:cs="Arial" w:eastAsia="Arial" w:hAnsi="Arial"/>
                <w:sz w:val="16"/>
                <w:szCs w:val="16"/>
                <w:color w:val="auto"/>
                <w:w w:val="92"/>
              </w:rPr>
              <w:t>101.SCH</w:t>
            </w:r>
          </w:p>
        </w:tc>
        <w:tc>
          <w:tcPr>
            <w:tcW w:w="8320" w:type="dxa"/>
            <w:vAlign w:val="bottom"/>
          </w:tcPr>
          <w:p>
            <w:pPr>
              <w:ind w:left="220"/>
              <w:spacing w:after="0"/>
              <w:rPr>
                <w:sz w:val="20"/>
                <w:szCs w:val="20"/>
                <w:color w:val="auto"/>
              </w:rPr>
            </w:pPr>
            <w:r>
              <w:rPr>
                <w:rFonts w:ascii="Arial" w:cs="Arial" w:eastAsia="Arial" w:hAnsi="Arial"/>
                <w:sz w:val="16"/>
                <w:szCs w:val="16"/>
                <w:color w:val="auto"/>
              </w:rPr>
              <w:t>Inline XBRL Taxonomy Extension Schema</w:t>
            </w:r>
          </w:p>
        </w:tc>
      </w:tr>
      <w:tr>
        <w:trPr>
          <w:trHeight w:val="256"/>
        </w:trPr>
        <w:tc>
          <w:tcPr>
            <w:tcW w:w="94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6"/>
              </w:rPr>
              <w:t>101.CAL</w:t>
            </w:r>
          </w:p>
        </w:tc>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Inline XBRL Taxonomy Extension Calculation Linkbase</w:t>
            </w:r>
          </w:p>
        </w:tc>
      </w:tr>
      <w:tr>
        <w:trPr>
          <w:trHeight w:val="250"/>
        </w:trPr>
        <w:tc>
          <w:tcPr>
            <w:tcW w:w="940" w:type="dxa"/>
            <w:vAlign w:val="bottom"/>
          </w:tcPr>
          <w:p>
            <w:pPr>
              <w:jc w:val="center"/>
              <w:ind w:right="80"/>
              <w:spacing w:after="0"/>
              <w:rPr>
                <w:sz w:val="20"/>
                <w:szCs w:val="20"/>
                <w:color w:val="auto"/>
              </w:rPr>
            </w:pPr>
            <w:r>
              <w:rPr>
                <w:rFonts w:ascii="Arial" w:cs="Arial" w:eastAsia="Arial" w:hAnsi="Arial"/>
                <w:sz w:val="16"/>
                <w:szCs w:val="16"/>
                <w:color w:val="auto"/>
                <w:w w:val="91"/>
              </w:rPr>
              <w:t>101.DEF</w:t>
            </w:r>
          </w:p>
        </w:tc>
        <w:tc>
          <w:tcPr>
            <w:tcW w:w="8320" w:type="dxa"/>
            <w:vAlign w:val="bottom"/>
          </w:tcPr>
          <w:p>
            <w:pPr>
              <w:ind w:left="220"/>
              <w:spacing w:after="0"/>
              <w:rPr>
                <w:sz w:val="20"/>
                <w:szCs w:val="20"/>
                <w:color w:val="auto"/>
              </w:rPr>
            </w:pPr>
            <w:r>
              <w:rPr>
                <w:rFonts w:ascii="Arial" w:cs="Arial" w:eastAsia="Arial" w:hAnsi="Arial"/>
                <w:sz w:val="16"/>
                <w:szCs w:val="16"/>
                <w:color w:val="auto"/>
              </w:rPr>
              <w:t>Inline XBRL Taxonomy Extension Definition Linkbase</w:t>
            </w:r>
          </w:p>
        </w:tc>
      </w:tr>
      <w:tr>
        <w:trPr>
          <w:trHeight w:val="256"/>
        </w:trPr>
        <w:tc>
          <w:tcPr>
            <w:tcW w:w="94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7"/>
              </w:rPr>
              <w:t>101.LAB</w:t>
            </w:r>
          </w:p>
        </w:tc>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Inline XBRL Taxonomy Extension Label Linkbase</w:t>
            </w:r>
          </w:p>
        </w:tc>
      </w:tr>
      <w:tr>
        <w:trPr>
          <w:trHeight w:val="250"/>
        </w:trPr>
        <w:tc>
          <w:tcPr>
            <w:tcW w:w="940" w:type="dxa"/>
            <w:vAlign w:val="bottom"/>
          </w:tcPr>
          <w:p>
            <w:pPr>
              <w:jc w:val="center"/>
              <w:ind w:right="60"/>
              <w:spacing w:after="0"/>
              <w:rPr>
                <w:sz w:val="20"/>
                <w:szCs w:val="20"/>
                <w:color w:val="auto"/>
              </w:rPr>
            </w:pPr>
            <w:r>
              <w:rPr>
                <w:rFonts w:ascii="Arial" w:cs="Arial" w:eastAsia="Arial" w:hAnsi="Arial"/>
                <w:sz w:val="16"/>
                <w:szCs w:val="16"/>
                <w:color w:val="auto"/>
                <w:w w:val="87"/>
              </w:rPr>
              <w:t>101.PRE</w:t>
            </w:r>
          </w:p>
        </w:tc>
        <w:tc>
          <w:tcPr>
            <w:tcW w:w="8320" w:type="dxa"/>
            <w:vAlign w:val="bottom"/>
          </w:tcPr>
          <w:p>
            <w:pPr>
              <w:ind w:left="220"/>
              <w:spacing w:after="0"/>
              <w:rPr>
                <w:sz w:val="20"/>
                <w:szCs w:val="20"/>
                <w:color w:val="auto"/>
              </w:rPr>
            </w:pPr>
            <w:r>
              <w:rPr>
                <w:rFonts w:ascii="Arial" w:cs="Arial" w:eastAsia="Arial" w:hAnsi="Arial"/>
                <w:sz w:val="16"/>
                <w:szCs w:val="16"/>
                <w:color w:val="auto"/>
              </w:rPr>
              <w:t>Inline XBRL Taxonomy Extension Presentation Linkbase</w:t>
            </w:r>
          </w:p>
        </w:tc>
      </w:tr>
      <w:tr>
        <w:trPr>
          <w:trHeight w:val="256"/>
        </w:trPr>
        <w:tc>
          <w:tcPr>
            <w:tcW w:w="94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89"/>
              </w:rPr>
              <w:t>104</w:t>
            </w:r>
          </w:p>
        </w:tc>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74" w:lineRule="exact"/>
        <w:rPr>
          <w:sz w:val="20"/>
          <w:szCs w:val="20"/>
          <w:color w:val="auto"/>
        </w:rPr>
      </w:pPr>
    </w:p>
    <w:p>
      <w:pPr>
        <w:ind w:left="1380" w:hanging="37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6" w:lineRule="exact"/>
        <w:rPr>
          <w:sz w:val="20"/>
          <w:szCs w:val="20"/>
          <w:color w:val="auto"/>
        </w:rPr>
      </w:pPr>
    </w:p>
    <w:p>
      <w:pPr>
        <w:ind w:left="1380" w:hanging="37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60"/>
          </w:cols>
          <w:pgMar w:left="320" w:top="121" w:right="131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19" w:lineRule="exact"/>
        <w:rPr>
          <w:sz w:val="20"/>
          <w:szCs w:val="20"/>
          <w:color w:val="auto"/>
        </w:rPr>
      </w:pPr>
    </w:p>
    <w:p>
      <w:pPr>
        <w:ind w:left="220" w:hanging="214"/>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18" w:lineRule="exact"/>
        <w:rPr>
          <w:rFonts w:ascii="Arial" w:cs="Arial" w:eastAsia="Arial" w:hAnsi="Arial"/>
          <w:sz w:val="18"/>
          <w:szCs w:val="18"/>
          <w:color w:val="auto"/>
        </w:rPr>
      </w:pPr>
    </w:p>
    <w:p>
      <w:pPr>
        <w:ind w:right="20" w:firstLine="6"/>
        <w:spacing w:after="0" w:line="330" w:lineRule="auto"/>
        <w:tabs>
          <w:tab w:leader="none" w:pos="2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firstLine="6"/>
        <w:spacing w:after="0" w:line="266" w:lineRule="auto"/>
        <w:tabs>
          <w:tab w:leader="none" w:pos="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right="20" w:firstLine="6"/>
        <w:spacing w:after="0" w:line="256" w:lineRule="auto"/>
        <w:tabs>
          <w:tab w:leader="none" w:pos="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640" w:firstLine="5"/>
        <w:spacing w:after="0" w:line="256"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640" w:firstLine="5"/>
        <w:spacing w:after="0" w:line="256" w:lineRule="auto"/>
        <w:tabs>
          <w:tab w:leader="none" w:pos="8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firstLine="5"/>
        <w:spacing w:after="0" w:line="296" w:lineRule="auto"/>
        <w:tabs>
          <w:tab w:leader="none" w:pos="86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firstLine="5"/>
        <w:spacing w:after="0" w:line="256" w:lineRule="auto"/>
        <w:tabs>
          <w:tab w:leader="none" w:pos="8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firstLine="6"/>
        <w:spacing w:after="0" w:line="296" w:lineRule="auto"/>
        <w:tabs>
          <w:tab w:leader="none" w:pos="2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640" w:firstLine="5"/>
        <w:spacing w:after="0" w:line="266" w:lineRule="auto"/>
        <w:tabs>
          <w:tab w:leader="none" w:pos="8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firstLine="5"/>
        <w:spacing w:after="0" w:line="266" w:lineRule="auto"/>
        <w:tabs>
          <w:tab w:leader="none" w:pos="8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214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David J. Mazzo, PhD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Principal Financial Officer and Principal Accounting Officer)</w:t>
      </w:r>
    </w:p>
    <w:p>
      <w:pPr>
        <w:sectPr>
          <w:pgSz w:w="11900" w:h="16838" w:orient="portrait"/>
          <w:cols w:equalWidth="0" w:num="1">
            <w:col w:w="11240"/>
          </w:cols>
          <w:pgMar w:left="320" w:top="8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June 30, 2022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10" w:lineRule="exact"/>
        <w:rPr>
          <w:sz w:val="20"/>
          <w:szCs w:val="20"/>
          <w:color w:val="auto"/>
        </w:rPr>
      </w:pPr>
    </w:p>
    <w:p>
      <w:pPr>
        <w:ind w:left="640" w:hanging="314"/>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right="20" w:hanging="314"/>
        <w:spacing w:after="0" w:line="26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259"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David J. Mazzo, PhD</w:t>
      </w:r>
    </w:p>
    <w:p>
      <w:pPr>
        <w:spacing w:after="0" w:line="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J. Mazzo, PhD</w:t>
      </w:r>
    </w:p>
    <w:p>
      <w:pPr>
        <w:spacing w:after="0" w:line="1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Executive Officer (Principal Executive Officer,</w:t>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98"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46" Type="http://schemas.openxmlformats.org/officeDocument/2006/relationships/hyperlink" Target="http://www.sec.gov/Archives/edgar/data/320017/000032001722000031/ex21-mergeragreement10pf.htm" TargetMode="External"/><Relationship Id="rId47" Type="http://schemas.openxmlformats.org/officeDocument/2006/relationships/hyperlink" Target="http://www.sec.gov/Archives/edgar/data/320017/000032001722000031/exhibit22-supportagreeme.htm" TargetMode="External"/><Relationship Id="rId48" Type="http://schemas.openxmlformats.org/officeDocument/2006/relationships/hyperlink" Target="http://www.sec.gov/Archives/edgar/data/320017/000032001722000031/exhibit23-supportagreeme.htm" TargetMode="External"/><Relationship Id="rId49" Type="http://schemas.openxmlformats.org/officeDocument/2006/relationships/hyperlink" Target="http://www.sec.gov/Archives/edgar/data/320017/000032001722000031/exhibit24-lockxupagreeme.htm" TargetMode="External"/><Relationship Id="rId52" Type="http://schemas.openxmlformats.org/officeDocument/2006/relationships/hyperlink" Target="http://www.sec.gov/Archives/edgar/data/320017/000032001722000031/exhibit101-stockpurchase.htm" TargetMode="External"/><Relationship Id="rId53" Type="http://schemas.openxmlformats.org/officeDocument/2006/relationships/hyperlink" Target="https://www.sec.gov/Archives/edgar/data/320017/000032001722000031/exhibit102-collabo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2022-08-04T16:32:48Z</dcterms:created>
  <dcterms:modified xsi:type="dcterms:W3CDTF">2022-08-04T16:32:48Z</dcterms:modified>
</cp:coreProperties>
</file>