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TO</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LISATA THERAPEUTICS,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KUVA ACQUISITION CORP.</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KUVA LABS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91440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128058302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1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Mark Land</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1980 Post Oak Blvd, Suite 100,</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Telephone: (713) 510-3917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91"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78105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4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Edwin O’Connor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The New York Times Building</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620 Eighth Avenue</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Telephone: (212) 813-8800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54" w:lineRule="exact"/>
        <w:rPr>
          <w:sz w:val="24"/>
          <w:szCs w:val="24"/>
          <w:color w:val="auto"/>
        </w:rPr>
      </w:pPr>
    </w:p>
    <w:p>
      <w:pPr>
        <w:ind w:left="440" w:right="140" w:hanging="427"/>
        <w:spacing w:after="0" w:line="222" w:lineRule="exact"/>
        <w:tabs>
          <w:tab w:leader="none" w:pos="4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9720"/>
          </w:cols>
          <w:pgMar w:left="1080" w:top="516" w:right="1099" w:bottom="1440" w:gutter="0" w:footer="0" w:header="0"/>
        </w:sectPr>
      </w:pP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126" w:lineRule="exact"/>
        <w:rPr>
          <w:sz w:val="24"/>
          <w:szCs w:val="24"/>
          <w:color w:val="auto"/>
        </w:rPr>
      </w:pPr>
    </w:p>
    <w:p>
      <w:pPr>
        <w:sectPr>
          <w:pgSz w:w="11900" w:h="16838" w:orient="portrait"/>
          <w:cols w:equalWidth="0" w:num="2">
            <w:col w:w="6200" w:space="720"/>
            <w:col w:w="2800"/>
          </w:cols>
          <w:pgMar w:left="1080" w:top="516" w:right="1099" w:bottom="1440" w:gutter="0" w:footer="0" w:header="0"/>
          <w:type w:val="continuous"/>
        </w:sectPr>
      </w:pPr>
    </w:p>
    <w:p>
      <w:pPr>
        <w:spacing w:after="0" w:line="207" w:lineRule="exact"/>
        <w:tabs>
          <w:tab w:leader="none" w:pos="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03" w:lineRule="exact"/>
        <w:rPr>
          <w:sz w:val="24"/>
          <w:szCs w:val="24"/>
          <w:color w:val="auto"/>
        </w:rPr>
      </w:pPr>
    </w:p>
    <w:p>
      <w:pPr>
        <w:spacing w:after="0" w:line="207" w:lineRule="exact"/>
        <w:tabs>
          <w:tab w:leader="none" w:pos="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Third-party tender offer subject to Rule 14d-1.</w:t>
      </w:r>
    </w:p>
    <w:p>
      <w:pPr>
        <w:spacing w:after="0" w:line="90" w:lineRule="exact"/>
        <w:rPr>
          <w:sz w:val="24"/>
          <w:szCs w:val="24"/>
          <w:color w:val="auto"/>
        </w:rPr>
      </w:pPr>
    </w:p>
    <w:p>
      <w:pPr>
        <w:spacing w:after="0" w:line="207" w:lineRule="exact"/>
        <w:tabs>
          <w:tab w:leader="none" w:pos="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Issuer tender offer subject to Rule 13e-4.</w:t>
      </w:r>
    </w:p>
    <w:p>
      <w:pPr>
        <w:spacing w:after="0" w:line="36" w:lineRule="exact"/>
        <w:rPr>
          <w:sz w:val="24"/>
          <w:szCs w:val="24"/>
          <w:color w:val="auto"/>
        </w:rPr>
      </w:pPr>
    </w:p>
    <w:p>
      <w:pPr>
        <w:spacing w:after="0" w:line="207" w:lineRule="exact"/>
        <w:tabs>
          <w:tab w:leader="none" w:pos="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Going-private transaction subject to Rule 13e-3.</w:t>
      </w:r>
    </w:p>
    <w:p>
      <w:pPr>
        <w:spacing w:after="0" w:line="36" w:lineRule="exact"/>
        <w:rPr>
          <w:sz w:val="24"/>
          <w:szCs w:val="24"/>
          <w:color w:val="auto"/>
        </w:rPr>
      </w:pPr>
    </w:p>
    <w:p>
      <w:pPr>
        <w:spacing w:after="0" w:line="207" w:lineRule="exact"/>
        <w:tabs>
          <w:tab w:leader="none" w:pos="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Amendment to Schedule 13D under Rule 13d-2.</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11" w:lineRule="exact"/>
        <w:rPr>
          <w:sz w:val="24"/>
          <w:szCs w:val="24"/>
          <w:color w:val="auto"/>
        </w:rPr>
      </w:pPr>
    </w:p>
    <w:p>
      <w:pPr>
        <w:spacing w:after="0" w:line="207" w:lineRule="exact"/>
        <w:tabs>
          <w:tab w:leader="none" w:pos="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90" w:lineRule="exact"/>
        <w:rPr>
          <w:sz w:val="24"/>
          <w:szCs w:val="24"/>
          <w:color w:val="auto"/>
        </w:rPr>
      </w:pPr>
    </w:p>
    <w:p>
      <w:pPr>
        <w:spacing w:after="0" w:line="207" w:lineRule="exact"/>
        <w:tabs>
          <w:tab w:leader="none" w:pos="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240665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368935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516" w:right="1099" w:bottom="1440" w:gutter="0" w:footer="0" w:header="0"/>
          <w:type w:val="continuous"/>
        </w:sectPr>
      </w:pPr>
    </w:p>
    <w:bookmarkStart w:id="1" w:name="page2"/>
    <w:bookmarkEnd w:id="1"/>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This Tender Offer Statement on Schedule TO relates solely to preliminary communications made before the commencement of a planned tender offer by Kuva Acquisition Corp., a Delaware corporation (“Purchaser”) and a direct wholly-owned subsidiary of Kuva Labs Inc., a Delaware corporation (“Parent”), for all of the issued and outstanding shares of common stock of Lisata Therapeutics, Inc., a Delaware corporation (the “Company” or “Lisata”), pursuant to the Agreement and Plan of Merger, dated as of March 6, 2026 (as it may be amended, supplemented or modified from time to time, the “Merger Agreement”), among Parent, Purchaser and the Company.</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w:t>
      </w:r>
    </w:p>
    <w:p>
      <w:pPr>
        <w:spacing w:after="0" w:line="27"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110490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 CVR will never be achieved and that no milestone payment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communication speak only as of the date of this communication. Lisata undertakes no obligation to update any forward-looking statement, whether as a result of new information, future developments, or otherwise, except as may be required by applicable law.</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1"/>
        </w:trPr>
        <w:tc>
          <w:tcPr>
            <w:tcW w:w="15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0000EE"/>
              </w:rPr>
              <w:t>Exhibit 99.1</w:t>
            </w:r>
          </w:p>
        </w:tc>
        <w:tc>
          <w:tcPr>
            <w:tcW w:w="6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Press Release, issued by Parent on May 29, 2026.</w:t>
            </w:r>
          </w:p>
        </w:tc>
      </w:tr>
      <w:tr>
        <w:trPr>
          <w:trHeight w:val="20"/>
        </w:trPr>
        <w:tc>
          <w:tcPr>
            <w:tcW w:w="8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ectPr>
          <w:pgSz w:w="11900" w:h="16838" w:orient="portrait"/>
          <w:cols w:equalWidth="0" w:num="1">
            <w:col w:w="9019"/>
          </w:cols>
          <w:pgMar w:left="1440" w:top="24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Kuva and Lisata Therapeutics Amend Merger Agreement</w:t>
      </w:r>
    </w:p>
    <w:p>
      <w:pPr>
        <w:spacing w:after="0" w:line="2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HOUSTON, TX — May 29, 2026 — </w:t>
      </w:r>
      <w:r>
        <w:rPr>
          <w:rFonts w:ascii="Times New Roman" w:cs="Times New Roman" w:eastAsia="Times New Roman" w:hAnsi="Times New Roman"/>
          <w:sz w:val="18"/>
          <w:szCs w:val="18"/>
          <w:color w:val="auto"/>
        </w:rPr>
        <w:t>On May 29, 2026, Kuva Labs, Inc. (“Kuva” or “Parent”) and Lisata Therapeutics, Inc. (“Lisata”) (Nasdaq: LSTA),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Kuva’s wholly owned subsidiary Kuva Acquisition Corp. (“Kuva Acquisition”), entered into an amendment (the “Amendment”) to the previously announced Agreement and Plan of Merger, dated as of March 6, 2026, by and among Kuva, Kuva Acquisition and Lisata (the “Merger Agreement”). Pursuant to the Amendment, the consideration payable in the tender offer for all of the outstanding shares of common stock of Lisata contemplated by the Merger Agreement (the “Offer”) has been revised to $4.00 per share in cash, net to the seller, without interest and less any applicable withholding taxes, plus one contingent value right (“CVR”) per share, representing the right to receive two (2) contingent cash payments up to an aggregate of $3.00 per CVR upon achievement of specific milestones pursuant to an amended and restated contingent value rights agreement.</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amended and restated contingent value rights agreement, the CVR entitles the holders of record to receive an additional cash payment of $1.25 per share, upon the achievement of, with respect to a Phase 2a, double-blind, placebo-controlled, randomized, proof-of-concept study evaluating LSTA1 when added to standard of care (temozolomide) versus temozolomide and matching LSTA1 placebo in subjects with newly diagnosed Glioblastoma Multiforme (GBM) (Protocol Number: LSTA1-GBM-2A), (i) completion of enrollment of such trial, (ii) the enrollment of at least 90% of the target number of subjects of such trial or (iii) the termination of such trial by its sponsor for any reason (the “First Milestone”) and an additional cash payment of $1.75 per share upon the achievement of with respect to any product candidate referred to as of the date of the merger agreement as certepetide (formerly LSTA1 or CEND-1), the filing or formal acceptance for review by any governmental authority of any New Drug Application for certepetide (formerly LSTA1 or CEND-1) (the “Second Milestone”, and together with the First Milestone, the “Milestones”). Should any of the Milestones not be met, then no additional consideration will be payable to the holders of the CVRs in relation to the applicable Milestone.</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Amendment, Kuva and Lisata, have also agreed to extend the date by which Kuva Acquisition is obligated to commence the Offer from May 29, 2026, to June 1, 2026. Kuva intends to commence the Offer to acquire Listata on June 1, 2026, on the terms set forth in the Merger Agreement and the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Land,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mark.land@kuvalabs.com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Kuva</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Kuva is a clinical bioscience company developing the proprietary NanoMark direct MR imaging platform. Kuva was founded in 2019, after its founders experienced tragic losses in cancer cases which could have been presented with better tools. In partnership with leading oncology research organizations Kuva is seeking to transform the way cancer is seen and ultimately treated. This technology enables the selective and unambiguous imaging of solid tumors with the highest contrast and spatial resolution without the use of ionizing radiation. This information speeds both accurate diagnosis and treatment - delivering better and quicker clinical intervention and better overall outcomes. For more information, please visit www.kuvalabs.com.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tender offer referred to in this communication has not yet commenced. This communication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8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 CVR will never be achieved and that no milestone payment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communication speak only as of the date of this communication. Lisata undertakes no obligation to update any forward-looking statement, whether as a result of new information, future developments, or otherwise, except as may be required by applicable law.</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33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2026-05-29T17:14:15Z</dcterms:created>
  <dcterms:modified xsi:type="dcterms:W3CDTF">2026-05-29T17:14:15Z</dcterms:modified>
</cp:coreProperties>
</file>