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AND EXCHANGE COMMISSION</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 10-K</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1"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2022</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41"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263"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6180" w:type="dxa"/>
            <w:vAlign w:val="bottom"/>
            <w:gridSpan w:val="2"/>
          </w:tcPr>
          <w:p>
            <w:pPr>
              <w:ind w:left="3100"/>
              <w:spacing w:after="0"/>
              <w:rPr>
                <w:sz w:val="20"/>
                <w:szCs w:val="20"/>
                <w:color w:val="auto"/>
              </w:rPr>
            </w:pPr>
            <w:r>
              <w:rPr>
                <w:rFonts w:ascii="Arial" w:cs="Arial" w:eastAsia="Arial" w:hAnsi="Arial"/>
                <w:sz w:val="14"/>
                <w:szCs w:val="14"/>
                <w:color w:val="auto"/>
                <w:w w:val="92"/>
              </w:rPr>
              <w:t>For the Transition Period from __________________</w:t>
            </w:r>
          </w:p>
        </w:tc>
        <w:tc>
          <w:tcPr>
            <w:tcW w:w="5060" w:type="dxa"/>
            <w:vAlign w:val="bottom"/>
          </w:tcPr>
          <w:p>
            <w:pPr>
              <w:ind w:left="60"/>
              <w:spacing w:after="0"/>
              <w:rPr>
                <w:sz w:val="20"/>
                <w:szCs w:val="20"/>
                <w:color w:val="auto"/>
              </w:rPr>
            </w:pPr>
            <w:r>
              <w:rPr>
                <w:rFonts w:ascii="Arial" w:cs="Arial" w:eastAsia="Arial" w:hAnsi="Arial"/>
                <w:sz w:val="14"/>
                <w:szCs w:val="14"/>
                <w:color w:val="auto"/>
              </w:rPr>
              <w:t>to _________________________</w:t>
            </w:r>
          </w:p>
        </w:tc>
      </w:tr>
      <w:tr>
        <w:trPr>
          <w:trHeight w:val="340"/>
        </w:trPr>
        <w:tc>
          <w:tcPr>
            <w:tcW w:w="3700" w:type="dxa"/>
            <w:vAlign w:val="bottom"/>
          </w:tcPr>
          <w:p>
            <w:pPr>
              <w:spacing w:after="0"/>
              <w:rPr>
                <w:sz w:val="24"/>
                <w:szCs w:val="24"/>
                <w:color w:val="auto"/>
              </w:rPr>
            </w:pPr>
          </w:p>
        </w:tc>
        <w:tc>
          <w:tcPr>
            <w:tcW w:w="7540" w:type="dxa"/>
            <w:vAlign w:val="bottom"/>
            <w:gridSpan w:val="2"/>
          </w:tcPr>
          <w:p>
            <w:pPr>
              <w:jc w:val="center"/>
              <w:ind w:right="3631"/>
              <w:spacing w:after="0"/>
              <w:rPr>
                <w:sz w:val="20"/>
                <w:szCs w:val="20"/>
                <w:color w:val="auto"/>
              </w:rPr>
            </w:pPr>
            <w:r>
              <w:rPr>
                <w:rFonts w:ascii="Arial" w:cs="Arial" w:eastAsia="Arial" w:hAnsi="Arial"/>
                <w:sz w:val="14"/>
                <w:szCs w:val="14"/>
                <w:color w:val="auto"/>
                <w:w w:val="92"/>
              </w:rPr>
              <w:t>Commission File Number 001-33650</w:t>
            </w:r>
          </w:p>
        </w:tc>
      </w:tr>
      <w:tr>
        <w:trPr>
          <w:trHeight w:val="329"/>
        </w:trPr>
        <w:tc>
          <w:tcPr>
            <w:tcW w:w="3700" w:type="dxa"/>
            <w:vAlign w:val="bottom"/>
          </w:tcPr>
          <w:p>
            <w:pPr>
              <w:spacing w:after="0"/>
              <w:rPr>
                <w:sz w:val="24"/>
                <w:szCs w:val="24"/>
                <w:color w:val="auto"/>
              </w:rPr>
            </w:pPr>
          </w:p>
        </w:tc>
        <w:tc>
          <w:tcPr>
            <w:tcW w:w="7540" w:type="dxa"/>
            <w:vAlign w:val="bottom"/>
            <w:gridSpan w:val="2"/>
          </w:tcPr>
          <w:p>
            <w:pPr>
              <w:jc w:val="center"/>
              <w:ind w:right="3611"/>
              <w:spacing w:after="0"/>
              <w:rPr>
                <w:sz w:val="20"/>
                <w:szCs w:val="20"/>
                <w:color w:val="auto"/>
              </w:rPr>
            </w:pPr>
            <w:r>
              <w:rPr>
                <w:rFonts w:ascii="Arial" w:cs="Arial" w:eastAsia="Arial" w:hAnsi="Arial"/>
                <w:sz w:val="14"/>
                <w:szCs w:val="14"/>
                <w:color w:val="auto"/>
                <w:w w:val="96"/>
              </w:rPr>
              <w:t>LISATA THERAPEUTICS, INC.</w:t>
            </w:r>
          </w:p>
        </w:tc>
      </w:tr>
      <w:tr>
        <w:trPr>
          <w:trHeight w:val="180"/>
        </w:trPr>
        <w:tc>
          <w:tcPr>
            <w:tcW w:w="3700" w:type="dxa"/>
            <w:vAlign w:val="bottom"/>
          </w:tcPr>
          <w:p>
            <w:pPr>
              <w:spacing w:after="0"/>
              <w:rPr>
                <w:sz w:val="15"/>
                <w:szCs w:val="15"/>
                <w:color w:val="auto"/>
              </w:rPr>
            </w:pPr>
          </w:p>
        </w:tc>
        <w:tc>
          <w:tcPr>
            <w:tcW w:w="7540" w:type="dxa"/>
            <w:vAlign w:val="bottom"/>
            <w:gridSpan w:val="2"/>
          </w:tcPr>
          <w:p>
            <w:pPr>
              <w:jc w:val="center"/>
              <w:ind w:right="3631"/>
              <w:spacing w:after="0"/>
              <w:rPr>
                <w:sz w:val="20"/>
                <w:szCs w:val="20"/>
                <w:color w:val="auto"/>
              </w:rPr>
            </w:pPr>
            <w:r>
              <w:rPr>
                <w:rFonts w:ascii="Arial" w:cs="Arial" w:eastAsia="Arial" w:hAnsi="Arial"/>
                <w:sz w:val="14"/>
                <w:szCs w:val="14"/>
                <w:color w:val="auto"/>
                <w:w w:val="91"/>
              </w:rPr>
              <w:t>(Exact name of Registrant as specified in its charter)</w:t>
            </w:r>
          </w:p>
        </w:tc>
      </w:tr>
      <w:tr>
        <w:trPr>
          <w:trHeight w:val="202"/>
        </w:trPr>
        <w:tc>
          <w:tcPr>
            <w:tcW w:w="3700" w:type="dxa"/>
            <w:vAlign w:val="bottom"/>
          </w:tcPr>
          <w:p>
            <w:pPr>
              <w:jc w:val="center"/>
              <w:ind w:left="1811"/>
              <w:spacing w:after="0"/>
              <w:rPr>
                <w:sz w:val="20"/>
                <w:szCs w:val="20"/>
                <w:color w:val="auto"/>
              </w:rPr>
            </w:pPr>
            <w:r>
              <w:rPr>
                <w:rFonts w:ascii="Arial" w:cs="Arial" w:eastAsia="Arial" w:hAnsi="Arial"/>
                <w:sz w:val="14"/>
                <w:szCs w:val="14"/>
                <w:color w:val="auto"/>
                <w:w w:val="91"/>
              </w:rPr>
              <w:t>Delaware</w:t>
            </w:r>
          </w:p>
        </w:tc>
        <w:tc>
          <w:tcPr>
            <w:tcW w:w="2480" w:type="dxa"/>
            <w:vAlign w:val="bottom"/>
          </w:tcPr>
          <w:p>
            <w:pPr>
              <w:spacing w:after="0"/>
              <w:rPr>
                <w:sz w:val="17"/>
                <w:szCs w:val="17"/>
                <w:color w:val="auto"/>
              </w:rPr>
            </w:pPr>
          </w:p>
        </w:tc>
        <w:tc>
          <w:tcPr>
            <w:tcW w:w="5060" w:type="dxa"/>
            <w:vAlign w:val="bottom"/>
          </w:tcPr>
          <w:p>
            <w:pPr>
              <w:jc w:val="right"/>
              <w:ind w:right="2411"/>
              <w:spacing w:after="0"/>
              <w:rPr>
                <w:sz w:val="20"/>
                <w:szCs w:val="20"/>
                <w:color w:val="auto"/>
              </w:rPr>
            </w:pPr>
            <w:r>
              <w:rPr>
                <w:rFonts w:ascii="Arial" w:cs="Arial" w:eastAsia="Arial" w:hAnsi="Arial"/>
                <w:sz w:val="14"/>
                <w:szCs w:val="14"/>
                <w:color w:val="auto"/>
              </w:rPr>
              <w:t>22-2343568</w:t>
            </w:r>
          </w:p>
        </w:tc>
      </w:tr>
      <w:tr>
        <w:trPr>
          <w:trHeight w:val="180"/>
        </w:trPr>
        <w:tc>
          <w:tcPr>
            <w:tcW w:w="3700" w:type="dxa"/>
            <w:vAlign w:val="bottom"/>
          </w:tcPr>
          <w:p>
            <w:pPr>
              <w:jc w:val="center"/>
              <w:ind w:left="1831"/>
              <w:spacing w:after="0"/>
              <w:rPr>
                <w:sz w:val="20"/>
                <w:szCs w:val="20"/>
                <w:color w:val="auto"/>
              </w:rPr>
            </w:pPr>
            <w:r>
              <w:rPr>
                <w:rFonts w:ascii="Arial" w:cs="Arial" w:eastAsia="Arial" w:hAnsi="Arial"/>
                <w:sz w:val="14"/>
                <w:szCs w:val="14"/>
                <w:color w:val="auto"/>
                <w:w w:val="93"/>
              </w:rPr>
              <w:t>(State or other jurisdiction of</w:t>
            </w:r>
          </w:p>
        </w:tc>
        <w:tc>
          <w:tcPr>
            <w:tcW w:w="2480" w:type="dxa"/>
            <w:vAlign w:val="bottom"/>
          </w:tcPr>
          <w:p>
            <w:pPr>
              <w:spacing w:after="0"/>
              <w:rPr>
                <w:sz w:val="15"/>
                <w:szCs w:val="15"/>
                <w:color w:val="auto"/>
              </w:rPr>
            </w:pPr>
          </w:p>
        </w:tc>
        <w:tc>
          <w:tcPr>
            <w:tcW w:w="5060" w:type="dxa"/>
            <w:vAlign w:val="bottom"/>
          </w:tcPr>
          <w:p>
            <w:pPr>
              <w:jc w:val="center"/>
              <w:ind w:right="511"/>
              <w:spacing w:after="0"/>
              <w:rPr>
                <w:sz w:val="20"/>
                <w:szCs w:val="20"/>
                <w:color w:val="auto"/>
              </w:rPr>
            </w:pPr>
            <w:r>
              <w:rPr>
                <w:rFonts w:ascii="Arial" w:cs="Arial" w:eastAsia="Arial" w:hAnsi="Arial"/>
                <w:sz w:val="14"/>
                <w:szCs w:val="14"/>
                <w:color w:val="auto"/>
                <w:w w:val="93"/>
              </w:rPr>
              <w:t>(I.R.S. Employer</w:t>
            </w:r>
          </w:p>
        </w:tc>
      </w:tr>
      <w:tr>
        <w:trPr>
          <w:trHeight w:val="180"/>
        </w:trPr>
        <w:tc>
          <w:tcPr>
            <w:tcW w:w="3700" w:type="dxa"/>
            <w:vAlign w:val="bottom"/>
          </w:tcPr>
          <w:p>
            <w:pPr>
              <w:jc w:val="center"/>
              <w:ind w:left="1811"/>
              <w:spacing w:after="0"/>
              <w:rPr>
                <w:sz w:val="20"/>
                <w:szCs w:val="20"/>
                <w:color w:val="auto"/>
              </w:rPr>
            </w:pPr>
            <w:r>
              <w:rPr>
                <w:rFonts w:ascii="Arial" w:cs="Arial" w:eastAsia="Arial" w:hAnsi="Arial"/>
                <w:sz w:val="14"/>
                <w:szCs w:val="14"/>
                <w:color w:val="auto"/>
                <w:w w:val="93"/>
              </w:rPr>
              <w:t>incorporation or organization)</w:t>
            </w:r>
          </w:p>
        </w:tc>
        <w:tc>
          <w:tcPr>
            <w:tcW w:w="2480" w:type="dxa"/>
            <w:vAlign w:val="bottom"/>
          </w:tcPr>
          <w:p>
            <w:pPr>
              <w:spacing w:after="0"/>
              <w:rPr>
                <w:sz w:val="15"/>
                <w:szCs w:val="15"/>
                <w:color w:val="auto"/>
              </w:rPr>
            </w:pPr>
          </w:p>
        </w:tc>
        <w:tc>
          <w:tcPr>
            <w:tcW w:w="5060" w:type="dxa"/>
            <w:vAlign w:val="bottom"/>
          </w:tcPr>
          <w:p>
            <w:pPr>
              <w:jc w:val="center"/>
              <w:ind w:right="531"/>
              <w:spacing w:after="0"/>
              <w:rPr>
                <w:sz w:val="20"/>
                <w:szCs w:val="20"/>
                <w:color w:val="auto"/>
              </w:rPr>
            </w:pPr>
            <w:r>
              <w:rPr>
                <w:rFonts w:ascii="Arial" w:cs="Arial" w:eastAsia="Arial" w:hAnsi="Arial"/>
                <w:sz w:val="14"/>
                <w:szCs w:val="14"/>
                <w:color w:val="auto"/>
                <w:w w:val="97"/>
              </w:rPr>
              <w:t>Identification No.)</w:t>
            </w:r>
          </w:p>
        </w:tc>
      </w:tr>
      <w:tr>
        <w:trPr>
          <w:trHeight w:val="361"/>
        </w:trPr>
        <w:tc>
          <w:tcPr>
            <w:tcW w:w="6180" w:type="dxa"/>
            <w:vAlign w:val="bottom"/>
            <w:gridSpan w:val="2"/>
          </w:tcPr>
          <w:p>
            <w:pPr>
              <w:jc w:val="center"/>
              <w:ind w:right="531"/>
              <w:spacing w:after="0"/>
              <w:rPr>
                <w:sz w:val="20"/>
                <w:szCs w:val="20"/>
                <w:color w:val="auto"/>
              </w:rPr>
            </w:pPr>
            <w:r>
              <w:rPr>
                <w:rFonts w:ascii="Arial" w:cs="Arial" w:eastAsia="Arial" w:hAnsi="Arial"/>
                <w:sz w:val="14"/>
                <w:szCs w:val="14"/>
                <w:color w:val="auto"/>
                <w:w w:val="91"/>
              </w:rPr>
              <w:t>110 Allen Road, 2nd Floor, Basking Ridge, New Jersey</w:t>
            </w:r>
          </w:p>
        </w:tc>
        <w:tc>
          <w:tcPr>
            <w:tcW w:w="5060" w:type="dxa"/>
            <w:vAlign w:val="bottom"/>
          </w:tcPr>
          <w:p>
            <w:pPr>
              <w:jc w:val="right"/>
              <w:ind w:right="2571"/>
              <w:spacing w:after="0"/>
              <w:rPr>
                <w:sz w:val="20"/>
                <w:szCs w:val="20"/>
                <w:color w:val="auto"/>
              </w:rPr>
            </w:pPr>
            <w:r>
              <w:rPr>
                <w:rFonts w:ascii="Arial" w:cs="Arial" w:eastAsia="Arial" w:hAnsi="Arial"/>
                <w:sz w:val="14"/>
                <w:szCs w:val="14"/>
                <w:color w:val="auto"/>
              </w:rPr>
              <w:t>07920</w:t>
            </w:r>
          </w:p>
        </w:tc>
      </w:tr>
      <w:tr>
        <w:trPr>
          <w:trHeight w:val="180"/>
        </w:trPr>
        <w:tc>
          <w:tcPr>
            <w:tcW w:w="6180" w:type="dxa"/>
            <w:vAlign w:val="bottom"/>
            <w:gridSpan w:val="2"/>
          </w:tcPr>
          <w:p>
            <w:pPr>
              <w:jc w:val="center"/>
              <w:ind w:right="511"/>
              <w:spacing w:after="0"/>
              <w:rPr>
                <w:sz w:val="20"/>
                <w:szCs w:val="20"/>
                <w:color w:val="auto"/>
              </w:rPr>
            </w:pPr>
            <w:r>
              <w:rPr>
                <w:rFonts w:ascii="Arial" w:cs="Arial" w:eastAsia="Arial" w:hAnsi="Arial"/>
                <w:sz w:val="14"/>
                <w:szCs w:val="14"/>
                <w:color w:val="auto"/>
                <w:w w:val="93"/>
              </w:rPr>
              <w:t>(Address of principal executive offices)</w:t>
            </w:r>
          </w:p>
        </w:tc>
        <w:tc>
          <w:tcPr>
            <w:tcW w:w="5060" w:type="dxa"/>
            <w:vAlign w:val="bottom"/>
          </w:tcPr>
          <w:p>
            <w:pPr>
              <w:jc w:val="center"/>
              <w:ind w:right="531"/>
              <w:spacing w:after="0"/>
              <w:rPr>
                <w:sz w:val="20"/>
                <w:szCs w:val="20"/>
                <w:color w:val="auto"/>
              </w:rPr>
            </w:pPr>
            <w:r>
              <w:rPr>
                <w:rFonts w:ascii="Arial" w:cs="Arial" w:eastAsia="Arial" w:hAnsi="Arial"/>
                <w:sz w:val="14"/>
                <w:szCs w:val="14"/>
                <w:color w:val="auto"/>
                <w:w w:val="94"/>
              </w:rPr>
              <w:t>(zip code)</w:t>
            </w:r>
          </w:p>
        </w:tc>
      </w:tr>
      <w:tr>
        <w:trPr>
          <w:trHeight w:val="424"/>
        </w:trPr>
        <w:tc>
          <w:tcPr>
            <w:tcW w:w="3700" w:type="dxa"/>
            <w:vAlign w:val="bottom"/>
          </w:tcPr>
          <w:p>
            <w:pPr>
              <w:spacing w:after="0"/>
              <w:rPr>
                <w:sz w:val="24"/>
                <w:szCs w:val="24"/>
                <w:color w:val="auto"/>
              </w:rPr>
            </w:pPr>
          </w:p>
        </w:tc>
        <w:tc>
          <w:tcPr>
            <w:tcW w:w="7540" w:type="dxa"/>
            <w:vAlign w:val="bottom"/>
            <w:gridSpan w:val="2"/>
          </w:tcPr>
          <w:p>
            <w:pPr>
              <w:jc w:val="center"/>
              <w:ind w:right="3611"/>
              <w:spacing w:after="0"/>
              <w:rPr>
                <w:sz w:val="20"/>
                <w:szCs w:val="20"/>
                <w:color w:val="auto"/>
              </w:rPr>
            </w:pPr>
            <w:r>
              <w:rPr>
                <w:rFonts w:ascii="Arial" w:cs="Arial" w:eastAsia="Arial" w:hAnsi="Arial"/>
                <w:sz w:val="14"/>
                <w:szCs w:val="14"/>
                <w:color w:val="auto"/>
                <w:w w:val="91"/>
              </w:rPr>
              <w:t>Registrant’s telephone number, including area code: 908-842-0100</w:t>
            </w:r>
          </w:p>
        </w:tc>
      </w:tr>
      <w:tr>
        <w:trPr>
          <w:trHeight w:val="340"/>
        </w:trPr>
        <w:tc>
          <w:tcPr>
            <w:tcW w:w="3700" w:type="dxa"/>
            <w:vAlign w:val="bottom"/>
          </w:tcPr>
          <w:p>
            <w:pPr>
              <w:spacing w:after="0"/>
              <w:rPr>
                <w:sz w:val="24"/>
                <w:szCs w:val="24"/>
                <w:color w:val="auto"/>
              </w:rPr>
            </w:pPr>
          </w:p>
        </w:tc>
        <w:tc>
          <w:tcPr>
            <w:tcW w:w="7540" w:type="dxa"/>
            <w:vAlign w:val="bottom"/>
            <w:gridSpan w:val="2"/>
          </w:tcPr>
          <w:p>
            <w:pPr>
              <w:jc w:val="center"/>
              <w:ind w:right="3631"/>
              <w:spacing w:after="0"/>
              <w:rPr>
                <w:sz w:val="20"/>
                <w:szCs w:val="20"/>
                <w:color w:val="auto"/>
              </w:rPr>
            </w:pPr>
            <w:r>
              <w:rPr>
                <w:rFonts w:ascii="Arial" w:cs="Arial" w:eastAsia="Arial" w:hAnsi="Arial"/>
                <w:sz w:val="14"/>
                <w:szCs w:val="14"/>
                <w:color w:val="auto"/>
                <w:w w:val="91"/>
              </w:rPr>
              <w:t>Securities Registered Pursuant to Section 12(b) of the Act:</w:t>
            </w:r>
          </w:p>
        </w:tc>
      </w:tr>
      <w:tr>
        <w:trPr>
          <w:trHeight w:val="394"/>
        </w:trPr>
        <w:tc>
          <w:tcPr>
            <w:tcW w:w="3700" w:type="dxa"/>
            <w:vAlign w:val="bottom"/>
            <w:tcBorders>
              <w:bottom w:val="single" w:sz="8" w:color="auto"/>
            </w:tcBorders>
          </w:tcPr>
          <w:p>
            <w:pPr>
              <w:jc w:val="center"/>
              <w:ind w:left="931"/>
              <w:spacing w:after="0"/>
              <w:rPr>
                <w:sz w:val="20"/>
                <w:szCs w:val="20"/>
                <w:color w:val="auto"/>
              </w:rPr>
            </w:pPr>
            <w:r>
              <w:rPr>
                <w:rFonts w:ascii="Arial" w:cs="Arial" w:eastAsia="Arial" w:hAnsi="Arial"/>
                <w:sz w:val="11"/>
                <w:szCs w:val="11"/>
                <w:b w:val="1"/>
                <w:bCs w:val="1"/>
                <w:color w:val="auto"/>
                <w:w w:val="91"/>
              </w:rPr>
              <w:t>Title of Each Class</w:t>
            </w:r>
          </w:p>
        </w:tc>
        <w:tc>
          <w:tcPr>
            <w:tcW w:w="2480" w:type="dxa"/>
            <w:vAlign w:val="bottom"/>
            <w:tcBorders>
              <w:bottom w:val="single" w:sz="8" w:color="auto"/>
            </w:tcBorders>
          </w:tcPr>
          <w:p>
            <w:pPr>
              <w:jc w:val="center"/>
              <w:ind w:left="1351"/>
              <w:spacing w:after="0"/>
              <w:rPr>
                <w:sz w:val="20"/>
                <w:szCs w:val="20"/>
                <w:color w:val="auto"/>
              </w:rPr>
            </w:pPr>
            <w:r>
              <w:rPr>
                <w:rFonts w:ascii="Arial" w:cs="Arial" w:eastAsia="Arial" w:hAnsi="Arial"/>
                <w:sz w:val="11"/>
                <w:szCs w:val="11"/>
                <w:b w:val="1"/>
                <w:bCs w:val="1"/>
                <w:color w:val="auto"/>
                <w:w w:val="94"/>
              </w:rPr>
              <w:t>Trading Symbol (s)</w:t>
            </w:r>
          </w:p>
        </w:tc>
        <w:tc>
          <w:tcPr>
            <w:tcW w:w="5060" w:type="dxa"/>
            <w:vAlign w:val="bottom"/>
            <w:tcBorders>
              <w:bottom w:val="single" w:sz="8" w:color="auto"/>
            </w:tcBorders>
          </w:tcPr>
          <w:p>
            <w:pPr>
              <w:jc w:val="center"/>
              <w:ind w:left="371"/>
              <w:spacing w:after="0"/>
              <w:rPr>
                <w:sz w:val="20"/>
                <w:szCs w:val="20"/>
                <w:color w:val="auto"/>
              </w:rPr>
            </w:pPr>
            <w:r>
              <w:rPr>
                <w:rFonts w:ascii="Arial" w:cs="Arial" w:eastAsia="Arial" w:hAnsi="Arial"/>
                <w:sz w:val="11"/>
                <w:szCs w:val="11"/>
                <w:b w:val="1"/>
                <w:bCs w:val="1"/>
                <w:color w:val="auto"/>
                <w:w w:val="93"/>
              </w:rPr>
              <w:t>Name of Each Exchange On Which Registered</w:t>
            </w:r>
          </w:p>
        </w:tc>
      </w:tr>
      <w:tr>
        <w:trPr>
          <w:trHeight w:val="180"/>
        </w:trPr>
        <w:tc>
          <w:tcPr>
            <w:tcW w:w="3700" w:type="dxa"/>
            <w:vAlign w:val="bottom"/>
          </w:tcPr>
          <w:p>
            <w:pPr>
              <w:jc w:val="center"/>
              <w:ind w:left="931"/>
              <w:spacing w:after="0"/>
              <w:rPr>
                <w:sz w:val="20"/>
                <w:szCs w:val="20"/>
                <w:color w:val="auto"/>
              </w:rPr>
            </w:pPr>
            <w:r>
              <w:rPr>
                <w:rFonts w:ascii="Arial" w:cs="Arial" w:eastAsia="Arial" w:hAnsi="Arial"/>
                <w:sz w:val="14"/>
                <w:szCs w:val="14"/>
                <w:color w:val="auto"/>
                <w:w w:val="90"/>
              </w:rPr>
              <w:t>Common Stock, par value $0.001 per share</w:t>
            </w:r>
          </w:p>
        </w:tc>
        <w:tc>
          <w:tcPr>
            <w:tcW w:w="2480" w:type="dxa"/>
            <w:vAlign w:val="bottom"/>
          </w:tcPr>
          <w:p>
            <w:pPr>
              <w:jc w:val="center"/>
              <w:ind w:left="1351"/>
              <w:spacing w:after="0"/>
              <w:rPr>
                <w:sz w:val="20"/>
                <w:szCs w:val="20"/>
                <w:color w:val="auto"/>
              </w:rPr>
            </w:pPr>
            <w:r>
              <w:rPr>
                <w:rFonts w:ascii="Arial" w:cs="Arial" w:eastAsia="Arial" w:hAnsi="Arial"/>
                <w:sz w:val="14"/>
                <w:szCs w:val="14"/>
                <w:color w:val="auto"/>
                <w:w w:val="96"/>
              </w:rPr>
              <w:t>LSTA</w:t>
            </w:r>
          </w:p>
        </w:tc>
        <w:tc>
          <w:tcPr>
            <w:tcW w:w="5060" w:type="dxa"/>
            <w:vAlign w:val="bottom"/>
          </w:tcPr>
          <w:p>
            <w:pPr>
              <w:jc w:val="center"/>
              <w:ind w:left="371"/>
              <w:spacing w:after="0"/>
              <w:rPr>
                <w:sz w:val="20"/>
                <w:szCs w:val="20"/>
                <w:color w:val="auto"/>
              </w:rPr>
            </w:pPr>
            <w:r>
              <w:rPr>
                <w:rFonts w:ascii="Arial" w:cs="Arial" w:eastAsia="Arial" w:hAnsi="Arial"/>
                <w:sz w:val="14"/>
                <w:szCs w:val="14"/>
                <w:color w:val="auto"/>
                <w:w w:val="92"/>
              </w:rPr>
              <w:t>The Nasdaq Capital Market</w:t>
            </w:r>
          </w:p>
        </w:tc>
      </w:tr>
    </w:tbl>
    <w:p>
      <w:pPr>
        <w:spacing w:after="0" w:line="27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85" w:lineRule="exact"/>
        <w:rPr>
          <w:sz w:val="24"/>
          <w:szCs w:val="24"/>
          <w:color w:val="auto"/>
        </w:rPr>
      </w:pPr>
    </w:p>
    <w:p>
      <w:pPr>
        <w:ind w:left="30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4"/>
          <w:szCs w:val="14"/>
          <w:color w:val="auto"/>
        </w:rPr>
        <w:t>Yes o No x</w:t>
      </w:r>
    </w:p>
    <w:p>
      <w:pPr>
        <w:spacing w:after="0" w:line="5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Securities Exchange Act of 1934. Yes o No x</w:t>
      </w:r>
    </w:p>
    <w:p>
      <w:pPr>
        <w:spacing w:after="0" w:line="62" w:lineRule="exact"/>
        <w:rPr>
          <w:sz w:val="24"/>
          <w:szCs w:val="24"/>
          <w:color w:val="auto"/>
        </w:rPr>
      </w:pPr>
    </w:p>
    <w:p>
      <w:pPr>
        <w:ind w:left="100" w:right="20" w:firstLine="191"/>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100" w:right="40" w:firstLine="191"/>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left="30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auto"/>
        </w:rPr>
        <w:t>smaller reporting company, or an emerging growth company. See the definition of “large accelerated filer,” “accelerated filer”, and “smaller reporting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8" w:lineRule="exact"/>
        <w:rPr>
          <w:sz w:val="24"/>
          <w:szCs w:val="24"/>
          <w:color w:val="auto"/>
        </w:rPr>
      </w:pPr>
    </w:p>
    <w:p>
      <w:pPr>
        <w:ind w:right="460" w:firstLine="285"/>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420" w:firstLine="285"/>
        <w:spacing w:after="0" w:line="17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6" w:lineRule="exact"/>
        <w:rPr>
          <w:sz w:val="24"/>
          <w:szCs w:val="24"/>
          <w:color w:val="auto"/>
        </w:rPr>
      </w:pPr>
    </w:p>
    <w:p>
      <w:pPr>
        <w:ind w:right="100" w:firstLine="255"/>
        <w:spacing w:after="0" w:line="19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5" w:lineRule="exact"/>
        <w:rPr>
          <w:sz w:val="24"/>
          <w:szCs w:val="24"/>
          <w:color w:val="auto"/>
        </w:rPr>
      </w:pPr>
    </w:p>
    <w:p>
      <w:pPr>
        <w:ind w:right="220" w:firstLine="285"/>
        <w:spacing w:after="0" w:line="19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40"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5" w:lineRule="exact"/>
        <w:rPr>
          <w:sz w:val="24"/>
          <w:szCs w:val="24"/>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June 30, 2022 (the last business day of the Registrant's most recently completed second fiscal quarter) was approximately $31.3 million, computed by reference to the last sale price of $7.95 for the common stock on the Nasdaq Capital Market reported for such date. Shares held by executive officers, directors and persons owning directly or indirectly more than 10% of the outstanding common stock have been excluded from the preceding number because such persons may be deemed to be affiliates of the Registrant. This determination of affiliate status is not necessarily a conclusive determination for other purposes.</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ectPr>
          <w:pgSz w:w="11900" w:h="16838" w:orient="portrait"/>
          <w:cols w:equalWidth="0" w:num="1">
            <w:col w:w="11280"/>
          </w:cols>
          <w:pgMar w:left="300" w:top="818" w:right="319" w:bottom="265" w:gutter="0" w:footer="0" w:header="0"/>
        </w:sectPr>
      </w:pPr>
    </w:p>
    <w:p>
      <w:pPr>
        <w:spacing w:after="0" w:line="79"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Class</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2"/>
          <w:szCs w:val="12"/>
          <w:color w:val="auto"/>
        </w:rPr>
        <w:t>Common stock, $0.001 par value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Outstanding as of March 30, 2023</w:t>
      </w:r>
    </w:p>
    <w:p>
      <w:pPr>
        <w:spacing w:after="0" w:line="46" w:lineRule="exact"/>
        <w:rPr>
          <w:sz w:val="24"/>
          <w:szCs w:val="24"/>
          <w:color w:val="auto"/>
        </w:rPr>
      </w:pPr>
    </w:p>
    <w:p>
      <w:pPr>
        <w:ind w:left="380"/>
        <w:spacing w:after="0"/>
        <w:rPr>
          <w:sz w:val="20"/>
          <w:szCs w:val="20"/>
          <w:color w:val="auto"/>
        </w:rPr>
      </w:pPr>
      <w:r>
        <w:rPr>
          <w:rFonts w:ascii="Arial" w:cs="Arial" w:eastAsia="Arial" w:hAnsi="Arial"/>
          <w:sz w:val="14"/>
          <w:szCs w:val="14"/>
          <w:color w:val="auto"/>
        </w:rPr>
        <w:t>7,998,342 shares</w:t>
      </w:r>
    </w:p>
    <w:p>
      <w:pPr>
        <w:spacing w:after="0" w:line="200" w:lineRule="exact"/>
        <w:rPr>
          <w:sz w:val="24"/>
          <w:szCs w:val="24"/>
          <w:color w:val="auto"/>
        </w:rPr>
      </w:pPr>
    </w:p>
    <w:p>
      <w:pPr>
        <w:sectPr>
          <w:pgSz w:w="11900" w:h="16838" w:orient="portrait"/>
          <w:cols w:equalWidth="0" w:num="2">
            <w:col w:w="7560" w:space="720"/>
            <w:col w:w="3000"/>
          </w:cols>
          <w:pgMar w:left="300" w:top="818" w:right="319" w:bottom="265" w:gutter="0" w:footer="0" w:header="0"/>
          <w:type w:val="continuous"/>
        </w:sectPr>
      </w:pP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9" w:lineRule="exact"/>
        <w:rPr>
          <w:sz w:val="24"/>
          <w:szCs w:val="24"/>
          <w:color w:val="auto"/>
        </w:rPr>
      </w:pPr>
    </w:p>
    <w:p>
      <w:pPr>
        <w:jc w:val="both"/>
        <w:ind w:firstLine="145"/>
        <w:spacing w:after="0" w:line="267" w:lineRule="auto"/>
        <w:rPr>
          <w:sz w:val="20"/>
          <w:szCs w:val="20"/>
          <w:color w:val="auto"/>
        </w:rPr>
      </w:pPr>
      <w:r>
        <w:rPr>
          <w:rFonts w:ascii="Arial" w:cs="Arial" w:eastAsia="Arial" w:hAnsi="Arial"/>
          <w:sz w:val="14"/>
          <w:szCs w:val="14"/>
          <w:color w:val="auto"/>
        </w:rPr>
        <w:t>The following documents (or parts thereof) are incorporated by reference into the following parts of this Form 10-K: Certain information required in Part III of this Annual Report on Form 10-K is incorporated by reference from the Registrant's Proxy Statement for the 2023 Annual Meeting of Stockholders. Such Proxy Statement will be filed with the Securities and Exchange Commission within 120 days of the Registrant's fiscal year ended December 31, 2022.</w:t>
      </w:r>
    </w:p>
    <w:p>
      <w:pPr>
        <w:sectPr>
          <w:pgSz w:w="11900" w:h="16838" w:orient="portrait"/>
          <w:cols w:equalWidth="0" w:num="1">
            <w:col w:w="11280"/>
          </w:cols>
          <w:pgMar w:left="300" w:top="818" w:right="319" w:bottom="265" w:gutter="0" w:footer="0" w:header="0"/>
          <w:type w:val="continuous"/>
        </w:sectPr>
      </w:pPr>
    </w:p>
    <w:bookmarkStart w:id="1" w:name="page2"/>
    <w:bookmarkEnd w:id="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487045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right="40" w:firstLine="255"/>
        <w:spacing w:after="0" w:line="262" w:lineRule="auto"/>
        <w:rPr>
          <w:sz w:val="20"/>
          <w:szCs w:val="20"/>
          <w:color w:val="auto"/>
        </w:rPr>
      </w:pPr>
      <w:r>
        <w:rPr>
          <w:rFonts w:ascii="Arial" w:cs="Arial" w:eastAsia="Arial" w:hAnsi="Arial"/>
          <w:sz w:val="14"/>
          <w:szCs w:val="14"/>
          <w:color w:val="auto"/>
        </w:rPr>
        <w:t>All references in this Annual Report on Form 10-K to “we,” “us,” the “Company” and “Lisata” mean Lisata Therapeutics, Inc., including subsidiaries and predecessors, except where it is clear that the term refers only to Lisata Therapeutics, Inc. This Annual Report on Form 10-K contains forward-looking statements, which involve risks and uncertainties. The Company's actual results could differ materially from those anticipated in these forward-looking statements as a result of certain factors, including those set forth under “Cautionary Note Regarding Forward-Looking Statements” and under “Risk Factors” and elsewhere in this Annual Report on Form 10-K.</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80" w:type="dxa"/>
            <w:vAlign w:val="bottom"/>
          </w:tcPr>
          <w:p>
            <w:pPr>
              <w:ind w:left="4880"/>
              <w:spacing w:after="0"/>
              <w:rPr>
                <w:sz w:val="20"/>
                <w:szCs w:val="20"/>
                <w:color w:val="auto"/>
              </w:rPr>
            </w:pPr>
            <w:r>
              <w:rPr>
                <w:rFonts w:ascii="Arial" w:cs="Arial" w:eastAsia="Arial" w:hAnsi="Arial"/>
                <w:sz w:val="14"/>
                <w:szCs w:val="14"/>
                <w:b w:val="1"/>
                <w:bCs w:val="1"/>
                <w:color w:val="auto"/>
              </w:rPr>
              <w:t>TABLE OF CONTENTS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980" w:type="dxa"/>
            <w:vAlign w:val="bottom"/>
          </w:tcPr>
          <w:p>
            <w:pPr>
              <w:ind w:left="20"/>
              <w:spacing w:after="0"/>
              <w:rPr>
                <w:sz w:val="20"/>
                <w:szCs w:val="20"/>
                <w:color w:val="auto"/>
              </w:rPr>
            </w:pPr>
            <w:r>
              <w:rPr>
                <w:rFonts w:ascii="Arial" w:cs="Arial" w:eastAsia="Arial" w:hAnsi="Arial"/>
                <w:sz w:val="14"/>
                <w:szCs w:val="14"/>
                <w:color w:val="auto"/>
              </w:rPr>
              <w:t>CAUTIONARY NOTE REGARDING FORWARD-LOOKING STATEMENTS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9980" w:type="dxa"/>
            <w:vAlign w:val="bottom"/>
            <w:shd w:val="clear" w:color="auto" w:fill="CCEEFF"/>
          </w:tcPr>
          <w:p>
            <w:pPr>
              <w:jc w:val="center"/>
              <w:ind w:right="89"/>
              <w:spacing w:after="0"/>
              <w:rPr>
                <w:sz w:val="20"/>
                <w:szCs w:val="20"/>
                <w:color w:val="auto"/>
              </w:rPr>
            </w:pPr>
            <w:r>
              <w:rPr>
                <w:rFonts w:ascii="Arial" w:cs="Arial" w:eastAsia="Arial" w:hAnsi="Arial"/>
                <w:sz w:val="14"/>
                <w:szCs w:val="14"/>
                <w:b w:val="1"/>
                <w:bCs w:val="1"/>
                <w:color w:val="auto"/>
              </w:rPr>
              <w:t>PART I</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1. BUSINESS</w:t>
            </w:r>
          </w:p>
        </w:tc>
        <w:tc>
          <w:tcPr>
            <w:tcW w:w="20" w:type="dxa"/>
            <w:vAlign w:val="bottom"/>
          </w:tcPr>
          <w:p>
            <w:pPr>
              <w:spacing w:after="0"/>
              <w:rPr>
                <w:sz w:val="13"/>
                <w:szCs w:val="13"/>
                <w:color w:val="auto"/>
              </w:rPr>
            </w:pPr>
          </w:p>
        </w:tc>
        <w:tc>
          <w:tcPr>
            <w:tcW w:w="80" w:type="dxa"/>
            <w:vAlign w:val="bottom"/>
            <w:tcBorders>
              <w:bottom w:val="single" w:sz="8" w:color="0000FF"/>
            </w:tcBorders>
          </w:tcPr>
          <w:p>
            <w:pPr>
              <w:jc w:val="center"/>
              <w:spacing w:after="0" w:line="149" w:lineRule="exact"/>
              <w:rPr>
                <w:sz w:val="20"/>
                <w:szCs w:val="20"/>
                <w:color w:val="auto"/>
              </w:rPr>
            </w:pPr>
            <w:r>
              <w:rPr>
                <w:rFonts w:ascii="Arial" w:cs="Arial" w:eastAsia="Arial" w:hAnsi="Arial"/>
                <w:sz w:val="14"/>
                <w:szCs w:val="14"/>
                <w:color w:val="0000FF"/>
              </w:rPr>
              <w:t>5</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18</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1B. UNRESOLVED STAFF COMMENTS</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49</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2. PROPERTIES</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49</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3. LEGAL PROCEEDINGS</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49</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shd w:val="clear" w:color="auto" w:fill="CCEEFF"/>
          </w:tcPr>
          <w:p>
            <w:pPr>
              <w:ind w:left="540"/>
              <w:spacing w:after="0" w:line="155" w:lineRule="exact"/>
              <w:rPr>
                <w:sz w:val="20"/>
                <w:szCs w:val="20"/>
                <w:color w:val="auto"/>
              </w:rPr>
            </w:pPr>
            <w:r>
              <w:rPr>
                <w:rFonts w:ascii="Arial" w:cs="Arial" w:eastAsia="Arial" w:hAnsi="Arial"/>
                <w:sz w:val="14"/>
                <w:szCs w:val="14"/>
                <w:color w:val="auto"/>
              </w:rPr>
              <w:t>ITEM 4. MINE SAFETY DISCLOSURES</w:t>
            </w:r>
          </w:p>
        </w:tc>
        <w:tc>
          <w:tcPr>
            <w:tcW w:w="820" w:type="dxa"/>
            <w:vAlign w:val="bottom"/>
            <w:gridSpan w:val="4"/>
            <w:shd w:val="clear" w:color="auto" w:fill="CCEEFF"/>
          </w:tcPr>
          <w:p>
            <w:pPr>
              <w:jc w:val="center"/>
              <w:ind w:right="680"/>
              <w:spacing w:after="0" w:line="155" w:lineRule="exact"/>
              <w:rPr>
                <w:sz w:val="20"/>
                <w:szCs w:val="20"/>
                <w:color w:val="auto"/>
              </w:rPr>
            </w:pPr>
            <w:r>
              <w:rPr>
                <w:rFonts w:ascii="Arial" w:cs="Arial" w:eastAsia="Arial" w:hAnsi="Arial"/>
                <w:sz w:val="14"/>
                <w:szCs w:val="14"/>
                <w:color w:val="0000FF"/>
                <w:w w:val="89"/>
              </w:rPr>
              <w:t>49</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980" w:type="dxa"/>
            <w:vAlign w:val="bottom"/>
            <w:tcBorders>
              <w:top w:val="single" w:sz="8" w:color="CCEEFF"/>
            </w:tcBorders>
          </w:tcPr>
          <w:p>
            <w:pPr>
              <w:jc w:val="center"/>
              <w:ind w:right="109"/>
              <w:spacing w:after="0"/>
              <w:rPr>
                <w:sz w:val="20"/>
                <w:szCs w:val="20"/>
                <w:color w:val="auto"/>
              </w:rPr>
            </w:pPr>
            <w:r>
              <w:rPr>
                <w:rFonts w:ascii="Arial" w:cs="Arial" w:eastAsia="Arial" w:hAnsi="Arial"/>
                <w:sz w:val="14"/>
                <w:szCs w:val="14"/>
                <w:b w:val="1"/>
                <w:bCs w:val="1"/>
                <w:color w:val="auto"/>
              </w:rPr>
              <w:t>PART II</w:t>
            </w: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998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ITEM 5. MARKET FOR REGISTRANT'S COMMON EQUITY, RELATED STOCKHOLDER MATTERS AND ISSUER PURCHASES OF EQUITY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980" w:type="dxa"/>
            <w:vAlign w:val="bottom"/>
            <w:tcBorders>
              <w:bottom w:val="single" w:sz="8" w:color="CCEEFF"/>
            </w:tcBorders>
            <w:shd w:val="clear" w:color="auto" w:fill="CCEEFF"/>
          </w:tcPr>
          <w:p>
            <w:pPr>
              <w:ind w:left="540"/>
              <w:spacing w:after="0" w:line="159" w:lineRule="exact"/>
              <w:rPr>
                <w:sz w:val="20"/>
                <w:szCs w:val="20"/>
                <w:color w:val="auto"/>
              </w:rPr>
            </w:pPr>
            <w:r>
              <w:rPr>
                <w:rFonts w:ascii="Arial" w:cs="Arial" w:eastAsia="Arial" w:hAnsi="Arial"/>
                <w:sz w:val="14"/>
                <w:szCs w:val="14"/>
                <w:color w:val="auto"/>
              </w:rPr>
              <w:t>SECURITIES</w:t>
            </w:r>
          </w:p>
        </w:tc>
        <w:tc>
          <w:tcPr>
            <w:tcW w:w="140" w:type="dxa"/>
            <w:vAlign w:val="bottom"/>
            <w:tcBorders>
              <w:bottom w:val="single" w:sz="8" w:color="0000FF"/>
            </w:tcBorders>
            <w:gridSpan w:val="3"/>
            <w:shd w:val="clear" w:color="auto" w:fill="CCEEFF"/>
          </w:tcPr>
          <w:p>
            <w:pPr>
              <w:jc w:val="center"/>
              <w:spacing w:after="0" w:line="159" w:lineRule="exact"/>
              <w:rPr>
                <w:sz w:val="20"/>
                <w:szCs w:val="20"/>
                <w:color w:val="auto"/>
              </w:rPr>
            </w:pPr>
            <w:r>
              <w:rPr>
                <w:rFonts w:ascii="Arial" w:cs="Arial" w:eastAsia="Arial" w:hAnsi="Arial"/>
                <w:sz w:val="14"/>
                <w:szCs w:val="14"/>
                <w:color w:val="0000FF"/>
                <w:w w:val="89"/>
              </w:rPr>
              <w:t>51</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6. [RESERVED]</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52</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53</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7A. QUANTITATIVE AND QUALITATIVE DISCLOSURES ABOUT MARKET RISK</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60</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8. FINANCIAL STATEMENTS AND SUPPLEMENTARY DATA</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61</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88</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9A. CONTROLS AND PROCEDURES</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88</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9B. OTHER INFORMATION</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89</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shd w:val="clear" w:color="auto" w:fill="CCEEFF"/>
          </w:tcPr>
          <w:p>
            <w:pPr>
              <w:ind w:left="540"/>
              <w:spacing w:after="0" w:line="155" w:lineRule="exact"/>
              <w:rPr>
                <w:sz w:val="20"/>
                <w:szCs w:val="20"/>
                <w:color w:val="auto"/>
              </w:rPr>
            </w:pPr>
            <w:r>
              <w:rPr>
                <w:rFonts w:ascii="Arial" w:cs="Arial" w:eastAsia="Arial" w:hAnsi="Arial"/>
                <w:sz w:val="14"/>
                <w:szCs w:val="14"/>
                <w:color w:val="auto"/>
              </w:rPr>
              <w:t>ITEM 9C. DISCLOSURE REGARDING FOREIGN JURISDICTIONS THAT PREVENT INSPECTIONS</w:t>
            </w:r>
          </w:p>
        </w:tc>
        <w:tc>
          <w:tcPr>
            <w:tcW w:w="820" w:type="dxa"/>
            <w:vAlign w:val="bottom"/>
            <w:gridSpan w:val="4"/>
            <w:shd w:val="clear" w:color="auto" w:fill="CCEEFF"/>
          </w:tcPr>
          <w:p>
            <w:pPr>
              <w:jc w:val="center"/>
              <w:ind w:right="680"/>
              <w:spacing w:after="0" w:line="155" w:lineRule="exact"/>
              <w:rPr>
                <w:sz w:val="20"/>
                <w:szCs w:val="20"/>
                <w:color w:val="auto"/>
              </w:rPr>
            </w:pPr>
            <w:r>
              <w:rPr>
                <w:rFonts w:ascii="Arial" w:cs="Arial" w:eastAsia="Arial" w:hAnsi="Arial"/>
                <w:sz w:val="14"/>
                <w:szCs w:val="14"/>
                <w:color w:val="0000FF"/>
                <w:w w:val="89"/>
              </w:rPr>
              <w:t>89</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980" w:type="dxa"/>
            <w:vAlign w:val="bottom"/>
            <w:tcBorders>
              <w:top w:val="single" w:sz="8" w:color="CCEEFF"/>
            </w:tcBorders>
          </w:tcPr>
          <w:p>
            <w:pPr>
              <w:jc w:val="center"/>
              <w:ind w:right="89"/>
              <w:spacing w:after="0"/>
              <w:rPr>
                <w:sz w:val="20"/>
                <w:szCs w:val="20"/>
                <w:color w:val="auto"/>
              </w:rPr>
            </w:pPr>
            <w:r>
              <w:rPr>
                <w:rFonts w:ascii="Arial" w:cs="Arial" w:eastAsia="Arial" w:hAnsi="Arial"/>
                <w:sz w:val="14"/>
                <w:szCs w:val="14"/>
                <w:b w:val="1"/>
                <w:bCs w:val="1"/>
                <w:color w:val="auto"/>
              </w:rPr>
              <w:t>PART III</w:t>
            </w: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980" w:type="dxa"/>
            <w:vAlign w:val="bottom"/>
            <w:tcBorders>
              <w:bottom w:val="single" w:sz="8" w:color="CCEEFF"/>
            </w:tcBorders>
            <w:shd w:val="clear" w:color="auto" w:fill="CCEEFF"/>
          </w:tcPr>
          <w:p>
            <w:pPr>
              <w:ind w:left="540"/>
              <w:spacing w:after="0" w:line="149" w:lineRule="exact"/>
              <w:rPr>
                <w:sz w:val="20"/>
                <w:szCs w:val="20"/>
                <w:color w:val="auto"/>
              </w:rPr>
            </w:pPr>
            <w:r>
              <w:rPr>
                <w:rFonts w:ascii="Arial" w:cs="Arial" w:eastAsia="Arial" w:hAnsi="Arial"/>
                <w:sz w:val="14"/>
                <w:szCs w:val="14"/>
                <w:color w:val="auto"/>
              </w:rPr>
              <w:t>ITEM 10. DIRECTORS, EXECUTIVE OFFICERS AND CORPORATE GOVERNANCE</w:t>
            </w:r>
          </w:p>
        </w:tc>
        <w:tc>
          <w:tcPr>
            <w:tcW w:w="14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Arial" w:cs="Arial" w:eastAsia="Arial" w:hAnsi="Arial"/>
                <w:sz w:val="14"/>
                <w:szCs w:val="14"/>
                <w:color w:val="0000FF"/>
                <w:w w:val="89"/>
              </w:rPr>
              <w:t>90</w:t>
            </w:r>
          </w:p>
        </w:tc>
        <w:tc>
          <w:tcPr>
            <w:tcW w:w="680" w:type="dxa"/>
            <w:vAlign w:val="bottom"/>
            <w:tcBorders>
              <w:bottom w:val="single" w:sz="8" w:color="CCEEFF"/>
            </w:tcBorders>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980" w:type="dxa"/>
            <w:vAlign w:val="bottom"/>
          </w:tcPr>
          <w:p>
            <w:pPr>
              <w:ind w:left="540"/>
              <w:spacing w:after="0"/>
              <w:rPr>
                <w:sz w:val="20"/>
                <w:szCs w:val="20"/>
                <w:color w:val="auto"/>
              </w:rPr>
            </w:pPr>
            <w:r>
              <w:rPr>
                <w:rFonts w:ascii="Arial" w:cs="Arial" w:eastAsia="Arial" w:hAnsi="Arial"/>
                <w:sz w:val="14"/>
                <w:szCs w:val="14"/>
                <w:color w:val="auto"/>
              </w:rPr>
              <w:t>ITEM 11. EXECUTIVE COMPENSATION</w:t>
            </w:r>
          </w:p>
        </w:tc>
        <w:tc>
          <w:tcPr>
            <w:tcW w:w="140" w:type="dxa"/>
            <w:vAlign w:val="bottom"/>
            <w:gridSpan w:val="3"/>
            <w:vMerge w:val="restart"/>
          </w:tcPr>
          <w:p>
            <w:pPr>
              <w:jc w:val="center"/>
              <w:spacing w:after="0"/>
              <w:rPr>
                <w:sz w:val="20"/>
                <w:szCs w:val="20"/>
                <w:color w:val="auto"/>
              </w:rPr>
            </w:pPr>
            <w:r>
              <w:rPr>
                <w:rFonts w:ascii="Arial" w:cs="Arial" w:eastAsia="Arial" w:hAnsi="Arial"/>
                <w:sz w:val="14"/>
                <w:szCs w:val="14"/>
                <w:color w:val="0000FF"/>
                <w:w w:val="89"/>
              </w:rPr>
              <w:t>90</w:t>
            </w:r>
          </w:p>
        </w:tc>
        <w:tc>
          <w:tcPr>
            <w:tcW w:w="68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980" w:type="dxa"/>
            <w:vAlign w:val="bottom"/>
          </w:tcPr>
          <w:p>
            <w:pPr>
              <w:spacing w:after="0"/>
              <w:rPr>
                <w:sz w:val="2"/>
                <w:szCs w:val="2"/>
                <w:color w:val="auto"/>
              </w:rPr>
            </w:pPr>
          </w:p>
        </w:tc>
        <w:tc>
          <w:tcPr>
            <w:tcW w:w="140" w:type="dxa"/>
            <w:vAlign w:val="bottom"/>
            <w:tcBorders>
              <w:bottom w:val="single" w:sz="8" w:color="0000FF"/>
            </w:tcBorders>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9980" w:type="dxa"/>
            <w:vAlign w:val="bottom"/>
            <w:tcBorders>
              <w:bottom w:val="single" w:sz="8" w:color="CCEEFF"/>
            </w:tcBorders>
            <w:shd w:val="clear" w:color="auto" w:fill="CCEEFF"/>
          </w:tcPr>
          <w:p>
            <w:pPr>
              <w:ind w:left="540"/>
              <w:spacing w:after="0" w:line="155" w:lineRule="exact"/>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Arial" w:cs="Arial" w:eastAsia="Arial" w:hAnsi="Arial"/>
                <w:sz w:val="14"/>
                <w:szCs w:val="14"/>
                <w:color w:val="0000FF"/>
                <w:w w:val="89"/>
              </w:rPr>
              <w:t>90</w:t>
            </w:r>
          </w:p>
        </w:tc>
        <w:tc>
          <w:tcPr>
            <w:tcW w:w="680" w:type="dxa"/>
            <w:vAlign w:val="bottom"/>
            <w:tcBorders>
              <w:bottom w:val="single" w:sz="8" w:color="CCEEFF"/>
            </w:tcBorders>
            <w:shd w:val="clear" w:color="auto" w:fill="CCEEFF"/>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13. CERTAIN RELATIONSHIPS AND RELATED TRANSACTIONS, AND DIRECTOR INDEPENDENCE</w:t>
            </w: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Arial" w:cs="Arial" w:eastAsia="Arial" w:hAnsi="Arial"/>
                <w:sz w:val="14"/>
                <w:szCs w:val="14"/>
                <w:color w:val="0000FF"/>
                <w:w w:val="89"/>
              </w:rPr>
              <w:t>90</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980" w:type="dxa"/>
            <w:vAlign w:val="bottom"/>
            <w:shd w:val="clear" w:color="auto" w:fill="CCEEFF"/>
          </w:tcPr>
          <w:p>
            <w:pPr>
              <w:ind w:left="540"/>
              <w:spacing w:after="0" w:line="155" w:lineRule="exact"/>
              <w:rPr>
                <w:sz w:val="20"/>
                <w:szCs w:val="20"/>
                <w:color w:val="auto"/>
              </w:rPr>
            </w:pPr>
            <w:r>
              <w:rPr>
                <w:rFonts w:ascii="Arial" w:cs="Arial" w:eastAsia="Arial" w:hAnsi="Arial"/>
                <w:sz w:val="14"/>
                <w:szCs w:val="14"/>
                <w:color w:val="auto"/>
              </w:rPr>
              <w:t>ITEM 14. PRINCIPAL ACCOUNTING FEES AND SERVICES</w:t>
            </w:r>
          </w:p>
        </w:tc>
        <w:tc>
          <w:tcPr>
            <w:tcW w:w="820" w:type="dxa"/>
            <w:vAlign w:val="bottom"/>
            <w:gridSpan w:val="4"/>
            <w:shd w:val="clear" w:color="auto" w:fill="CCEEFF"/>
          </w:tcPr>
          <w:p>
            <w:pPr>
              <w:jc w:val="center"/>
              <w:ind w:right="680"/>
              <w:spacing w:after="0" w:line="155" w:lineRule="exact"/>
              <w:rPr>
                <w:sz w:val="20"/>
                <w:szCs w:val="20"/>
                <w:color w:val="auto"/>
              </w:rPr>
            </w:pPr>
            <w:r>
              <w:rPr>
                <w:rFonts w:ascii="Arial" w:cs="Arial" w:eastAsia="Arial" w:hAnsi="Arial"/>
                <w:sz w:val="14"/>
                <w:szCs w:val="14"/>
                <w:color w:val="0000FF"/>
                <w:w w:val="89"/>
              </w:rPr>
              <w:t>90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980" w:type="dxa"/>
            <w:vAlign w:val="bottom"/>
            <w:tcBorders>
              <w:top w:val="single" w:sz="8" w:color="CCEEFF"/>
            </w:tcBorders>
          </w:tcPr>
          <w:p>
            <w:pPr>
              <w:jc w:val="center"/>
              <w:ind w:right="109"/>
              <w:spacing w:after="0"/>
              <w:rPr>
                <w:sz w:val="20"/>
                <w:szCs w:val="20"/>
                <w:color w:val="auto"/>
              </w:rPr>
            </w:pPr>
            <w:r>
              <w:rPr>
                <w:rFonts w:ascii="Arial" w:cs="Arial" w:eastAsia="Arial" w:hAnsi="Arial"/>
                <w:sz w:val="14"/>
                <w:szCs w:val="14"/>
                <w:b w:val="1"/>
                <w:bCs w:val="1"/>
                <w:color w:val="auto"/>
              </w:rPr>
              <w:t>PART IV</w:t>
            </w: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ITEM 15. EXHIBITS, FINANCIAL STATEMENT SCHEDULES</w:t>
            </w:r>
          </w:p>
        </w:tc>
        <w:tc>
          <w:tcPr>
            <w:tcW w:w="140" w:type="dxa"/>
            <w:vAlign w:val="bottom"/>
            <w:gridSpan w:val="3"/>
            <w:vMerge w:val="restart"/>
            <w:shd w:val="clear" w:color="auto" w:fill="CCEEFF"/>
          </w:tcPr>
          <w:p>
            <w:pPr>
              <w:jc w:val="center"/>
              <w:spacing w:after="0"/>
              <w:rPr>
                <w:sz w:val="20"/>
                <w:szCs w:val="20"/>
                <w:color w:val="auto"/>
              </w:rPr>
            </w:pPr>
            <w:r>
              <w:rPr>
                <w:rFonts w:ascii="Arial" w:cs="Arial" w:eastAsia="Arial" w:hAnsi="Arial"/>
                <w:sz w:val="14"/>
                <w:szCs w:val="14"/>
                <w:color w:val="0000FF"/>
                <w:w w:val="89"/>
              </w:rPr>
              <w:t>90</w:t>
            </w:r>
          </w:p>
        </w:tc>
        <w:tc>
          <w:tcPr>
            <w:tcW w:w="680" w:type="dxa"/>
            <w:vAlign w:val="bottom"/>
            <w:vMerge w:val="restart"/>
            <w:shd w:val="clear" w:color="auto" w:fill="CCEEFF"/>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9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0000FF"/>
            </w:tcBorders>
            <w:gridSpan w:val="3"/>
            <w:vMerge w:val="continue"/>
            <w:shd w:val="clear" w:color="auto" w:fill="CCEEFF"/>
          </w:tcPr>
          <w:p>
            <w:pPr>
              <w:spacing w:after="0"/>
              <w:rPr>
                <w:sz w:val="2"/>
                <w:szCs w:val="2"/>
                <w:color w:val="auto"/>
              </w:rPr>
            </w:pPr>
          </w:p>
        </w:tc>
        <w:tc>
          <w:tcPr>
            <w:tcW w:w="680" w:type="dxa"/>
            <w:vAlign w:val="bottom"/>
            <w:tcBorders>
              <w:bottom w:val="single" w:sz="8" w:color="CCEEFF"/>
            </w:tcBorders>
            <w:vMerge w:val="continue"/>
            <w:shd w:val="clear" w:color="auto" w:fill="CCEEFF"/>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9980" w:type="dxa"/>
            <w:vAlign w:val="bottom"/>
          </w:tcPr>
          <w:p>
            <w:pPr>
              <w:ind w:left="540"/>
              <w:spacing w:after="0" w:line="149" w:lineRule="exact"/>
              <w:rPr>
                <w:sz w:val="20"/>
                <w:szCs w:val="20"/>
                <w:color w:val="auto"/>
              </w:rPr>
            </w:pPr>
            <w:r>
              <w:rPr>
                <w:rFonts w:ascii="Arial" w:cs="Arial" w:eastAsia="Arial" w:hAnsi="Arial"/>
                <w:sz w:val="14"/>
                <w:szCs w:val="14"/>
                <w:color w:val="auto"/>
              </w:rPr>
              <w:t>ITEM 16. FORM 10-K SUMMARY</w:t>
            </w:r>
          </w:p>
        </w:tc>
        <w:tc>
          <w:tcPr>
            <w:tcW w:w="820" w:type="dxa"/>
            <w:vAlign w:val="bottom"/>
            <w:gridSpan w:val="4"/>
          </w:tcPr>
          <w:p>
            <w:pPr>
              <w:jc w:val="center"/>
              <w:ind w:right="680"/>
              <w:spacing w:after="0" w:line="149" w:lineRule="exact"/>
              <w:rPr>
                <w:sz w:val="20"/>
                <w:szCs w:val="20"/>
                <w:color w:val="auto"/>
              </w:rPr>
            </w:pPr>
            <w:r>
              <w:rPr>
                <w:rFonts w:ascii="Arial" w:cs="Arial" w:eastAsia="Arial" w:hAnsi="Arial"/>
                <w:sz w:val="14"/>
                <w:szCs w:val="14"/>
                <w:color w:val="0000FF"/>
                <w:w w:val="89"/>
              </w:rPr>
              <w:t>94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1"/>
        </w:trPr>
        <w:tc>
          <w:tcPr>
            <w:tcW w:w="9980" w:type="dxa"/>
            <w:vAlign w:val="bottom"/>
          </w:tcPr>
          <w:p>
            <w:pPr>
              <w:ind w:left="5600"/>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200" w:lineRule="exact"/>
        <w:rPr>
          <w:sz w:val="20"/>
          <w:szCs w:val="20"/>
          <w:color w:val="auto"/>
        </w:rPr>
      </w:pPr>
    </w:p>
    <w:p>
      <w:pPr>
        <w:spacing w:after="0" w:line="227"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This annual report (this “Annual Report”) contains “forward-looking” statements within the meaning of the Private Securities Litigation Reform Act of 1995, as well as historical information. When used in this Annual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89" w:lineRule="exact"/>
        <w:rPr>
          <w:sz w:val="20"/>
          <w:szCs w:val="20"/>
          <w:color w:val="auto"/>
        </w:rPr>
      </w:pPr>
    </w:p>
    <w:p>
      <w:pPr>
        <w:jc w:val="both"/>
        <w:ind w:left="520" w:hanging="260"/>
        <w:spacing w:after="0" w:line="267"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obtain sufficient capital or strategic business arrangements to fund our operations and expansion plans, including collecting monies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spacing w:after="0" w:line="7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build and maintain the management and human resources infrastructure necessary to support the operation and/or growth of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whether a market is established for our products and our ability to capture a meaningful share of this market;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scientific, regulatory and medical developments beyond our control;</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whether any potential strategic or financial benefits of various licensing agreements will be realized;</w:t>
      </w:r>
    </w:p>
    <w:p>
      <w:pPr>
        <w:spacing w:after="0" w:line="114"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5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long-term success of our recently completed merger with Cend Therapeutics, Inc. (“Cend”), including the ongoing integration of Cend’s operations and the advancement of their development programs;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results of our development activities;</w:t>
      </w:r>
    </w:p>
    <w:p>
      <w:pPr>
        <w:spacing w:after="0" w:line="114"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such as the COVID-19 pandemic and the need of patients to meet the inclusion criteria of the trial or otherwise; and</w:t>
      </w:r>
    </w:p>
    <w:p>
      <w:pPr>
        <w:spacing w:after="0" w:line="8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extent to which the COVID-19 pandemic and/or its long-term effects specifically may impact, directly or indirectly, our business, including our clinical trials and financial condition.</w:t>
      </w:r>
    </w:p>
    <w:p>
      <w:pPr>
        <w:spacing w:after="0" w:line="105"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 xml:space="preserve">The factors discussed herein, including those risks described in “Item 1A. Risk Factors” and in our other periodic filings with the SEC, which are available for review at </w:t>
      </w:r>
      <w:r>
        <w:rPr>
          <w:rFonts w:ascii="Arial" w:cs="Arial" w:eastAsia="Arial" w:hAnsi="Arial"/>
          <w:sz w:val="13"/>
          <w:szCs w:val="13"/>
          <w:i w:val="1"/>
          <w:iCs w:val="1"/>
          <w:color w:val="auto"/>
        </w:rPr>
        <w:t>www.sec.gov</w:t>
      </w:r>
      <w:r>
        <w:rPr>
          <w:rFonts w:ascii="Arial" w:cs="Arial" w:eastAsia="Arial" w:hAnsi="Arial"/>
          <w:sz w:val="13"/>
          <w:szCs w:val="13"/>
          <w:color w:val="auto"/>
        </w:rPr>
        <w:t>, could cause actual results and developments to be materially different from those expressed or implied by such statements. All forward-looking statements attributable to us are expressly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1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Lisata Therapeutics, Inc. (together with its subsidiaries, “we,” “us,” “our,” “Lisata” or the “Company”) is a clinical-stage pharmaceutical company dedicated to the discovery, development and commercialization of innovative therapies for the treatment of solid tumors and other major diseases. Our lead investigational product candidate, LSTA1 (formerly known as CEND-1),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affected. LSTA1 also has the potential to modify the tumor microenvironment (“TME”), with the objective of making tumors more susceptible to immunotherapies. We and our collaborators have amassed significant non-clinical data demonstrating enhanced delivery of a range of emerging anti-cancer therapies, including immunotherapies and RNA-based therapeutics. To date, LSTA1 has also demonstrated favorable safety, tolerability, and activity in completed and ongoing clinical trials designed to enhance delivery of standard-of-care chemotherapy for pancreatic cancer. We are exploring the potential of LSTA1 to enable a variety of treatment modalities to treat a range of solid tumors more effectively. In addition, we have clinical development programs based on our autologous CD34+ cell therapy technology platform that are advancing toward their next development milestone while incurring no capital outlay.</w:t>
      </w:r>
    </w:p>
    <w:p>
      <w:pPr>
        <w:spacing w:after="0" w:line="8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based on a broad and versatile portfolio of candidates. Our current development pipeline includes:</w:t>
      </w:r>
    </w:p>
    <w:p>
      <w:pPr>
        <w:spacing w:after="0" w:line="89" w:lineRule="exact"/>
        <w:rPr>
          <w:sz w:val="20"/>
          <w:szCs w:val="20"/>
          <w:color w:val="auto"/>
        </w:rPr>
      </w:pPr>
    </w:p>
    <w:p>
      <w:pPr>
        <w:ind w:firstLine="260"/>
        <w:spacing w:after="0" w:line="281" w:lineRule="auto"/>
        <w:tabs>
          <w:tab w:leader="none" w:pos="506" w:val="left"/>
        </w:tabs>
        <w:numPr>
          <w:ilvl w:val="0"/>
          <w:numId w:val="4"/>
        </w:numPr>
        <w:rPr>
          <w:rFonts w:ascii="Arial" w:cs="Arial" w:eastAsia="Arial" w:hAnsi="Arial"/>
          <w:sz w:val="14"/>
          <w:szCs w:val="14"/>
          <w:color w:val="auto"/>
        </w:rPr>
      </w:pPr>
      <w:r>
        <w:rPr>
          <w:rFonts w:ascii="Arial" w:cs="Arial" w:eastAsia="Arial" w:hAnsi="Arial"/>
          <w:sz w:val="14"/>
          <w:szCs w:val="14"/>
          <w:color w:val="auto"/>
        </w:rPr>
        <w:t>LSTA1, the subject of Phase 1b/2a and 2b clinical studies being conducted globally in a variety of solid tumor types, including metastatic pancreatic ductal adenocarcinoma (mPDAC), in combination with a variety of anti-cancer regimens;</w:t>
      </w:r>
    </w:p>
    <w:p>
      <w:pPr>
        <w:spacing w:after="0" w:line="68" w:lineRule="exact"/>
        <w:rPr>
          <w:rFonts w:ascii="Arial" w:cs="Arial" w:eastAsia="Arial" w:hAnsi="Arial"/>
          <w:sz w:val="14"/>
          <w:szCs w:val="14"/>
          <w:color w:val="auto"/>
        </w:rPr>
      </w:pPr>
    </w:p>
    <w:p>
      <w:pPr>
        <w:jc w:val="both"/>
        <w:ind w:firstLine="260"/>
        <w:spacing w:after="0" w:line="216" w:lineRule="auto"/>
        <w:tabs>
          <w:tab w:leader="none" w:pos="506" w:val="left"/>
        </w:tabs>
        <w:numPr>
          <w:ilvl w:val="0"/>
          <w:numId w:val="4"/>
        </w:numPr>
        <w:rPr>
          <w:rFonts w:ascii="Arial" w:cs="Arial" w:eastAsia="Arial" w:hAnsi="Arial"/>
          <w:sz w:val="14"/>
          <w:szCs w:val="14"/>
          <w:color w:val="auto"/>
        </w:rPr>
      </w:pPr>
      <w:r>
        <w:rPr>
          <w:rFonts w:ascii="Arial" w:cs="Arial" w:eastAsia="Arial" w:hAnsi="Arial"/>
          <w:sz w:val="14"/>
          <w:szCs w:val="14"/>
          <w:color w:val="auto"/>
        </w:rPr>
        <w:t>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(LSTA12, formerly CLBS12), recipient of SAKIGAKE designation, pursuant to which early conditional approval in Japan for the treatment of critical limb ischemia (“CLI”) and Buerger’s disease is being sought based on the current results of a clinical trial executed in Japan.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was the recipient of orphan drug designation in March 2021 from the U.S. Food and Drug Administration (“FDA”) for Buerger's disease; and</w:t>
      </w:r>
    </w:p>
    <w:p>
      <w:pPr>
        <w:spacing w:after="0" w:line="108" w:lineRule="exact"/>
        <w:rPr>
          <w:rFonts w:ascii="Arial" w:cs="Arial" w:eastAsia="Arial" w:hAnsi="Arial"/>
          <w:sz w:val="14"/>
          <w:szCs w:val="14"/>
          <w:color w:val="auto"/>
        </w:rPr>
      </w:pPr>
    </w:p>
    <w:p>
      <w:pPr>
        <w:ind w:firstLine="260"/>
        <w:spacing w:after="0" w:line="281" w:lineRule="auto"/>
        <w:tabs>
          <w:tab w:leader="none" w:pos="506" w:val="left"/>
        </w:tabs>
        <w:numPr>
          <w:ilvl w:val="0"/>
          <w:numId w:val="4"/>
        </w:numPr>
        <w:rPr>
          <w:rFonts w:ascii="Arial" w:cs="Arial" w:eastAsia="Arial" w:hAnsi="Arial"/>
          <w:sz w:val="14"/>
          <w:szCs w:val="14"/>
          <w:color w:val="auto"/>
        </w:rPr>
      </w:pPr>
      <w:r>
        <w:rPr>
          <w:rFonts w:ascii="Arial" w:cs="Arial" w:eastAsia="Arial" w:hAnsi="Arial"/>
          <w:sz w:val="14"/>
          <w:szCs w:val="14"/>
          <w:color w:val="auto"/>
        </w:rPr>
        <w:t>LSTA201 (formerly, CLBS201), the subject of a recently completed study designed to assess the safety and efficacy of CD34+ cell therapy as a regenerative treatment for patients with chronic kidney disease related to type 2 diabetes (diabetic kidney disease or “DKD”).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Corporate Information</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 xml:space="preserve">We incorporated in 1980 as a Delaware corporation and our principal executive offices are located at 110 Allen Road, Second Floor, Basking Ridge, NJ 07920. Our telephone number is (908) 842-0100 and the corporate website address is </w:t>
      </w:r>
      <w:r>
        <w:rPr>
          <w:rFonts w:ascii="Arial" w:cs="Arial" w:eastAsia="Arial" w:hAnsi="Arial"/>
          <w:sz w:val="14"/>
          <w:szCs w:val="14"/>
          <w:i w:val="1"/>
          <w:iCs w:val="1"/>
          <w:color w:val="auto"/>
        </w:rPr>
        <w:t>www.lisata.com</w:t>
      </w:r>
      <w:r>
        <w:rPr>
          <w:rFonts w:ascii="Arial" w:cs="Arial" w:eastAsia="Arial" w:hAnsi="Arial"/>
          <w:sz w:val="14"/>
          <w:szCs w:val="14"/>
          <w:color w:val="auto"/>
        </w:rPr>
        <w:t>. Our website address in this Annual Report is included only as an inactive textual reference and is not intended to be an active link to our website. The information on the website is not incorporated by reference into this Annual Report.</w:t>
      </w:r>
    </w:p>
    <w:p>
      <w:pPr>
        <w:spacing w:after="0" w:line="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 xml:space="preserve">Our Annual Reports on Form 10-K, Quarterly Reports on Form 10-Q, Current Reports on Form 8-K and all amendments to those reports, as well as other documents filed with the U.S. Securities and Exchange Commission (“SEC”), are available free of charge through the Investors section of the website as soon as reasonably practicable after such material is electronically filed with or furnished to the SEC. The public can obtain documents that are filed with the SEC at </w:t>
      </w:r>
      <w:r>
        <w:rPr>
          <w:rFonts w:ascii="Arial" w:cs="Arial" w:eastAsia="Arial" w:hAnsi="Arial"/>
          <w:sz w:val="14"/>
          <w:szCs w:val="14"/>
          <w:i w:val="1"/>
          <w:iCs w:val="1"/>
          <w:color w:val="auto"/>
        </w:rPr>
        <w:t>www.sec.gov</w:t>
      </w:r>
      <w:r>
        <w:rPr>
          <w:rFonts w:ascii="Arial" w:cs="Arial" w:eastAsia="Arial" w:hAnsi="Arial"/>
          <w:sz w:val="14"/>
          <w:szCs w:val="14"/>
          <w:color w:val="auto"/>
        </w:rPr>
        <w:t>.</w:t>
      </w:r>
    </w:p>
    <w:p>
      <w:pPr>
        <w:spacing w:after="0" w:line="84" w:lineRule="exact"/>
        <w:rPr>
          <w:sz w:val="20"/>
          <w:szCs w:val="20"/>
          <w:color w:val="auto"/>
        </w:rPr>
      </w:pPr>
    </w:p>
    <w:p>
      <w:pPr>
        <w:jc w:val="both"/>
        <w:ind w:firstLine="255"/>
        <w:spacing w:after="0" w:line="237" w:lineRule="auto"/>
        <w:rPr>
          <w:sz w:val="20"/>
          <w:szCs w:val="20"/>
          <w:color w:val="auto"/>
        </w:rPr>
      </w:pPr>
      <w:r>
        <w:rPr>
          <w:rFonts w:ascii="Arial" w:cs="Arial" w:eastAsia="Arial" w:hAnsi="Arial"/>
          <w:sz w:val="14"/>
          <w:szCs w:val="14"/>
          <w:color w:val="auto"/>
        </w:rPr>
        <w:t>This Annual Report includes the following trademarks owned by us: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CendR Platform™ These trademarks are the property of Lisata. This Annual Report also includes other trademarks, service marks and trade names owned by us or other companies. All trademarks, service marks and traded names included herein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with Cend Therapeutics, Inc. and Name Change</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On September 15, 2022, we, then operating as Caladrius Biosciences, Inc. (“Caladrius"), completed our acquisition of Cend Therapeutics, Inc. (the “Merger”), in accordance with the terms of the Agreement and Plan of Merger and Reorganization (the “Merger Agreement”), dated as of April 26, 2022, by and among us, Cend Therapeutics, Inc. (“Cend”) and CS Cedar Merger Sub, Inc. (“Merger Sub”).</w:t>
      </w:r>
    </w:p>
    <w:p>
      <w:pPr>
        <w:spacing w:after="0" w:line="8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Pursuant to the terms set forth in the Merger Agreement and effective September 15, 2022 (the “Effective Time”): (i) Merger Sub merged with and into Cend, with Cend surviving as our wholly owned subsidiary, (ii) we changed our name to Lisata Therapeutics, Inc., and (iii) we effected a 1:15 reverse stock split of our common stock (the “Reverse Stock Split”) prior to the Effective Time. At the Effective Time, each share of Cend's common stock outstanding immediately prior to the Effective Time was converted into the right to receive shares of our common stock, based on an exchange ratio of 0.5338, after taking into account the Reverse Stock Split (the “Exchange Ratio”). In connection with the Merger close, we issued an aggregate of 3,772,768 shares of common stock, based on the Exchange Ratio, to holders of Cend, in exchange for all of the Cend capital stock outstanding immediately prior to the closing of the Merger.</w:t>
      </w:r>
    </w:p>
    <w:p>
      <w:pPr>
        <w:spacing w:after="0" w:line="8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Pursuant to the Merger Agreement, we assumed all of the outstanding and unexercised options to purchase shares of Cend capital stock under the 2016 Equity Incentive Plan (the “Cend Plan”), and, in connection with the Merger, such options were converted into options to purchase shares of our common stock based on the Exchange Ratio. At the closing of the Merger, we assumed Cend's stock options to purchase an aggregate of 1,227,776 shares of our common stock.</w:t>
      </w:r>
    </w:p>
    <w:p>
      <w:pPr>
        <w:spacing w:after="0" w:line="78"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Caladrius was considered to be the accounting acquirer based on the terms of the Merger Agreement and certain factors including: (i) Caladrius owned approximately 52% of our outstanding shares of common stock immediately following the close of the Merger; (ii) although both entities contributed to our new management team, the Caladrius team had more individuals on the management team and holds the chief executive officer (“CEO”), chief medical officer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as reported in the consolidated statement of operations. The prior reported operating results prior to the closing of the Merger are those of Caladrius alone.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Considerations</w:t>
      </w:r>
    </w:p>
    <w:p>
      <w:pPr>
        <w:spacing w:after="0" w:line="125" w:lineRule="exact"/>
        <w:rPr>
          <w:sz w:val="20"/>
          <w:szCs w:val="20"/>
          <w:color w:val="auto"/>
        </w:rPr>
      </w:pPr>
    </w:p>
    <w:p>
      <w:pPr>
        <w:jc w:val="both"/>
        <w:ind w:firstLine="255"/>
        <w:spacing w:after="0" w:line="245" w:lineRule="auto"/>
        <w:rPr>
          <w:sz w:val="20"/>
          <w:szCs w:val="20"/>
          <w:color w:val="auto"/>
        </w:rPr>
      </w:pPr>
      <w:r>
        <w:rPr>
          <w:rFonts w:ascii="Arial" w:cs="Arial" w:eastAsia="Arial" w:hAnsi="Arial"/>
          <w:sz w:val="13"/>
          <w:szCs w:val="13"/>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reasonably be estimated at this time. In response to the COVID-19 pandemic, we implemented a universal work from home policy, which remains in effect, as well as stringent social distancing and other hygiene policies for employees when they are required in the office. As a result, we also reduced the size of leased space at our Basking Ridge headquarters thereby reducing leasing costs. Our clinical study of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experienced significant delays in enrollment due to the States of Emergency in effect in Japan for most of 2020, 2021 and 2022 covering Tokyo and other regions in response to an increased number of COVID-19 infections. With our expectation that COVID-19 in Japan would continue to negatively impact clinical site operations and enrollment of patients in the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clinical trial, we elected to suspend trial enrollment, seek a development partner and consult with the Japanese regulatory authorities regarding the submission of patient data already accrued. Lisata's' Phase 2b FREEDOM Trial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U.S. had also experienced delays in enrolling patients as a result of COVID-19.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as well as with a contrast agent typically used in many catheter laboratories. In May 2022, we announced that enrollment in the FREEDOM Trial had been suspended and that we intended to conduct an interim analysis of the data from not less than the first 20 patients enrolled using the six-month follow-up data to evaluate the efficacy and safety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subjects with CMD. Following this analysis along with Key Opinion Leaders’ input, we determined that execution of a redesigned FREEDOM-like trial would be the appropriate next step, but the cost of such a trial would be prohibitively expensive to undergo without a strategic partner. Accordingly, our board of directors concluded that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On September 14, 2022, in connection with the Merger, we implemented the Reverse Stock Split, which was approved at our annual meeting of stockholders on September 13, 2022. The Reverse Stock Split became effective on September 14, 2022 at 5:00 pm and our common stock began trading on The Nasdaq Capital Market on a post-split basis at the open of business on September 15, 2022. As of September 14, 2022, every fifteen shares of our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our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 increase the per share trading price of our common stock to satisfy the $1.00 minimum bid price requirement for continued listing on The Nasdaq Capital Market.</w:t>
      </w:r>
    </w:p>
    <w:p>
      <w:pPr>
        <w:spacing w:after="0" w:line="7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Targeted Solid Tumor Penetration via CendR Active Transport</w:t>
      </w:r>
    </w:p>
    <w:p>
      <w:pPr>
        <w:spacing w:after="0" w:line="11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Many solid tumor cancers, including pancreatic ductal adenocarcinoma (“PDAC”), are surrounded by dense fibrotic tissue, or stroma. This limits the efficacy of current chemotherapies for these cancers. Emerging immunotherapy treatments, including checkpoint inhibitors, adoptive cell therapies such as chimeric antigen receptor T (“CAR-T”) cells, as well as nucleic acid-based therapies, such as short interfering RNA (“siRNA”), antisense oligonucleotides (“ASO”), and messenger RNAs (“mRNAs”) also face challenges in penetrating solid tumors. Many tumors also exhibit an immunosuppressive tumor microenvironment (“TME”), which suppresses patients’ immune systems’ ability to fight their cancer and can limit effectiveness of immunotherapies and/or contribute to metastases. These factors negatively impact the ability of many therapeutic agents to effectively treat these cancers.</w:t>
      </w:r>
    </w:p>
    <w:p>
      <w:pPr>
        <w:spacing w:after="0" w:line="81"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To address the tumor stroma’s role as a primary impediment to effective treatment, Lisata’s approach is to activate the C-end rule (“CendR”), or CendR system, a naturally occurring active transport system. Lisata’s lead investigational drug, LSTA1 (a specific internalizing R-G-D or iRGD peptide) activates this transport system in a tumor-specific manner (Sugahara, Science, 2010). This results in tumors selectively and more efficiently taking up systemically administered anticancer drugs as if they were nutrients. As a result, more drug accumulates in the tumor than would accumulate without LSTA1, while normal tissues are not affected. Moreover, the drugs penetrate tumor cells farther away from blood vessels with LSTA1 present than without. The overall result is enhanced anticancer activity without an increase in side effects. Anticancer drugs can be coupled/tethered or conjugated to LSTA1 or other CendR peptides in Lisata’s portfolio, but can be also co-administered with LSTA1. Lisata believes that the co-administration option is an advantage because it is not necessary to create a new chemical entity with its attendant development and regulatory hurdles, providing a potentially faster-to-clinic and potentially faster-to-market product opportunity for a range of solid tumor cancers and for co-administration with a range of therapies.</w:t>
      </w:r>
    </w:p>
    <w:p>
      <w:pPr>
        <w:spacing w:after="0" w:line="8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Clinical progress with other approaches to address delivery to highly fibrotic tumors, such as PEGylated hyaluronidase and hedgehog inhibitors, has been limited by toxicity and side effects. LSTA1 has demonstrated favorable safety/tolerability and activity in clinical trials to enhance delivery of standard-of-care chemotherapy for mPDAC. Lisata and its collaborators have also amassed non-clinical data demonstrating enhanced delivery of a range of emerging anticancer therapies, including immunotherapies, and RNA-based therapeutics. LSTA1’s cancer-targeted delivery may enable such emerging treatment modalities to potentially more effectively treat a range of solid tumors.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LSTA1 as a treatment for solid tumor cancers in combination with other anti-cancer agents</w:t>
      </w:r>
    </w:p>
    <w:p>
      <w:pPr>
        <w:spacing w:after="0" w:line="12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LSTA1 is an investigational drug that actuates the CendR active transport mechanism while also having the potential to modify the TME and make it less immunosuppressive. It is targeted to tumor vasculature, tumor cells and some intratumoral immunosuppressive cells by its affinity for alpha-v, beta-3 and beta-5 integrins that are upregulated on these cells. LSTA1 is a nine amino acid cyclic internalizing RGD (“iRGD”) peptide that, once bound to these integrins, is cleaved by proteases expressed in tumors to release a peptide fragment, called a CendR fragment, which binds to a second receptor, called neuropilin-1, to activate a novel uptake pathway that allows circulating moieties such as anticancer drugs to more selectively penetrate solid tumors. The ability of LSTA1 and iRGD peptides to modify the TME to enhance delivery and efficacy of co-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administered drugs has been demonstrated in many preclinical models in a range of solid tumors with the results from Lisata, collaborators and research groups around the world having been the subject of over 200 scientific publications.</w:t>
      </w:r>
    </w:p>
    <w:p>
      <w:pPr>
        <w:spacing w:after="0" w:line="69"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With regard to clinical development, LSTA1 is the subject of a completed Phase 1b clinical trial of 31 first-line metastatic pancreatic ductal adenocarcinoma patients, of which 29 were evaluable. Results from the trial showed that the safety profile of the LSTA1 combination regimen was similar to standard of care (“SoC”) alone with LSTA1 being well-tolerated with no-dose limiting toxicities. An Objective Response Rate (“ORR”) of fifty nine percent was observed, including a rare complete response, which compares favorably to the twenty three percent ORR observed in the “MPACT” clinical trial that served as the basis for approval of nab-paclitaxel for use in combination with gemcitabine for the treatment of first line, metastatic pancreatic ductal adenocarcinoma. A Disease Control Rate (“DCR”); (partial and complete responses plus stable disease) of over seventy nine percent was observed in comparison to a DCR of forty eight percent observed in the MPACT trial. Reduction in the level of circulating tumor biomarker CA19-1 was observed in ninety six percent of patients versus sixty one percent in the MPACT trial. Importantly, median progression-free survival and median overall survival of nearly ten months and over thirteen months was observed, respectively, vs. less than six months and less than nine months, respectively, in the MPACT trial. These results have been published in The Lancet Gastroenterology and Hepatology (Dean, et al. 2022).</w:t>
      </w:r>
    </w:p>
    <w:p>
      <w:pPr>
        <w:spacing w:after="0" w:line="8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Additionally, LSTA1 is the subject of multiple ongoing and planned clinical trials being conducted globally in a variety of solid tumor types and in combination with several chemotherapy and immunotherapy anti-cancer regimens. The following diagram summarizes these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57150</wp:posOffset>
            </wp:positionV>
            <wp:extent cx="4446270" cy="2499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6270" cy="249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Ischemic Repair (CD34+ Cell Technology)</w:t>
      </w:r>
    </w:p>
    <w:p>
      <w:pPr>
        <w:spacing w:after="0" w:line="115"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7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CLI, CMD, and DKD.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XOWNA</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for Treatment of Coronary Microvascular Dysfunction</w:t>
      </w:r>
    </w:p>
    <w:p>
      <w:pPr>
        <w:spacing w:after="0" w:line="74" w:lineRule="exact"/>
        <w:rPr>
          <w:sz w:val="20"/>
          <w:szCs w:val="20"/>
          <w:color w:val="auto"/>
        </w:rPr>
      </w:pPr>
    </w:p>
    <w:p>
      <w:pPr>
        <w:jc w:val="both"/>
        <w:ind w:firstLine="255"/>
        <w:spacing w:after="0" w:line="295" w:lineRule="auto"/>
        <w:rPr>
          <w:sz w:val="20"/>
          <w:szCs w:val="20"/>
          <w:color w:val="auto"/>
        </w:rPr>
      </w:pPr>
      <w:r>
        <w:rPr>
          <w:rFonts w:ascii="Arial" w:cs="Arial" w:eastAsia="Arial" w:hAnsi="Arial"/>
          <w:sz w:val="12"/>
          <w:szCs w:val="12"/>
          <w:color w:val="auto"/>
        </w:rPr>
        <w:t>In 2017, with the assistance of a $1.9 million grant from the National Institutes of Health (Award Number R44HL135889), we initiated our program for XOWNA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for the treatment of CMD, a disease that afflicts as many as 1.6 million patients in the United States alone, with no current targeted treatment options. That study, the ESCaPE-CMD Trial, was a Phase 2a proof-of-concept, open label study that enrolled patients at the Mayo Clinic in Rochester, MN and Cedars-Sinai Medical Center in Los Angeles, CA. Those data showed a positive therapeutic effect with a statistically significant improvement in angina frequency, coronary flow reserve, Canadian Cardiovascular Society Angina Class and Seattle Angina Questionnaire scores, as well as an acceptable safety profile. The full data set from that study was presented at the SCAI 2020 Scientific Sessions Virtual Conference on May 14, 2020 by Dr. Timothy Henry, FACC, of the Christ Hospital in Cincinnati, Ohio.</w:t>
      </w:r>
    </w:p>
    <w:p>
      <w:pPr>
        <w:spacing w:after="0" w:line="70" w:lineRule="exact"/>
        <w:rPr>
          <w:sz w:val="20"/>
          <w:szCs w:val="20"/>
          <w:color w:val="auto"/>
        </w:rPr>
      </w:pPr>
    </w:p>
    <w:p>
      <w:pPr>
        <w:jc w:val="both"/>
        <w:ind w:firstLine="255"/>
        <w:spacing w:after="0" w:line="233" w:lineRule="auto"/>
        <w:rPr>
          <w:sz w:val="20"/>
          <w:szCs w:val="20"/>
          <w:color w:val="auto"/>
        </w:rPr>
      </w:pPr>
      <w:r>
        <w:rPr>
          <w:rFonts w:ascii="Arial" w:cs="Arial" w:eastAsia="Arial" w:hAnsi="Arial"/>
          <w:sz w:val="14"/>
          <w:szCs w:val="14"/>
          <w:color w:val="auto"/>
        </w:rPr>
        <w:t>In December 2020, we commenced enrollment in our Phase 2b FREEDOM Trial of XOWNA</w:t>
      </w:r>
      <w:r>
        <w:rPr>
          <w:rFonts w:ascii="Arial" w:cs="Arial" w:eastAsia="Arial" w:hAnsi="Arial"/>
          <w:sz w:val="18"/>
          <w:szCs w:val="18"/>
          <w:color w:val="auto"/>
          <w:vertAlign w:val="superscript"/>
        </w:rPr>
        <w:t>®</w:t>
      </w:r>
      <w:r>
        <w:rPr>
          <w:rFonts w:ascii="Arial" w:cs="Arial" w:eastAsia="Arial" w:hAnsi="Arial"/>
          <w:sz w:val="14"/>
          <w:szCs w:val="14"/>
          <w:color w:val="auto"/>
        </w:rPr>
        <w:t>, a double-blind, randomized, placebo-controlled clinical trial designed to further evaluate the efficacy and safety of intracoronary artery delivery of autologous CD34+ cells in subjects with Coronary Microvascular Dysfunction (CMD) and without obstructive coronary artery disease and was expected to complete enrollment in approximately 12 months. While early enrollment proceeded to plan with the first patient treated in January 2021, the COVID-19 pandemic resulted in insurmountable enrollment rate challenges and population heterogenicity. As a result, in May 2022, we announced that enrollment in the FREEDOM Trial had been suspended and that we intended to conduct an interim analysis of the data from not less than the first 20 patients enrolled using the 6-month follow-up data to evaluate the efficacy and safety of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subjects with CMD. Following this analysis, along with Key Opinion Leaders’ input, we determined that execution of a redesigned FREEDOM-like trial would be the appropriate next step, but the cost of such a trial would be prohibitively expensive to undergo without a strategic partner. Accordingly, our board of directors concluded that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HONEDRA</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for Treatment of Critical Limb Ischemia</w:t>
      </w:r>
    </w:p>
    <w:p>
      <w:pPr>
        <w:spacing w:after="0" w:line="74" w:lineRule="exact"/>
        <w:rPr>
          <w:sz w:val="20"/>
          <w:szCs w:val="20"/>
          <w:color w:val="auto"/>
        </w:rPr>
      </w:pPr>
    </w:p>
    <w:p>
      <w:pPr>
        <w:jc w:val="both"/>
        <w:ind w:firstLine="255"/>
        <w:spacing w:after="0" w:line="247" w:lineRule="auto"/>
        <w:rPr>
          <w:sz w:val="20"/>
          <w:szCs w:val="20"/>
          <w:color w:val="auto"/>
        </w:rPr>
      </w:pPr>
      <w:r>
        <w:rPr>
          <w:rFonts w:ascii="Arial" w:cs="Arial" w:eastAsia="Arial" w:hAnsi="Arial"/>
          <w:sz w:val="13"/>
          <w:szCs w:val="13"/>
          <w:color w:val="auto"/>
        </w:rPr>
        <w:t>Our randomized, open-label, registration-eligible study of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for the treatment of CLI and Buerger's disease has, to date, demonstrated positive trends in both safety and efficacy. The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study's enrollment, however, has been significantly curtailed by the COVID-19 pandemic's impact in Japan, including the States of Emergency in Japan that have persisted for much of 2020, 2021, and 2022. Due to the significant and continued operational and financial burden incurred as a result of these COVID-19 delays, coupled with the unpredictability of the timing of site enrollment re-initiation, we suspended further enrollment in the fourth quarter of 2021. Following study suspension, we completed all protocol-defined patient observations and are preparing the clinical study report.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now in the pre-consultation phase of the registration process with the Pharmaceuticals and Medical Devices Agency (“PMDA”) in Japan. Data from the follow-up of all patients completed in the registration-eligible clinical trial in Japan has been compiled and are being reviewed by the PMDA after which the PMDA is expected to provide important perspective to be considered in preparation for the formal consultation meetings which precede the Japanese new drug application. If successful in the pre-consultation process, we expect formal clinical consultation to occur during 2023. In the meantime, we are focusing our efforts on consummating a partnership for the product in Japan. Such a partnership may become the basis for the completion of development and registration of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and, eventually commercialization of the product in that country. Despite receipt of orphan designation from the FDA in March 2021 in the United States for LSTA12 as a potential treatment for Buerger's disease, based on a response from the FDA in October 2021 regarding a development plan for U.S. registration, we have decided not to pursue U.S. development in Buerger's disease.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LSTA201 for Treatment of Diabetic Kidney Disease</w:t>
      </w:r>
    </w:p>
    <w:p>
      <w:pPr>
        <w:spacing w:after="0" w:line="12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Progressive kidney failure is associated with attrition of the microcirculation of the kidney. Pre-clinical studies in kidney disease and injury models have demonstrated that protection or replenishment of the microcirculation results in improved kidney function. Based on these observations, we elected to move forward with a Phase 1b, open-label, proof-of-concept trial evaluating LSTA201 dosed via intra-renal artery injections in subjects with DKD. This protocol included six subjects in total with the first two subjects sequentially dosed and followed for a two-week safety observation period. Clearance by an independent Data Safety Monitoring Board (“DSMB”) overseeing the study then permitted the treatment of the next four patients, with all patients being followed for safety and therapeutic effect. A read-out of data will occur after the six-month follow-up visit for all patients. A key criterion for continued development of LSTA201 will be our ability to demonstrate a therapeutic effect that will make it competitive in the field of DKD treatment, i.e., kidney function regeneration, as indicated by increased glomerular filtration rate. The Company treated the first patient in the LSTA201 proof-of-concept study in April 2022 and completed treatment for all six subjects during the third quarter of 2022. Top line results, which were reported on February 6, 2023, showed that LSTA201 was safe and well-tolerated by patients with no serious adverse events related to the therapy. However, patients experienced no consistent increase in Glomerular Filtration Rate. Nevertheless, based on input from the study's principal investigator/key opinion leader, the Company believes there is still the potential for use of CD34+ cell therapy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treatment of DKD. However, further development of LSTA201 would require significantly larger studies and capital investment. Thus, LSTA201 development will only be continued if a strategic partner that can contribute the necessary capital for future development is identified.</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COLLABORATION AND OUT-LICENSING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Pancreatic Cancer &amp; Advanced Solid Tumors (LSTA1: CendR Platform</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w:t>
      </w:r>
    </w:p>
    <w:p>
      <w:pPr>
        <w:spacing w:after="0" w:line="12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Our lead investigational drug from the CendR Platform™, LSTA1, may hold broader potential to be combined as a co-administration treatment with an array of anti-cancer agents to benefit solid tumor cancer patients. We will seek to collaborate with chemotherapy, targeted- and immuno-therapy developers, in addition to our clinical collaboration with Roche/Genentech that plans to combine that company’s checkpoint inhibitor immunotherapy Tecentriq (atezolizumab) with the LSTA1/gemcitabine/nab-paclitaxel treatment regimen for treatment of pancreatic cancer. The Company plans to enter partnerships to exploit the CendR Platform™ for applications to enhance or enable effective treatment of solid tumor cancers across a range of treatment modalities, including nucleic acid-based treatments such as antisense, siRNA, mRNA and gene editing approaches, immunotherapies such as adoptive cell immunotherapy as well as immune checkpoint inhibitors, and additional targeted therapy treatments for solid tumor cancer applications.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Intellectual Property Platform</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developed and owned LSTA1 and CendR Platform™ patent portfolio comprises the following:</w:t>
      </w:r>
    </w:p>
    <w:p>
      <w:pPr>
        <w:spacing w:after="0" w:line="125"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Two pending patent applications in the United States;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Thirteen pending patent applications outside the United States; and</w:t>
      </w:r>
    </w:p>
    <w:p>
      <w:pPr>
        <w:spacing w:after="0" w:line="93" w:lineRule="exact"/>
        <w:rPr>
          <w:rFonts w:ascii="Arial" w:cs="Arial" w:eastAsia="Arial" w:hAnsi="Arial"/>
          <w:sz w:val="14"/>
          <w:szCs w:val="14"/>
          <w:color w:val="auto"/>
        </w:rPr>
      </w:pPr>
    </w:p>
    <w:p>
      <w:pPr>
        <w:ind w:left="520" w:hanging="260"/>
        <w:spacing w:after="0" w:line="281" w:lineRule="auto"/>
        <w:tabs>
          <w:tab w:leader="none" w:pos="512" w:val="left"/>
        </w:tabs>
        <w:numPr>
          <w:ilvl w:val="0"/>
          <w:numId w:val="5"/>
        </w:numPr>
        <w:rPr>
          <w:rFonts w:ascii="Arial" w:cs="Arial" w:eastAsia="Arial" w:hAnsi="Arial"/>
          <w:sz w:val="14"/>
          <w:szCs w:val="14"/>
          <w:color w:val="auto"/>
        </w:rPr>
      </w:pPr>
      <w:r>
        <w:rPr>
          <w:rFonts w:ascii="Arial" w:cs="Arial" w:eastAsia="Arial" w:hAnsi="Arial"/>
          <w:sz w:val="14"/>
          <w:szCs w:val="14"/>
          <w:color w:val="auto"/>
        </w:rPr>
        <w:t>Pending claims covering, inter alia, methods for reducing the volume of a tumor using LSTA1 in combination with at least one anti-cancer agent or therapy; methods of treating pancreatic cancer using LSTA1 in combination with gemcitabine and/or nab-paclitaxel and treating tumors with iRGD and a cytokine.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Opportunity for Pancreatic ductal adenocarcinoma (PDAC)</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the United States, there are approximately 62,000 new cases of pancreatic cancer diagnosed annually. Outside of the United States, there are an additional 434,000 annual pancreatic cancer diagnoses. Pancreatic ductal adenocarcinoma (PDAC) accounts for more than 80% of all pancreatic cancer cases, so worldwide, nearly 397,000 annual incidences of PDAC are diagnosed. Further, PDAC is one of the most aggressive and lethal malignancies, with a 5-year survival rate of 11%, resulting in approximately 50,000 deaths annually in the United States alone. Moreover, on a global scale, pancreatic cancer results in over 466,000 deaths per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Ischemic Repair (CD34+ Cell Technology)</w:t>
      </w:r>
    </w:p>
    <w:p>
      <w:pPr>
        <w:spacing w:after="0" w:line="125" w:lineRule="exact"/>
        <w:rPr>
          <w:sz w:val="20"/>
          <w:szCs w:val="20"/>
          <w:color w:val="auto"/>
        </w:rPr>
      </w:pPr>
    </w:p>
    <w:p>
      <w:pPr>
        <w:ind w:right="480" w:firstLine="255"/>
        <w:spacing w:after="0" w:line="281" w:lineRule="auto"/>
        <w:rPr>
          <w:sz w:val="20"/>
          <w:szCs w:val="20"/>
          <w:color w:val="auto"/>
        </w:rPr>
      </w:pPr>
      <w:r>
        <w:rPr>
          <w:rFonts w:ascii="Arial" w:cs="Arial" w:eastAsia="Arial" w:hAnsi="Arial"/>
          <w:sz w:val="14"/>
          <w:szCs w:val="14"/>
          <w:color w:val="auto"/>
        </w:rPr>
        <w:t>Our CD34+ Cell Technology is an autologous cell platform technology with potential application to a broad array of ischemic conditions and we will seek to out-license the technology in geographies and/or indications in which we do not intend to pursue development ourselves.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Intellectual Property Platform</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developed and owned ischemic repair patent portfolio comprises the following:</w:t>
      </w:r>
    </w:p>
    <w:p>
      <w:pPr>
        <w:spacing w:after="0" w:line="125"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Nine U.S. patents, three European Union (“EU”) patents (each filed in four individual countries) and fourteen other patents in the United Kingdom, Japan, Canada, and Russia;</w:t>
      </w:r>
    </w:p>
    <w:p>
      <w:pPr>
        <w:spacing w:after="0" w:line="105" w:lineRule="exact"/>
        <w:rPr>
          <w:rFonts w:ascii="Arial" w:cs="Arial" w:eastAsia="Arial" w:hAnsi="Arial"/>
          <w:sz w:val="13"/>
          <w:szCs w:val="13"/>
          <w:color w:val="auto"/>
        </w:rPr>
      </w:pPr>
    </w:p>
    <w:p>
      <w:pPr>
        <w:ind w:left="520" w:hanging="260"/>
        <w:spacing w:after="0" w:line="281"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Claims cover, </w:t>
      </w:r>
      <w:r>
        <w:rPr>
          <w:rFonts w:ascii="Arial" w:cs="Arial" w:eastAsia="Arial" w:hAnsi="Arial"/>
          <w:sz w:val="14"/>
          <w:szCs w:val="14"/>
          <w:i w:val="1"/>
          <w:iCs w:val="1"/>
          <w:color w:val="auto"/>
        </w:rPr>
        <w:t>inter alia</w:t>
      </w:r>
      <w:r>
        <w:rPr>
          <w:rFonts w:ascii="Arial" w:cs="Arial" w:eastAsia="Arial" w:hAnsi="Arial"/>
          <w:sz w:val="14"/>
          <w:szCs w:val="14"/>
          <w:color w:val="auto"/>
        </w:rPr>
        <w:t>, a pharmaceutical composition that contains a therapeutic concentration of non-expanded CD34+ stem cells that move in response to SDF-1 or VEGF, together with a stabilizing amount of serum, that can be delivered to repair an injury caused by vascular insufficiency;</w:t>
      </w:r>
    </w:p>
    <w:p>
      <w:pPr>
        <w:spacing w:after="0" w:line="47" w:lineRule="exact"/>
        <w:rPr>
          <w:rFonts w:ascii="Arial" w:cs="Arial" w:eastAsia="Arial" w:hAnsi="Arial"/>
          <w:sz w:val="14"/>
          <w:szCs w:val="14"/>
          <w:color w:val="auto"/>
        </w:rPr>
      </w:pPr>
    </w:p>
    <w:p>
      <w:pPr>
        <w:ind w:left="520" w:hanging="260"/>
        <w:spacing w:after="0" w:line="281" w:lineRule="auto"/>
        <w:tabs>
          <w:tab w:leader="none" w:pos="512" w:val="left"/>
        </w:tabs>
        <w:numPr>
          <w:ilvl w:val="0"/>
          <w:numId w:val="6"/>
        </w:numPr>
        <w:rPr>
          <w:rFonts w:ascii="Arial" w:cs="Arial" w:eastAsia="Arial" w:hAnsi="Arial"/>
          <w:sz w:val="14"/>
          <w:szCs w:val="14"/>
          <w:color w:val="auto"/>
        </w:rPr>
      </w:pPr>
      <w:r>
        <w:rPr>
          <w:rFonts w:ascii="Arial" w:cs="Arial" w:eastAsia="Arial" w:hAnsi="Arial"/>
          <w:sz w:val="14"/>
          <w:szCs w:val="14"/>
          <w:color w:val="auto"/>
        </w:rPr>
        <w:t>Issued claims can be applied to a broad range of conditions caused by underlying ischemia, including acute myocardial infarction, chronic myocardial ischemia post-AMI, chronic heart failure, critical limb ischemia, and ischemic brain injury and DKD.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CLI</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Japan, there are approximately 300,000 patients with CLI, of whom approximately 51,000 are not candidates for revascularization, together with an addressable population of approximately 560,000 patients in the EU and 300,000 in the United States.</w:t>
      </w:r>
    </w:p>
    <w:p>
      <w:pPr>
        <w:spacing w:after="0" w:line="79"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3"/>
          <w:szCs w:val="13"/>
          <w:color w:val="auto"/>
        </w:rPr>
        <w:t>The field of cardiovascular cell therapy development is competitive. There are a number of companies that are developing cell-based therapies for ischemic diseases. These companies are utilizing a number of different therapeutic approaches in their development efforts. There are both autologous and allogeneic based competitive therapies that derive cells principally from four sources: fat, peripheral blood, cord blood, and bone marrow.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an autologous cell therapy that derives its cells from the peripheral blood of the patient via apheresis.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CMD</w:t>
      </w:r>
    </w:p>
    <w:p>
      <w:pPr>
        <w:spacing w:after="0" w:line="115"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In the United States there is an addressable population of approximately 400,000 to 1,600,000 patients with CMD, while the addressable population is roughly 1,200,000 to 4,800,000 in the EU and between 43,000 and 166,000 in Japan.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Opportunity for DKD</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the United States, stage 3 and 4 DKD patients represent an addressable population of approximately 7,000,000 and there is an estimated addressable population of 12,000,000 patients in the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EU.</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do not believe that our operations are seasonal in nature.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1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The healthcare industry is one of the most highly regulated industries in the United States and abroad. Various governmental regulatory authorities, as well as private accreditation organizations, oversee and monitor the activities of individuals and businesses engaged in the development, manufacture and delivery of health care products and services. The following is a general description of certain current laws and regulations that are relevant to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Premarket Review and Approval of Pharmaceutical and Biological Products in the United States</w:t>
      </w:r>
    </w:p>
    <w:p>
      <w:pPr>
        <w:spacing w:after="0" w:line="125" w:lineRule="exact"/>
        <w:rPr>
          <w:sz w:val="20"/>
          <w:szCs w:val="20"/>
          <w:color w:val="auto"/>
        </w:rPr>
      </w:pPr>
    </w:p>
    <w:p>
      <w:pPr>
        <w:jc w:val="both"/>
        <w:ind w:right="60" w:firstLine="255"/>
        <w:spacing w:after="0" w:line="279" w:lineRule="auto"/>
        <w:rPr>
          <w:sz w:val="20"/>
          <w:szCs w:val="20"/>
          <w:color w:val="auto"/>
        </w:rPr>
      </w:pPr>
      <w:r>
        <w:rPr>
          <w:rFonts w:ascii="Arial" w:cs="Arial" w:eastAsia="Arial" w:hAnsi="Arial"/>
          <w:sz w:val="13"/>
          <w:szCs w:val="13"/>
          <w:color w:val="auto"/>
        </w:rPr>
        <w:t>Pharmaceutical and biological products, including cellular therapies, are subject to extensive pre- and post-market regulation by the FDA and other global agencies. For example, the Federal Food, Drug, and Cosmetic Act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including biological products, intended for therapeutic uses. Biological products are approved for marketing under provisions of the Public Health Service Act (“PHS Act”). However, biological products that also meet the definition of “drugs” under the FD&amp;C Act are also subject to regulation under FD&amp;C Act provisions and to applicable provisions from two sets of implementing regulations, those for biological products and those for drugs. Another distinction between pharmaceuticals and cellular therapies is that the PHS Act requires the submission of a Biological Licensing Application (“BLA”), rather than a New Drug Application (“NDA”), for market authorization of a cellular therapy candidate like ours. Generally, the application process and requirements for product approval under BLA is similar to those for an NDA, and the review process for biological products is associated with similar approval risks and application costs as for chemical entity drug products.</w:t>
      </w:r>
    </w:p>
    <w:p>
      <w:pPr>
        <w:spacing w:after="0" w:line="74" w:lineRule="exact"/>
        <w:rPr>
          <w:sz w:val="20"/>
          <w:szCs w:val="20"/>
          <w:color w:val="auto"/>
        </w:rPr>
      </w:pPr>
    </w:p>
    <w:p>
      <w:pPr>
        <w:jc w:val="both"/>
        <w:ind w:right="60" w:firstLine="255"/>
        <w:spacing w:after="0" w:line="260" w:lineRule="auto"/>
        <w:rPr>
          <w:sz w:val="20"/>
          <w:szCs w:val="20"/>
          <w:color w:val="auto"/>
        </w:rPr>
      </w:pPr>
      <w:r>
        <w:rPr>
          <w:rFonts w:ascii="Arial" w:cs="Arial" w:eastAsia="Arial" w:hAnsi="Arial"/>
          <w:sz w:val="14"/>
          <w:szCs w:val="14"/>
          <w:color w:val="auto"/>
        </w:rPr>
        <w:t>Failure to comply with applicable requirements may subject a company to a variety of administrative or judicial sanctions, by the FDA and other global agencies, such as the issuance of a clinical hold, refusal to approve pending NDAs or BLAs, withdrawal of an approval,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global governmental entities. Under certain circumstances, individual members of company management may also be subject to civil or criminal penalties related to company violations of applicable legal requirements.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 applicant seeking approval to market and distribute a new pharmaceutical or biological product in the United States typically must undertake the following:</w:t>
      </w:r>
    </w:p>
    <w:p>
      <w:pPr>
        <w:spacing w:after="0" w:line="125"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color w:val="auto"/>
        </w:rPr>
        <w:t>completion of preclinical laboratory tests, animal studies and formulation studies in compliance with the good laboratory practice or GLP regulations;</w:t>
      </w:r>
    </w:p>
    <w:p>
      <w:pPr>
        <w:spacing w:after="0" w:line="200" w:lineRule="exact"/>
        <w:rPr>
          <w:rFonts w:ascii="Arial" w:cs="Arial" w:eastAsia="Arial" w:hAnsi="Arial"/>
          <w:sz w:val="14"/>
          <w:szCs w:val="14"/>
          <w:i w:val="1"/>
          <w:iCs w:val="1"/>
          <w:color w:val="auto"/>
        </w:rPr>
      </w:pPr>
    </w:p>
    <w:p>
      <w:pPr>
        <w:spacing w:after="0" w:line="349" w:lineRule="exact"/>
        <w:rPr>
          <w:rFonts w:ascii="Arial" w:cs="Arial" w:eastAsia="Arial" w:hAnsi="Arial"/>
          <w:sz w:val="14"/>
          <w:szCs w:val="14"/>
          <w:i w:val="1"/>
          <w:iCs w:val="1"/>
          <w:color w:val="auto"/>
        </w:rPr>
      </w:pPr>
    </w:p>
    <w:p>
      <w:pPr>
        <w:ind w:left="5580"/>
        <w:spacing w:after="0"/>
        <w:rPr>
          <w:rFonts w:ascii="Arial" w:cs="Arial" w:eastAsia="Arial" w:hAnsi="Arial"/>
          <w:sz w:val="14"/>
          <w:szCs w:val="14"/>
          <w:i w:val="1"/>
          <w:iCs w:val="1"/>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right="60" w:hanging="260"/>
        <w:spacing w:after="0" w:line="281" w:lineRule="auto"/>
        <w:tabs>
          <w:tab w:leader="none" w:pos="516"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color w:val="auto"/>
        </w:rPr>
        <w:t>submission to a health authority of an IND or clinical trial application (“CTA”), which includes the detailed clinical protocol, which must take effect before human clinical trials can commence;</w:t>
      </w:r>
    </w:p>
    <w:p>
      <w:pPr>
        <w:spacing w:after="0" w:line="68" w:lineRule="exact"/>
        <w:rPr>
          <w:rFonts w:ascii="Arial" w:cs="Arial" w:eastAsia="Arial" w:hAnsi="Arial"/>
          <w:sz w:val="14"/>
          <w:szCs w:val="14"/>
          <w:b w:val="1"/>
          <w:bCs w:val="1"/>
          <w:i w:val="1"/>
          <w:iCs w:val="1"/>
          <w:color w:val="auto"/>
        </w:rPr>
      </w:pPr>
    </w:p>
    <w:p>
      <w:pPr>
        <w:ind w:left="520" w:right="60" w:hanging="260"/>
        <w:spacing w:after="0" w:line="281" w:lineRule="auto"/>
        <w:tabs>
          <w:tab w:leader="none" w:pos="516"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color w:val="auto"/>
        </w:rPr>
        <w:t>approval of the clinical trial protocol and the sponsor's safeguards for human subjects by one or more institutional review boards, or “IRBs,” depending on the numbers of clinical sites and other features of the study design, before each clinical trial may be initiated;</w:t>
      </w:r>
    </w:p>
    <w:p>
      <w:pPr>
        <w:spacing w:after="0" w:line="79" w:lineRule="exact"/>
        <w:rPr>
          <w:rFonts w:ascii="Arial" w:cs="Arial" w:eastAsia="Arial" w:hAnsi="Arial"/>
          <w:sz w:val="14"/>
          <w:szCs w:val="14"/>
          <w:b w:val="1"/>
          <w:bCs w:val="1"/>
          <w:i w:val="1"/>
          <w:iCs w:val="1"/>
          <w:color w:val="auto"/>
        </w:rPr>
      </w:pPr>
    </w:p>
    <w:p>
      <w:pPr>
        <w:ind w:left="520" w:right="60" w:hanging="260"/>
        <w:spacing w:after="0" w:line="281" w:lineRule="auto"/>
        <w:tabs>
          <w:tab w:leader="none" w:pos="516"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color w:val="auto"/>
        </w:rPr>
        <w:t>performance of adequate and well-controlled human clinical trials in accordance with good clinical practices, or “GCPs,” to establish the safety and efficacy of the proposed drug or biological product for each proposed indication for which regulatory approval is sought;</w:t>
      </w:r>
    </w:p>
    <w:p>
      <w:pPr>
        <w:spacing w:after="0" w:line="79"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satisfactory completion of regulatory audits of the Sponsor, clinical research organizations, or clinical trial sites to assure compliance with GCPs and the integrity of the clinical data;</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preparation and submission to a health authority of an NDA or BLA or MAA, as appropriate;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review of the product by a regulatory advisory committee, where appropriate or if applicable, as determined by the FDA at its discretion;</w:t>
      </w:r>
    </w:p>
    <w:p>
      <w:pPr>
        <w:spacing w:after="0" w:line="125" w:lineRule="exact"/>
        <w:rPr>
          <w:rFonts w:ascii="Arial" w:cs="Arial" w:eastAsia="Arial" w:hAnsi="Arial"/>
          <w:sz w:val="14"/>
          <w:szCs w:val="14"/>
          <w:color w:val="auto"/>
        </w:rPr>
      </w:pPr>
    </w:p>
    <w:p>
      <w:pPr>
        <w:jc w:val="both"/>
        <w:ind w:left="520" w:right="60" w:hanging="260"/>
        <w:spacing w:after="0" w:line="297"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color w:val="auto"/>
        </w:rPr>
        <w:t>satisfactory completion of one or more regulatory inspections of the manufacturing facility or facilities at which the product, or components thereof, are produced to assess compliance with the regulations establishing current Good Manufacturing Practices, or “cGMPs,” and current Good Tissue Practices or “cGTPs” (if applicable), and to assure that the facilities, methods and controls used for the manufacture, processing and packing of the drug or biological product are adequate to preserve the product’s identity, strength, quality and purity; and</w:t>
      </w:r>
    </w:p>
    <w:p>
      <w:pPr>
        <w:spacing w:after="0" w:line="60"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payment of applicable user fees and securing regulatory approval of the NDA or BLA or MAA.</w:t>
      </w:r>
    </w:p>
    <w:p>
      <w:pPr>
        <w:spacing w:after="0" w:line="12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Satisfaction of regulatory pre-market approval requirements typically takes many years and the actual time required may vary substantially based upon the type, complexity and novelty of the product or disease. Moreover, submission of an IND or CTA may not result in authorization to initiate a clinical trial if the regulator raises concerns or questions about the design of the clinical trial or the preclinical or manufacturing information supporting it, including concerns that human research subjects will be exposed to unreasonable health risks. A separate submission to an existing IND or separate CTA must also be made for each successive clinical trial conducted during product development. After a trial is initiated, a regulator may order the temporary or permanent discontinuation of a clinical trial at any time, or impose other sanctions, if it believes that the clinical trial is not being conducted in accordance with applicable requirements or presents an unacceptable risk to the clinical trial patients.</w:t>
      </w:r>
    </w:p>
    <w:p>
      <w:pPr>
        <w:spacing w:after="0" w:line="97"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Clinical trials involve the administration of the investigational new drug to healthy volunteers or patients under the supervision of a qualified investigator. Clinical trials must be conducted in compliance with federal regulations and GCPs, which are meant to protect the rights and health of patients and to define the roles of clinical trial sponsors, administrators, and monitors. In addition, sponsors of most clinical trials involving regulated products, including drugs and biologics, are required to register and disclose certain clinical trial information on a public registry and results database managed by the National Institutes of Health called ClinicalTrials.gov. Registration information that must be submitted includes information related to the product, patient population, phase of investigation, study sites and investigators, and other aspects of the clinical trial. Sponsors are also obligated to disclose the results of their clinical trials after completion. Competitors may use this publicly available information to gain knowledge regarding the progress of development programs. Failure to comply with applicable clinical trial registration or results reporting obligations can result in civil monetary penalties or the withholding of grant funds from a federally funded grantee.</w:t>
      </w:r>
    </w:p>
    <w:p>
      <w:pPr>
        <w:spacing w:after="0" w:line="7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Clinical trials for marketing approval are typically conducted in three sequential phases, but the phases may overlap or may be combined. Under certain circumstances, a fourth post-approval phase may be required.</w:t>
      </w:r>
    </w:p>
    <w:p>
      <w:pPr>
        <w:spacing w:after="0" w:line="79" w:lineRule="exact"/>
        <w:rPr>
          <w:sz w:val="20"/>
          <w:szCs w:val="20"/>
          <w:color w:val="auto"/>
        </w:rPr>
      </w:pPr>
    </w:p>
    <w:p>
      <w:pPr>
        <w:ind w:left="520" w:right="60" w:hanging="260"/>
        <w:spacing w:after="0" w:line="321" w:lineRule="auto"/>
        <w:tabs>
          <w:tab w:leader="none" w:pos="516"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Phase 1</w:t>
      </w:r>
      <w:r>
        <w:rPr>
          <w:rFonts w:ascii="Arial" w:cs="Arial" w:eastAsia="Arial" w:hAnsi="Arial"/>
          <w:sz w:val="13"/>
          <w:szCs w:val="13"/>
          <w:color w:val="auto"/>
        </w:rPr>
        <w:t>: Trials in this phase are initially conducted in a limited population of healthy volunteers to test the product candidate for safety, dose tolerance, absorption, metabolism, distribution</w:t>
      </w:r>
      <w:r>
        <w:rPr>
          <w:rFonts w:ascii="Arial" w:cs="Arial" w:eastAsia="Arial" w:hAnsi="Arial"/>
          <w:sz w:val="13"/>
          <w:szCs w:val="13"/>
          <w:i w:val="1"/>
          <w:iCs w:val="1"/>
          <w:color w:val="auto"/>
        </w:rPr>
        <w:t xml:space="preserve"> </w:t>
      </w:r>
      <w:r>
        <w:rPr>
          <w:rFonts w:ascii="Arial" w:cs="Arial" w:eastAsia="Arial" w:hAnsi="Arial"/>
          <w:sz w:val="13"/>
          <w:szCs w:val="13"/>
          <w:color w:val="auto"/>
        </w:rPr>
        <w:t>and excretion in healthy humans or, on occasion, in patients, such as cancer patients, when the drug or biologic is too toxic to be ethically given to healthy individuals.</w:t>
      </w:r>
    </w:p>
    <w:p>
      <w:pPr>
        <w:spacing w:after="0" w:line="56" w:lineRule="exact"/>
        <w:rPr>
          <w:rFonts w:ascii="Arial" w:cs="Arial" w:eastAsia="Arial" w:hAnsi="Arial"/>
          <w:sz w:val="13"/>
          <w:szCs w:val="13"/>
          <w:i w:val="1"/>
          <w:iCs w:val="1"/>
          <w:color w:val="auto"/>
        </w:rPr>
      </w:pPr>
    </w:p>
    <w:p>
      <w:pPr>
        <w:jc w:val="both"/>
        <w:ind w:left="520" w:right="60" w:hanging="260"/>
        <w:spacing w:after="0" w:line="26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Phase 2</w:t>
      </w:r>
      <w:r>
        <w:rPr>
          <w:rFonts w:ascii="Arial" w:cs="Arial" w:eastAsia="Arial" w:hAnsi="Arial"/>
          <w:sz w:val="14"/>
          <w:szCs w:val="14"/>
          <w:color w:val="auto"/>
        </w:rPr>
        <w:t>: These clinical trials are generally conducted in a limited patient population to determine the presence and approximate magnitude of therapeutic effect of the product for specific</w:t>
      </w:r>
      <w:r>
        <w:rPr>
          <w:rFonts w:ascii="Arial" w:cs="Arial" w:eastAsia="Arial" w:hAnsi="Arial"/>
          <w:sz w:val="14"/>
          <w:szCs w:val="14"/>
          <w:i w:val="1"/>
          <w:iCs w:val="1"/>
          <w:color w:val="auto"/>
        </w:rPr>
        <w:t xml:space="preserve"> </w:t>
      </w:r>
      <w:r>
        <w:rPr>
          <w:rFonts w:ascii="Arial" w:cs="Arial" w:eastAsia="Arial" w:hAnsi="Arial"/>
          <w:sz w:val="14"/>
          <w:szCs w:val="14"/>
          <w:color w:val="auto"/>
        </w:rPr>
        <w:t>targeted indications and to identify appropriate therapeutic dose and dose frequency as well as any corresponding additional possible adverse effects and safety risks. Multiple Phase 2 clinical trials may be conducted by the sponsor to obtain information prior to beginning larger and more expensive Phase 3 clinical trials.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left="520" w:hanging="260"/>
        <w:spacing w:after="0" w:line="262" w:lineRule="auto"/>
        <w:tabs>
          <w:tab w:leader="none" w:pos="51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Phase 3</w:t>
      </w:r>
      <w:r>
        <w:rPr>
          <w:rFonts w:ascii="Arial" w:cs="Arial" w:eastAsia="Arial" w:hAnsi="Arial"/>
          <w:sz w:val="14"/>
          <w:szCs w:val="14"/>
          <w:color w:val="auto"/>
        </w:rPr>
        <w:t>: These are commonly referred to as pivotal or registration studies. When Phase 2 evaluations demonstrate that a dose range of the product is effective and has an acceptable safety</w:t>
      </w:r>
      <w:r>
        <w:rPr>
          <w:rFonts w:ascii="Arial" w:cs="Arial" w:eastAsia="Arial" w:hAnsi="Arial"/>
          <w:sz w:val="14"/>
          <w:szCs w:val="14"/>
          <w:i w:val="1"/>
          <w:iCs w:val="1"/>
          <w:color w:val="auto"/>
        </w:rPr>
        <w:t xml:space="preserve"> </w:t>
      </w:r>
      <w:r>
        <w:rPr>
          <w:rFonts w:ascii="Arial" w:cs="Arial" w:eastAsia="Arial" w:hAnsi="Arial"/>
          <w:sz w:val="14"/>
          <w:szCs w:val="14"/>
          <w:color w:val="auto"/>
        </w:rPr>
        <w:t>profile, Phase 3 clinical trials are typically undertaken in a larger patient population to further evaluate dosage, to provide substantial evidence of clinical efficacy and to further test for safety in an expanded and diverse patient population at multiple and geographically-dispersed clinical trial sites. In most cases, the FDA requires two adequate and well-controlled Phase 3 clinical trials to demonstrate the efficacy of the drug or biologic as a requirement for marketing authorization.</w:t>
      </w:r>
    </w:p>
    <w:p>
      <w:pPr>
        <w:spacing w:after="0" w:line="82" w:lineRule="exact"/>
        <w:rPr>
          <w:rFonts w:ascii="Arial" w:cs="Arial" w:eastAsia="Arial" w:hAnsi="Arial"/>
          <w:sz w:val="14"/>
          <w:szCs w:val="14"/>
          <w:i w:val="1"/>
          <w:iCs w:val="1"/>
          <w:color w:val="auto"/>
        </w:rPr>
      </w:pPr>
    </w:p>
    <w:p>
      <w:pPr>
        <w:ind w:left="520" w:hanging="260"/>
        <w:spacing w:after="0" w:line="281" w:lineRule="auto"/>
        <w:tabs>
          <w:tab w:leader="none" w:pos="51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Phase 4</w:t>
      </w:r>
      <w:r>
        <w:rPr>
          <w:rFonts w:ascii="Arial" w:cs="Arial" w:eastAsia="Arial" w:hAnsi="Arial"/>
          <w:sz w:val="14"/>
          <w:szCs w:val="14"/>
          <w:color w:val="auto"/>
        </w:rPr>
        <w:t>: In some cases, the FDA may condition approval of an NDA or BLA for a product candidate on the sponsor's agreement to conduct additional clinical trials after NDA or BLA</w:t>
      </w:r>
      <w:r>
        <w:rPr>
          <w:rFonts w:ascii="Arial" w:cs="Arial" w:eastAsia="Arial" w:hAnsi="Arial"/>
          <w:sz w:val="14"/>
          <w:szCs w:val="14"/>
          <w:i w:val="1"/>
          <w:iCs w:val="1"/>
          <w:color w:val="auto"/>
        </w:rPr>
        <w:t xml:space="preserve"> </w:t>
      </w:r>
      <w:r>
        <w:rPr>
          <w:rFonts w:ascii="Arial" w:cs="Arial" w:eastAsia="Arial" w:hAnsi="Arial"/>
          <w:sz w:val="14"/>
          <w:szCs w:val="14"/>
          <w:color w:val="auto"/>
        </w:rPr>
        <w:t>approval. In other cases, a sponsor may voluntarily carry out additional trials post approval to gain more information about the drug or biologic.</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Submission of an NDA, BLA or MAA</w:t>
      </w:r>
    </w:p>
    <w:p>
      <w:pPr>
        <w:spacing w:after="0" w:line="12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as part of an NDA/BLA/MAA seeking approval to market the drug product for one or more indications. Approval of the NDA/BLA/MAA is required before marketing of the product may begin. The cost of preparing and submitting an NDA/BLA/MAA is substantial. Most NDA/BLA/MAA submissions are additionally subject to a substantial application user fee. The current fee in the United States for fiscal year 2023 is $3,242,026 (some small businesses may qualify for a waiver under certain circumstances) and an annual program fee, currently $393,933, must also be paid for each approved prescription drug or biological product. These fees are typically adjusted annually.</w:t>
      </w:r>
    </w:p>
    <w:p>
      <w:pPr>
        <w:spacing w:after="0" w:line="70"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Most regulators have a defined time frame from receipt of an NDA/BLA/MAA to determine whether the application will be accepted for filing based on the Agency's threshold determination that the application is sufficiently complete to permit substantive review. Once the submission is accepted for filing, the regulator begins an in-depth review. If the application is not sufficiently complete, the regulator may issue a Refusal to File, or RTF, letter, although some regulators may permit an applicant to correct certain easily correctable deficiencies before filing without taking an official RTF action. Under certain review performance goals to which the agencies have agreed, most applications for standard review of drug or biological products are reviewed within ten to twelve months, and most applications for priority review drugs or biologics are reviewed within six to eight months. If a sponsor submits a major amendment to a filed NDA/BLA/MAA at any time during the review cycle, the regulator may extend these reviews. Priority review can be applied to drugs or biologics that, in the regulator's determination, offer major advances in treatment or provide a treatment for a disease or condition for which no adequate therapy exists. Priority review requests must be submitted in conjunction with the original NDA/BLA/MAA for which the sponsor is seeking the designation, and the regulator decision will be made in conjunction with its official action to file the application and begin the substantive review process.</w:t>
      </w:r>
    </w:p>
    <w:p>
      <w:pPr>
        <w:spacing w:after="0" w:line="8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Before approving an NDA/BLA/MAA, the regulator will typically inspect one or more clinical trial sites to ensure compliance with GCPs. Additionally, the regulator will also inspect the facility or the facilities at which the drug is manufactured. These pre-approval inspections cover all facilities associated with an NDA/BLA/MAA submission, including drug component manufacturing (such as active pharmaceutical ingredients), finished drug product manufacturing, and control testing laboratories. The regulator will not approve the product unless it determines that the manufacturing processes and facilities are in compliance with applicable cGMP and cGTP requirements and are adequate to assure consistent production of the drug or biological product within required specifications and the NDA or BLA contains data that provide substantial evidence that the drug or biologic is safe and effective for the proposed indication.</w:t>
      </w:r>
    </w:p>
    <w:p>
      <w:pPr>
        <w:spacing w:after="0" w:line="8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regulator may refer applications for novel drug or biological products, or drug or biological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 of an advisory committee, but the regulator will carefully consider them.</w:t>
      </w:r>
    </w:p>
    <w:p>
      <w:pPr>
        <w:spacing w:after="0" w:line="7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After the regulator fully evaluates the NDA/BLA/MAA and the relevant manufacturing facilities, the regulator will issue either an approval/licensure letter or a complete response letter (“CRL”). A CRL generally outlines the deficiencies in the submission and may require substantial additional testing or information in order for the regulator to reconsider the application. If and when those deficiencies have been addressed to the regulator's satisfaction in a resubmitted NDA/BLA/MAA, the regulator will issue an approval letter. Regulators generally commit to reviewing such resubmissions within a specified time frame, depending on the type of information being provided to address the deficiencies in the CRL. Even with the submission of this additional information, however, the regulator ultimately may decide that the application does not satisfy the regulatory criteria for approval.</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the regulator approves a drug or biological product for marketing, it may limit the approved indications for use for the product; require that contraindications, warnings or precautions be included in the product labeling; require that post-approval</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6" w:right="37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such as a risk evaluation and mitigation strategy or “REMS,” which can materially affect the potential market and profitability of the product. The regulator may also limit further marketing of a product or withdraw the marketing approval, based on results of post-market studies or surveillance programs. After approval, many types of changes to the approved product, such as adding new indications or patient populations, making certain types of manufacturing changes or seeking to make additional labeling claims, are subject to further testing requirements and regulator review and approval.</w:t>
      </w:r>
    </w:p>
    <w:p>
      <w:pPr>
        <w:spacing w:after="0" w:line="83"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One potential condition of approval is that the regulator may require an applicant to develop a REMS to manage real or perceived risks of the product. To determine whether a REMS is needed, the regulator will consider the size of the population likely to use the product, seriousness of the disease, expected benefit of the product, expected duration of treatment, seriousness of known or potential adverse events, and whether the product is a new molecular entity. REMS requirements are tailored to the specific risk/benefit profile of a drug and can include requirements such as medication guides for patients, detailed communication plans for health care professionals, and elements to assure safe use, or “ETASU.” ETASU may include, but are not limited to, special training or certification for prescribing or dispensing, dispensing only under certain circumstances, special monitoring, restricted distribution, and the use of patient registries. The regulator may require a REMS as a condition of approval or may add such a requirement at any point post-approval if it becomes aware of a serious risk associated with use of the product. The requirement for a REMS and the specific components that are involved can materially affect the potential market and profitability of a product. If the regulator concludes a REMS plan is needed, the sponsor of the NDA or BLA must submit a proposed REMS. The regulator will not approve an NDA without a REMS, if required.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Review Programs (Fast Track, Breakthrough, RMAT) and Accelerated Approval Pathways</w:t>
      </w:r>
    </w:p>
    <w:p>
      <w:pPr>
        <w:spacing w:after="0" w:line="12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The regulator is authorized to facilitate the development and expedite the review of certain drugs or biologics that are intended for the treatment of a serious or life-threatening disease or condition for which there is no effective treatment and which demonstrate the potential to address unmet medical needs for the condition. Under the Fast Track Program, the sponsor of an IND for a drug candidate may request that the regulator designate the drug candidate for a specific indication as a Fast Track drug concurrent with, or after, the submission of the IND for the drug candidate. The regulator must determine if the drug candidate qualifies for Fast Track designation within 60 days of receipt of the sponsor’s request. In addition to other benefits such as the ability to engage in more frequent interactions with the regulator, the regulator may initiate review of sections of a Fast Track drug’s NDA or BLA before the application is complete. This “rolling review” is available if the applicant provides, and the regulator approves, a schedule for the submission of the remaining information and the applicant pays applicable user fees. The regulator's time period goal for reviewing an application, however, does not begin until the last section of the NDA/BLA is submitted. Additionally, the Fast Track designation may be withdrawn by the regulator if the regulator believes that the designation is no longer supported by data emerging in the clinical trial process.</w:t>
      </w:r>
    </w:p>
    <w:p>
      <w:pPr>
        <w:spacing w:after="0" w:line="7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Separately, under the regulator’s accelerated (conditional) approval regulations, the regulator may approve a drug for a serious or life-threatening illness that provides meaningful therapeutic benefit to patients beyond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9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requirements, including the completion of Phase 4 or post-approval clinical trials to confirm the effect on the clinical endpoint. Failure to conduct required post-approval studies, or confirm a clinical benefit during post-marketing studies, will allow the regulator to withdraw approval of the drug such that accelerated approval is also referred to as U.S. “conditional” approval. Products granted accelerated approval also are subject to additional requirements for the pre-dissemination review by the regulator of proposed promotional materials both during the NDA review process and for 120 days after marketing approval.</w:t>
      </w:r>
    </w:p>
    <w:p>
      <w:pPr>
        <w:spacing w:after="0" w:line="97" w:lineRule="exact"/>
        <w:rPr>
          <w:sz w:val="20"/>
          <w:szCs w:val="20"/>
          <w:color w:val="auto"/>
        </w:rPr>
      </w:pPr>
    </w:p>
    <w:p>
      <w:pPr>
        <w:jc w:val="both"/>
        <w:ind w:right="60" w:firstLine="255"/>
        <w:spacing w:after="0" w:line="260" w:lineRule="auto"/>
        <w:rPr>
          <w:sz w:val="20"/>
          <w:szCs w:val="20"/>
          <w:color w:val="auto"/>
        </w:rPr>
      </w:pPr>
      <w:r>
        <w:rPr>
          <w:rFonts w:ascii="Arial" w:cs="Arial" w:eastAsia="Arial" w:hAnsi="Arial"/>
          <w:sz w:val="14"/>
          <w:szCs w:val="14"/>
          <w:color w:val="auto"/>
        </w:rPr>
        <w:t>In addition to the above, the regulator may designate an investigational product as a Breakthrough Therapy or as a Regenerative Medicine Advanced Therapy (“RMAT”), depending on the type of investigational product and its ability to meet applicable eligibility criteria.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RMAT designation requires similar eligibility criteria to be met, but it is available only to cell therapies, tissue therapies, and other products that meet the statutory definition of a “regenerative medicine therapy.” Specifically, a biological product is eligible for RMAT</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right="120"/>
        <w:spacing w:after="0" w:line="284" w:lineRule="auto"/>
        <w:rPr>
          <w:sz w:val="20"/>
          <w:szCs w:val="20"/>
          <w:color w:val="auto"/>
        </w:rPr>
      </w:pPr>
      <w:r>
        <w:rPr>
          <w:rFonts w:ascii="Arial" w:cs="Arial" w:eastAsia="Arial" w:hAnsi="Arial"/>
          <w:sz w:val="13"/>
          <w:szCs w:val="13"/>
          <w:color w:val="auto"/>
        </w:rPr>
        <w:t>designation if: (a) the product candidate is a regenerative medicine therapy, which is defined in the FD&amp;C Act as a cell therapy, therapeutic tissue engineering product, human cell and tissue product, or any combination product using such therapies or products, except for those regulated solely under the PHS Act (that is, excluding those biological products that are not also regulated as “drugs” under the FD&amp;C Act); (b) the product candidate is intended to treat, modify, reverse, or cure a serious or life-threatening disease or condition; and (c) preliminary clinical evidence indicates that the product candidate has the potential to address unmet medical needs for such disease or condition. Both Breakthrough Therapy and RMAT designations are intended to help accelerate product development by allowing more frequent interactions with the regulator and receiving intensive regulator guidance on drug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Information</w:t>
      </w:r>
    </w:p>
    <w:p>
      <w:pPr>
        <w:spacing w:after="0" w:line="125" w:lineRule="exact"/>
        <w:rPr>
          <w:sz w:val="20"/>
          <w:szCs w:val="20"/>
          <w:color w:val="auto"/>
        </w:rPr>
      </w:pPr>
    </w:p>
    <w:p>
      <w:pPr>
        <w:jc w:val="both"/>
        <w:ind w:right="60" w:firstLine="255"/>
        <w:spacing w:after="0" w:line="257" w:lineRule="auto"/>
        <w:rPr>
          <w:sz w:val="20"/>
          <w:szCs w:val="20"/>
          <w:color w:val="auto"/>
        </w:rPr>
      </w:pPr>
      <w:r>
        <w:rPr>
          <w:rFonts w:ascii="Arial" w:cs="Arial" w:eastAsia="Arial" w:hAnsi="Arial"/>
          <w:sz w:val="14"/>
          <w:szCs w:val="14"/>
          <w:color w:val="auto"/>
        </w:rPr>
        <w:t>Under the Pediatric Research Equity Act (“PREA”), NDAs or BLAs or supplements to NDAs or BLAs must contain data that are adequate to assess the safety and effectiveness of the drug or biologic for the claimed indications in all relevant pediatric subpopulations and to support dosing and administration for each pediatric subpopulation for which the drug is safe and effective. Sponsors must also submit pediatric trial plans and those plans must contain an outline of the proposed pediatric trial or trials the applicant plans to conduct, including trial objectives and design, any deferral or waiver requests and other information required by regulation. The applicant, the regulator, and the regulator’s internal review committee must then review the information submitted, consult with each other, and agree upon a final plan. The regulator or the applicant may request an amendment to the plan at any time. The regulator may grant full or partial waivers or deferrals by age group for submission of data. Unless otherwise required by regulation, the pediatric data requirements do not apply to products with orphan designation, although the regulator has recently taken steps to limit what it considers abuse of this statutory exemption in PREA by announcing that it does not intend to grant any additional orphan drug designations for rare pediatric subpopulations of what is otherwise a common disease.</w:t>
      </w:r>
    </w:p>
    <w:p>
      <w:pPr>
        <w:spacing w:after="0" w:line="96" w:lineRule="exact"/>
        <w:rPr>
          <w:sz w:val="20"/>
          <w:szCs w:val="20"/>
          <w:color w:val="auto"/>
        </w:rPr>
      </w:pPr>
    </w:p>
    <w:p>
      <w:pPr>
        <w:jc w:val="both"/>
        <w:ind w:right="60" w:firstLine="255"/>
        <w:spacing w:after="0" w:line="257" w:lineRule="auto"/>
        <w:rPr>
          <w:sz w:val="20"/>
          <w:szCs w:val="20"/>
          <w:color w:val="auto"/>
        </w:rPr>
      </w:pPr>
      <w:r>
        <w:rPr>
          <w:rFonts w:ascii="Arial" w:cs="Arial" w:eastAsia="Arial" w:hAnsi="Arial"/>
          <w:sz w:val="14"/>
          <w:szCs w:val="14"/>
          <w:color w:val="auto"/>
        </w:rPr>
        <w:t>The Best Pharmaceuticals for Children Act (“BPCA”) provides approved NDA and BLA holders a six-month extension of any exclusivity that attaches to the end of all existing marketing exclusivities and patents for the drug or biologic. Conditions for exclusivity include the regulator’s determination that information relating to the use of a new drug or biologic in the pediatric population may produce health benefits in that population, the regulator making a written request for pediatric studies, and the applicant agreeing to perform, and reporting on, the requested studies within the statutory timeframe. The data do not need to show the product to be effective in the pediatric population studied; rather, if the clinical trial is deemed to fairly respond to the regulator's request, the additional protection is granted. If reports of requested pediatric studies are submitted to and accepted by the regulator within the statutory time limits, whatever statutory or regulatory periods of exclusivity or patent protection cover the product are extended by six months. Applications under the BPCA are treated as priority applications, with all of the benefits that designation confers.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Drugs</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Under the Orphan Drug Act, the regulator may designate a candidate as an orphan drug if it is intended to treat a rare disease or condition (generally meaning that it affects fewer than 200,000 individuals in the United States) Orphan drug designation must be requested by an applicant before submitting an NDA or BLA for the relevant drug candidate. If the regulator grants orphan drug designation, the regulator will publicly disclose the generic identity of the drug candidate and its potential orphan use. Orphan drug designation does not convey any advantage in, or shorten the duration of, the regulatory review and approval process.</w:t>
      </w:r>
    </w:p>
    <w:p>
      <w:pPr>
        <w:spacing w:after="0" w:line="93"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If a product with orphan status receives the first regulator approval for the disease or condition for which it has such designation, the product generally will receive orphan drug exclusivity. Orphan drug exclusivity means that the regulator may not approve any other applications for the same product for the same indication for seven years, except in certain limited circumstances comprising methods by which a second sponsor can demonstrate clinical superiority of its drug in comparison to the first approved orphan drug. Regardless of the orphan drug designation, a competitor may receive regulator approval for a different product (i.e., a different therapeutic agent from the orphan drug) for the same indication for which the orphan product has exclusivity and may obtain approval for the same product (i.e., the same therapeutic agent as the orphan drug) but for a different indication. If a designated orphan drug ultimately receives marketing approval for an indication broader than what was described in its orphan drug designation request, it may not be entitled to exclusivity under the Orphan Drug Act. Among the other benefits of orphan drug designation, the sponsor receives a waiver of the NDA or BLA application user fee and is eligible for tax credits for certain research. The current tax credit regulation allows companies to claim up to 25% of the qualified clinical testing expenses in the current year and three prior years to offset their investment in rare (orphan) conditions.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Post-Approval Requirements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Drugs and biological products manufactured, marketed or distributed pursuant to regulator approval decisions are subject to pervasive and continuing regulation by the regulator, including, among other things, requirements relating to recordkeeping,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periodic reporting, product sampling and distribution, advertising and promotion, and reporting of adverse experiences with the product. After approval, most changes to the approved product, such as manufacturing changes or adding new indications or other labeling claims, are subject to regulator review and approval before they can be implemented. There also are continuing, annual program fee requirements for any marketed, approved prescription products, as well as new application fees for supplemental applications.</w:t>
      </w:r>
    </w:p>
    <w:p>
      <w:pPr>
        <w:spacing w:after="0" w:line="78"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addition, drug manufacturers and other entities involved in the manufacture of approved drugs are required to register their facilities with the regulator and state agencies and are subject to periodic unannounced inspections by the regulator for compliance with cGMP/cGTP requirements. Prescription drug distribution facilities are also subject to state licensure, including inspections, by the relevant local regulatory authority. Changes to the manufacturing process, specifications or container closure system for an approved drug or biologic are strictly regulated and often require prior regulator approval before being implemented. Regulations also require investigation and correction of any deviations from cGMP or cGTP and impose reporting and documentation requirements upon the sponsor and others involved in the product’s manufacturing process.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Accordingly, manufacturers must continue to expend time, money and effort in the area of production and quality control to maintain cGMP/cGTP compliance and ensure ongoing compliance with other statutory requirements the FD&amp;C Act, such as the requirements for making manufacturing changes to an approved NDA or BLA.</w:t>
      </w:r>
    </w:p>
    <w:p>
      <w:pPr>
        <w:spacing w:after="0" w:line="9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Even after a new drug or biologic approval is granted, the regulator may withdraw that approval if compliance with regulatory requirements and standards is not maintained or if problems occur after the product reaches the market. If a previously unknown problem, including adverse events of unanticipated severity or frequency, or with manufacturing processes, is discovered or the manufacturer fails to comply with regulatory requirements, the regulator may require revisions to the approved labeling to add new safety information; may impose additional post-market studies or clinical trials to assess new safety risks; or may impose distribution or other restrictions under a REMS program. Other potential consequences of regulatory non-compliance include, among other things:</w:t>
      </w:r>
    </w:p>
    <w:p>
      <w:pPr>
        <w:spacing w:after="0" w:line="93"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refusal of the regulator to approve pending NDAs/BLAs or supplements to approved NDAs/BLAs, or suspension or revocation of product license approvals;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consent decrees, corporate integrity agreements, debarment, or exclusion from federal health care programs; or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mandated modification of promotional materials and labeling and the issuance of corrective information.</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Health authorities strictly regulates marketing, labeling, advertising and promotion of prescription drug and biological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penalties. In addition, the distribution of prescription pharmaceutical products is subject to a variety of federal and state laws.</w:t>
      </w:r>
    </w:p>
    <w:p>
      <w:pPr>
        <w:spacing w:after="0" w:line="93" w:lineRule="exact"/>
        <w:rPr>
          <w:sz w:val="20"/>
          <w:szCs w:val="20"/>
          <w:color w:val="auto"/>
        </w:rPr>
      </w:pPr>
    </w:p>
    <w:p>
      <w:pPr>
        <w:jc w:val="both"/>
        <w:ind w:firstLine="255"/>
        <w:spacing w:after="0" w:line="171" w:lineRule="exact"/>
        <w:rPr>
          <w:sz w:val="20"/>
          <w:szCs w:val="20"/>
          <w:color w:val="auto"/>
        </w:rPr>
      </w:pPr>
      <w:r>
        <w:rPr>
          <w:rFonts w:ascii="Arial" w:cs="Arial" w:eastAsia="Arial" w:hAnsi="Arial"/>
          <w:sz w:val="14"/>
          <w:szCs w:val="14"/>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10</w:t>
      </w:r>
      <w:r>
        <w:rPr>
          <w:rFonts w:ascii="MS PGothic" w:cs="MS PGothic" w:eastAsia="MS PGothic" w:hAnsi="MS PGothic"/>
          <w:sz w:val="14"/>
          <w:szCs w:val="14"/>
          <w:color w:val="auto"/>
        </w:rPr>
        <w:t>‑</w:t>
      </w:r>
      <w:r>
        <w:rPr>
          <w:rFonts w:ascii="Arial" w:cs="Arial" w:eastAsia="Arial" w:hAnsi="Arial"/>
          <w:sz w:val="14"/>
          <w:szCs w:val="14"/>
          <w:color w:val="auto"/>
        </w:rPr>
        <w:t>year period. The original DSCSA requirements for traceability at the product lot level are expected to be in force by November 2023. However new requirements are being developed to require traceability of product at the package level and these are expected to begin implementation in 2023. From time to time, additional new legislation and regulations may be implemented that could significantly change the statutory provisions governing the approval, manufacturing and marketing of products regulated by the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FDA. It is impossible to predict whether further legislative or regulatory changes will be enacted, or FDA regulations, guidance or interpretations changed or what the impact of such changes, if any, may be.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Health Care Regulations</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Other federal and state laws and regulations that could directly or indirectly affect our ability to operate the business and/or financial performance include: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state and local licensure, applicable to the processing and storage of human cells and tissues;</w:t>
      </w:r>
    </w:p>
    <w:p>
      <w:pPr>
        <w:spacing w:after="0" w:line="114" w:lineRule="exact"/>
        <w:rPr>
          <w:sz w:val="20"/>
          <w:szCs w:val="20"/>
          <w:color w:val="auto"/>
        </w:rPr>
      </w:pPr>
    </w:p>
    <w:p>
      <w:pPr>
        <w:ind w:left="520" w:right="60" w:hanging="255"/>
        <w:spacing w:after="0" w:line="281" w:lineRule="auto"/>
        <w:rPr>
          <w:sz w:val="20"/>
          <w:szCs w:val="20"/>
          <w:color w:val="auto"/>
        </w:rPr>
      </w:pPr>
      <w:r>
        <w:rPr>
          <w:rFonts w:ascii="Arial" w:cs="Arial" w:eastAsia="Arial" w:hAnsi="Arial"/>
          <w:sz w:val="14"/>
          <w:szCs w:val="14"/>
          <w:color w:val="auto"/>
        </w:rPr>
        <w:t>– laws and regulations administered by the United States Department of Health and Human Services, including the Office for Human Research Protections and the Office of Inspector General;</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state laws and regulations governing human subject research;</w:t>
      </w:r>
    </w:p>
    <w:p>
      <w:pPr>
        <w:spacing w:after="0" w:line="125" w:lineRule="exact"/>
        <w:rPr>
          <w:sz w:val="20"/>
          <w:szCs w:val="20"/>
          <w:color w:val="auto"/>
        </w:rPr>
      </w:pPr>
    </w:p>
    <w:p>
      <w:pPr>
        <w:ind w:left="520" w:right="60" w:hanging="255"/>
        <w:spacing w:after="0" w:line="281" w:lineRule="auto"/>
        <w:rPr>
          <w:sz w:val="20"/>
          <w:szCs w:val="20"/>
          <w:color w:val="auto"/>
        </w:rPr>
      </w:pPr>
      <w:r>
        <w:rPr>
          <w:rFonts w:ascii="Arial" w:cs="Arial" w:eastAsia="Arial" w:hAnsi="Arial"/>
          <w:sz w:val="14"/>
          <w:szCs w:val="14"/>
          <w:color w:val="auto"/>
        </w:rPr>
        <w:t>– federal and state coverage and reimbursement laws and regulations, including laws and regulations administered by the Centers for Medicare &amp; Medicaid Services and state Medicaid agencies;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the federal Medicare and Medicaid Anti-Kickback Law and similar state laws and regulations;</w:t>
      </w:r>
    </w:p>
    <w:p>
      <w:pPr>
        <w:spacing w:after="0" w:line="125" w:lineRule="exact"/>
        <w:rPr>
          <w:sz w:val="20"/>
          <w:szCs w:val="20"/>
          <w:color w:val="auto"/>
        </w:rPr>
      </w:pPr>
    </w:p>
    <w:p>
      <w:pPr>
        <w:ind w:left="520" w:right="60" w:hanging="255"/>
        <w:spacing w:after="0" w:line="281" w:lineRule="auto"/>
        <w:rPr>
          <w:sz w:val="20"/>
          <w:szCs w:val="20"/>
          <w:color w:val="auto"/>
        </w:rPr>
      </w:pP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federal Health Insurance Portability and Accountability Act of 1996 (“HIPAA”), as amended by the Health Information Technology for Economic and Clinical Health Act and similar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state laws and regulations;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the federal physician self-referral prohibition commonly known as the Stark Law, and state equivalents of the Stark Law;</w:t>
      </w:r>
    </w:p>
    <w:p>
      <w:pPr>
        <w:spacing w:after="0" w:line="114" w:lineRule="exact"/>
        <w:rPr>
          <w:sz w:val="20"/>
          <w:szCs w:val="20"/>
          <w:color w:val="auto"/>
        </w:rPr>
      </w:pPr>
    </w:p>
    <w:p>
      <w:pPr>
        <w:ind w:left="520" w:right="220" w:hanging="255"/>
        <w:spacing w:after="0" w:line="267" w:lineRule="auto"/>
        <w:rPr>
          <w:sz w:val="20"/>
          <w:szCs w:val="20"/>
          <w:color w:val="auto"/>
        </w:rPr>
      </w:pPr>
      <w:r>
        <w:rPr>
          <w:rFonts w:ascii="Arial" w:cs="Arial" w:eastAsia="Arial" w:hAnsi="Arial"/>
          <w:sz w:val="14"/>
          <w:szCs w:val="14"/>
          <w:color w:val="auto"/>
        </w:rPr>
        <w:t>– the federal transparency requirements under the Physician Payments Sunshine Act that require manufacturers of FDA-approved drugs, devices, biologics and medical supplies covered by Medicare or Medicaid to report, on an annual basis, to the Department of Health and Human Services information related to payments and other transfers of value physicians, teaching hospitals, and certain advanced non-physician health care practitioners and physician ownership and investment interests;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Occupational Safety and Health Administration requirements;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state and local laws and regulations dealing with the handling and disposal of medical waste; and</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the Intermediate Sanctions rules of the IRS providing for potential financial sanctions with respect to “Excess Benefit Transactions” with tax-exempt organizations.</w:t>
      </w:r>
    </w:p>
    <w:p>
      <w:pPr>
        <w:spacing w:after="0" w:line="12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Japan's Pharmaceutical and Medical Device Authority Regulation of Regenerative Medicine</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Prior to 2014, there was no specific regulatory oversight of regenerative medicine products in Japan. However, in November 2013, the Japanese authorities revised the Pharmaceutical Affairs Law and renamed it the Pharmaceuticals, Medical Devices, and Other Therapeutic Products Act (the “PMD Act”). The new legislation became effective on November 25, 2014 and provides for a timely introduction of innovative regenerative medicine products. The new legislation formalizes a legal basis for development of regenerative medicine therapies. The new legislation defines regenerative medicine products as processed human cells that are intended to be used for either (1) the reconstructive repair, or formation of structures or functions of the human body; (2) the treatment or prevention of human diseases; or (3) gene therapy.</w:t>
      </w:r>
    </w:p>
    <w:p>
      <w:pPr>
        <w:spacing w:after="0" w:line="9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The legislation allows the PMDA/Ministry of Health, Labour and Welfare (“MHLW”) to award conditional approval to a regenerative medicine therapy if there is evidence of adequate safety and results which predict likely efficacy. The evidence for efficacy may be based on surrogate endpoints and may come from an exploratory study. This conditional approval is time-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limited, and there must be an agreement with PMDA/MHLW as to follow-up collection of information which confirms efficacy and safety, similar to a post-marketing commitment in the United States.</w:t>
      </w:r>
    </w:p>
    <w:p>
      <w:pPr>
        <w:spacing w:after="0" w:line="6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Under the PMD Act, products under consideration may also be given a SAKIGAKE designation (similar to an FDA “Breakthrough” or “RMAT” designation in certain respects) with a priority six month review period. Additionally, there is a commitment that the PMDA will facilitate research and development by giving scientific and regulatory advice to sponsors from the early stage of development.</w:t>
      </w:r>
    </w:p>
    <w:p>
      <w:pPr>
        <w:spacing w:after="0" w:line="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According to the new legislation, the sponsor prepares a marketing authorization application which is submitted for review to the PMDA. The PMDA reviews the application and prepares a review report and recommendation which is submitted to the MHLW. The MHLW reviews the recommendation and makes a decision regarding approval of the product. This procedure allows for both a conditional approval and subsequently for a full approval after the post-marketing commitments have been fulfilled.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RISK FACTORS</w:t>
      </w:r>
    </w:p>
    <w:p>
      <w:pPr>
        <w:spacing w:after="0" w:line="11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business, financial condition, operating results and cash flows are subject to numerous risks and uncertainties that are summarized below. The below summary of risk factors should be read together with the more detailed discussion of risks set forth following this section under the heading “Risk Factors,” as well as elsewhere in this Annual Report.</w:t>
      </w:r>
    </w:p>
    <w:p>
      <w:pPr>
        <w:spacing w:after="0" w:line="79" w:lineRule="exact"/>
        <w:rPr>
          <w:sz w:val="20"/>
          <w:szCs w:val="20"/>
          <w:color w:val="auto"/>
        </w:rPr>
      </w:pPr>
    </w:p>
    <w:p>
      <w:pPr>
        <w:jc w:val="both"/>
        <w:ind w:left="520" w:hanging="260"/>
        <w:spacing w:after="0" w:line="267"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have incurred substantial losses and negative cash flow from operations in the past and expect to continue to incur losses and negative cash flow for the foreseeable future. Additionally, we anticipate that we will need substantial additional financing to continue our operations; if we are unable to raise additional capital, we may be forced to delay, reduce or eliminate one or more of our product development programs, and our business will consequently be harmed.</w:t>
      </w:r>
    </w:p>
    <w:p>
      <w:pPr>
        <w:spacing w:after="0" w:line="8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are substantially dependent on our lead product candidate, LSTA1. If we are unable to advance LSTA1 or any of our other product candidates through clinical development, obtain regulatory approval and ultimately begin commercializing, or experience significant delays in doing so, our business will be materially harmed.</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commercial potential and profitability of our product candidates are unknown. We currently have no marketing and sales organization and have no experience in marketing products, and our products may not gain market acceptance among physicians, patients, hospitals, cancer treatment centers and others in the medical community.</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cell therapy business is based on novel technologies that are inherently expensive and risky.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recently completed the Merger and face ongoing risks related to the ongoing integration of our business with Cend’s business as well as potential Merger-related litigation.</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has been and may continue to be adversely affected by the COVID-19 pandemic.</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be unable to manage multiple late-stage clinical trials for a variety of product candidates simultaneously.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serious or unacceptable side effects are identified during the development of any of our product candidates, we may need to abandon or limit our development of that product candidate.</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Fast Track or breakthrough therapy designation by the FDA and other similar regulatory designations may not lead to a faster development, regulatory review, or approval process.</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clinical trials may fail to demonstrate adequately the safety and efficacy of our product candidates, which failure would prevent or delay regulatory approval and commercialization.</w:t>
      </w:r>
    </w:p>
    <w:p>
      <w:pPr>
        <w:spacing w:after="0" w:line="13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supply chain disruption could impact our ability to perform clinical trials and seek future regulatory submissions.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enter into collaborations, strategic alliances, additional licensing arrangements, acquisitions, business combinations and/or other strategic transactions, and we may not realize the benefits of any such arrangement.</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competitors develop and market products that are more effective, safer, or less expensive than our product candidates or offer other advantages, our commercial prospects will be limited.</w:t>
      </w:r>
    </w:p>
    <w:p>
      <w:pPr>
        <w:spacing w:after="0" w:line="148" w:lineRule="exact"/>
        <w:rPr>
          <w:rFonts w:ascii="Arial" w:cs="Arial" w:eastAsia="Arial" w:hAnsi="Arial"/>
          <w:sz w:val="12"/>
          <w:szCs w:val="12"/>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need to grow the size of our organization, and may experience difficulties in managing this growth.</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involved in a litigation matter that may consume resources and management time, and an adverse resolution could require us to pay damages or otherwise adversely impact our business, financial condition or results of operations.</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subject to significant product liability claims and litigation, including potential exposure from the use of our product candidates in human subjects, and our insurance may be inadequate to cover claims that may arise.</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unable to hire or retain key officers or employees needed to implement our business strategy.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variety of risks associated with operating our business internationally could materially adversely affect our business.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conduct significant operations through our Australian subsidiary. If we lose our ability to operate in Australia, or if the subsidiary loses eligibility for certain Australian tax credits, our business and results of operations will suffer.</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internal computer systems, or those used by our clinical investigators, clinical research organizations or other contractors or consultants, may fail or suffer security breaches, which could result in a material disruption of development programs for our product candidates.</w:t>
      </w:r>
    </w:p>
    <w:p>
      <w:pPr>
        <w:spacing w:after="0" w:line="7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development and commercialization of our product candidates are subject to extensive regulation and the failure to receive regulatory approvals would likely have a material and adverse effect on our business and prospects. Obtaining and maintaining regulatory approval of our product candidates in one jurisdiction does not mean that it will be successful in obtaining regulatory approval of our product candidates in other jurisdictions.</w:t>
      </w:r>
    </w:p>
    <w:p>
      <w:pPr>
        <w:spacing w:after="0" w:line="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subject to numerous and varying privacy and security laws, and our failure to comply could result in penalties and reputational damage.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will continue to be subject to extensive regulation following any product approvals, and if we fail to comply with these regulations, we may suffer a significant setback in our business.</w:t>
      </w:r>
    </w:p>
    <w:p>
      <w:pPr>
        <w:spacing w:after="0" w:line="13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Health care companies have been the subject of federal and state investigations, and we could become subject to investigations in the future. Further, unintended consequences of health care reform legislation in the United States may adversely affect our business.</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It is uncertain to what extent government, private health insurers and third-party payors will approve coverage or provide reimbursement for the therapies and products to which our research and development relate.</w:t>
      </w:r>
    </w:p>
    <w:p>
      <w:pPr>
        <w:spacing w:after="0" w:line="79"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Inadequate funding for the FDA, the SEC and other government agencies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If we are unable to obtain or maintain our licenses, patents or other intellectual property we could lose important protections that are material to continuing our operations and our future prospects.</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Litigation and third-party claims relating to intellectual property are expensive, time-consuming and uncertain, and we may be unsuccessful in our efforts to protect against infringement by third parties or defend ourselves against claims of infringement.</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utilize our net operating loss carryforwards and tax credit carryforwards may be subject to limitations.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stock price has been, and will likely continue to be, highly volatile.</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fail to comply with the continued listing requirements of the Nasdaq Capital Market, such that our common stock may be delisted and our ability to access the capital markets could be negatively impacted.</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Future fundraising and strategic transactions may cause dilution, and we currently have a significant number of securities outstanding that are exercisable for our common stock, which could result in significant additional dilution.</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Provisions in our amended and restated certificate of incorporation and by-laws and Delaware law may inhibit a takeover, which could limit the price investors are willing to pay for our common stock and could entrench management.</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Failure to maintain effective internal control over financial reporting in accordance with Section 404 of the Sarbanes-Oxley Act could have a material adverse effect on our business and stock price.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HUMAN CAPITAL RESOURCES</w:t>
      </w:r>
    </w:p>
    <w:p>
      <w:pPr>
        <w:spacing w:after="0" w:line="11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As of December 31, 2022, we had 27 full-time employees. Senior management and professional employees have had prior experience in pharmaceutical or biotechnology companies. None of our employees are covered by collective bargaining agreements. We believe that our relations with our employees are good. Our human capital resources objectives include, as applicable, identifying, recruiting, retaining, incentivizing and integrating our existing and additional employees, advisors and consultants. The principal purposes of our equity incentive plans are to attract, retain and reward personnel through the granting of equity-based compensation awards in order to increase stockholder value and our success by motivating such individuals to perform to the best of their abilities and achieve our objectives.</w:t>
      </w:r>
    </w:p>
    <w:p>
      <w:pPr>
        <w:spacing w:after="0" w:line="9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spacing w:after="0" w:line="78"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Our Code of Business Conduct and Ethics clearly outlines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business, financial condition, operating results and cash flows can be affected by a number of factors, including, but not limited to, those set forth below, any one of which could cause our actual results to vary materially from recent results or from our anticipated future results. The risks described below are not the only ones we face, but those we currently consider to be material. There may be other risks which we now consider immaterial, or which are unknown or unpredictable, with respect to our business, our competition, the regulatory environment or otherwise that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CONDITION AND CAPITAL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substantial losses and negative cash flow from operations in the past and expect to continue to incur losses and negative cash flow for the foreseeable future.</w:t>
      </w:r>
    </w:p>
    <w:p>
      <w:pPr>
        <w:spacing w:after="0" w:line="12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have a limited operating history, limited capital, and limited sources of revenue. Since our inception in 1980 through December 31, 2022, we have incurred aggregate net losses of approximately $507.2 million. Our net losses from continuing operations attributable to common stockholders for the years ended December 31, 2022 and December 31, 2021 were approximately $54.2 million and $27.5 million, respectively. As of December 31, 2022, our cash and cash equivalents and marketable securities were $69.2 million. Our current business has not generated revenues in the past and for the foreseeable future we do not expect it to generate revenue to be sufficient to cover costs attributable to that business or to our operations as a whole, including our development activities associated with our product candidates. Ultimately, we may never generate sufficient revenue from our business to reach profitability, generate positive cash flow or sustain, on an ongoing basis, our current or projected levels of product development and other operations.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anticipate that we will need substantial additional financing to continue our operations; if we are unable to raise additional capital, we may be forced to delay, reduce or eliminate one or more of our product development programs, and our business will be harmed.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current operating plan will require significant levels of additional capital to fund the continued development of our product candidates and our clinical development activities.</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clinical activities are expected to continue to grow as our programs are advanced and they will require significant investment over a period of several years before they could potentially be approved by health authorities and commercialized by us or a partner, if ever. Even if data from our current clinical trials for our product candidates were deemed positive, we may be required to conduct additional clinical trials of the product candidates, including larger and more expensive pivotal Phase 3 trials, to pursue commercialization of the candidates. To do so, we will need to raise additional capital, enter into collaboration agreements with third parties or undertake any combination thereof. If we are unsuccessful in our efforts to raise capital or find collaborative partners, we will likely need to otherwise delay or abandon the trials.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amount and timing of our future capital requirements also will likely depend on many other factors, including:</w:t>
      </w:r>
    </w:p>
    <w:p>
      <w:pPr>
        <w:spacing w:after="0" w:line="125"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scope, progress, results, costs, timing and outcomes of our research and development programs and product candidates;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enter into any collaboration agreements with third parties for our product candidates and the timing and terms of any such agreements;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costs associated with the consummation of one or more strategic transactions;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of, and the costs involved in obtaining, regulatory approvals for our product candidates, a process which could be particularly lengthy;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costs of maintaining, expanding and protecting our intellectual property portfolio, including potential litigation costs and liabilities relating thereto;</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expansion of our development operations and personnel;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availability of, or our access to, state or federal government awards.</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To both fund our clinical trials and support our future operations, we would likely seek to raise capital through a variety of different public and/or private financings vehicles. This could include, but not be limited to, utilization of our at-the-market offering agreement with H.C. Wainwright &amp; Co., LLC, potential issuances of other debt or equity securities in public or private financings and/or sale or licensing of assets. If we raise capital through the sale of equity, or securities convertible into equity, it will result in dilution to our then-existing stockholders. Servicing the interest and principal repayment obligations under debt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incur, or whether any such debt is called, would divert funds that might otherwise be available to support research and development, clinical or commercialization activities. In addition, debt financing involves covenants that restrict our ability to operate our business. In certain cases, we also may seek funding through collaborative arrangements that would likely require us to relinquish certain rights to our technology or product candidates and diminish our share in the future revenues associated with the partnered product.</w:t>
      </w:r>
    </w:p>
    <w:p>
      <w:pPr>
        <w:spacing w:after="0" w:line="7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Ultimately, we may be unable to raise capital or enter into collaborative relationships on terms that are acceptable to us, if at all. Our inability to obtain necessary capital or financing to fund our future operating needs could adversely affect our business, results of operations and financial condition.</w:t>
      </w:r>
    </w:p>
    <w:p>
      <w:pPr>
        <w:spacing w:after="0" w:line="79"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We have never generated any revenue from product sales and our ability to generate revenue from product sales and become profitable depends significantly on our success in a number of factors.</w:t>
      </w:r>
    </w:p>
    <w:p>
      <w:pPr>
        <w:spacing w:after="0" w:line="7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have no products approved for commercial sale, have not generated any revenue from product sales, and do not anticipate generating any revenue from product sales until sometime after we have received regulatory approval for the commercial sale of a product candidate, which may never occur. Our ability to generate revenue from product sales and achieve profitability depends significantly on our success in many factors, including:</w:t>
      </w:r>
    </w:p>
    <w:p>
      <w:pPr>
        <w:spacing w:after="0" w:line="78"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completing research regarding, and nonclinical and clinical development of, our current and future product candidates;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obtaining regulatory approvals and marketing authorizations for product candidates for which we complete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developing a sustainable and scalable manufacturing process for our product candidates;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identifying and contracting with contract manufacturers that have the ability and capacity to manufacture our development products and make them at an acceptable cost;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launching and commercializing product candidates for which we obtain regulatory approvals and marketing authorizations, either directly or with a collaborator or distributor;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obtaining market acceptance of our product candidates as viable treatment options;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ensuring ongoing regulatory compliance post-approval and with respect to sales and marketing of future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addressing any competing technological and market developments;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identifying, assessing, acquiring and/or developing new product candidates;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negotiating favorable terms in any collaboration, licensing, or other arrangements into which we may enter;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maintaining, protecting, and expanding our portfolio of intellectual property rights, including patents, trade secrets, and know-how;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attracting, hiring, and retaining qualified personnel.</w:t>
      </w:r>
    </w:p>
    <w:p>
      <w:pPr>
        <w:spacing w:after="0" w:line="11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depend, in part, upon the size of the markets in the territories for which we obtain regulatory approval, the accepted price for the product, the ability to receive reimbursement at any price, and whether we own the commercial rights for that territory. If the number of our addressable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p>
    <w:p>
      <w:pPr>
        <w:spacing w:after="0" w:line="8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are involved in a litigation matter that may consume resources and management time, and an adverse resolution could require us to pay damages or otherwise adversely impact our business, financial condition or results of operations</w:t>
      </w:r>
    </w:p>
    <w:p>
      <w:pPr>
        <w:spacing w:after="0" w:line="69"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We are currently involved in one litigation matter alleging breach of contract and fraud against us and Harri Järveläinen, the former chief operating officer of Cend. Resolving this matter could require us to incur substantial costs and divert the attention of management and technical personnel. Any adverse ruling or perception of an adverse ruling could have an adverse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impact on our business, financial condition or results of operations. We could incur substantial costs and expenses which could negatively affect our gross margins and earnings per share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If our status as a smaller reporting company changes, Section 404(b) of the Sarbanes-Oxley Act of 2002 may require an independent registered public accounting firm to report on the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effectiveness of our internal control over financial reporting. Any delays or difficulty in satisfying these requirements could adversely affect our future results of operations and our stock price.</w:t>
      </w:r>
    </w:p>
    <w:p>
      <w:pPr>
        <w:spacing w:after="0" w:line="13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Section 404(b) of the Sarbanes-Oxley Act of 2002 requires an independent registered public accounting firm to test the internal control over financial reporting of public companies, and to report on the effectiveness of such controls, for each fiscal year ending after June 15, 2010. Under the Dodd Frank Wall Street Reform and Consumer Protection Act of 2010, we are exempt from Section 404(b) as long as we remain a smaller reporting company or a non-accelerated filer. If our status as a smaller reporting company changes, we may be required to comply with this auditor attestation requirement.</w:t>
      </w:r>
    </w:p>
    <w:p>
      <w:pPr>
        <w:spacing w:after="0" w:line="93"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In addition, we may in the future discover areas of our internal controls that need improvement, particularly with respect to businesses that we may acquire. If so, we cannot be certain that any remedial measure we take will ensure that we have adequate internal controls over our financial processes and reporting in the future. Any failure to implement required new or improved controls, or difficulties encountered in their implementation could harm our operating results or cause us to fail to meet our reporting obligations. If we are unable to conclude that we have effective internal controls over financial reporting, or if it becomes necessary for our independent registered public accounting firm to provide us with an unqualified report regarding the effectiveness of our internal control over financial reporting and it is unable to do so, investors could lose confidence in the reliability of our financial statements. This could result in a decrease in the value of our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tax credit carryforwards may be subject to limitations.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7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is generally defined as a greater than 50 percentage point change (by value) in its equity ownership by certain stockholders over a three-year period. Even if we achieve profitability, we may not be able to utilize a material portion of our NOL carryforwards and other tax attributes, which could have a material adverse effect on cash flow and results of operations. Similar provisions of state tax law may also apply to limit our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86" w:lineRule="exact"/>
        <w:rPr>
          <w:sz w:val="20"/>
          <w:szCs w:val="20"/>
          <w:color w:val="auto"/>
        </w:rPr>
      </w:pPr>
    </w:p>
    <w:p>
      <w:pPr>
        <w:ind w:right="420"/>
        <w:spacing w:after="0" w:line="321" w:lineRule="auto"/>
        <w:rPr>
          <w:sz w:val="20"/>
          <w:szCs w:val="20"/>
          <w:color w:val="auto"/>
        </w:rPr>
      </w:pPr>
      <w:r>
        <w:rPr>
          <w:rFonts w:ascii="Arial" w:cs="Arial" w:eastAsia="Arial" w:hAnsi="Arial"/>
          <w:sz w:val="13"/>
          <w:szCs w:val="13"/>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56"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3"/>
          <w:szCs w:val="13"/>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13"/>
          <w:szCs w:val="13"/>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6"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9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9"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Delayed access to deposits or other financial assets or the uninsured loss of deposits or other financial assets;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or actual breach of contractual obligations that require us to maintain letters or credit or other credit support arrangements; or</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Termination of cash management arrangements and/or delays in accessing or actual loss of funds subject to cash management arrangements.</w:t>
      </w:r>
    </w:p>
    <w:p>
      <w:pPr>
        <w:spacing w:after="0" w:line="12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97"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PRODUCT DEVELOPMENT EFFORTS</w:t>
      </w:r>
    </w:p>
    <w:p>
      <w:pPr>
        <w:spacing w:after="0" w:line="119" w:lineRule="exact"/>
        <w:rPr>
          <w:sz w:val="20"/>
          <w:szCs w:val="20"/>
          <w:color w:val="auto"/>
        </w:rPr>
      </w:pPr>
    </w:p>
    <w:p>
      <w:pPr>
        <w:ind w:right="600"/>
        <w:spacing w:after="0" w:line="368" w:lineRule="auto"/>
        <w:rPr>
          <w:sz w:val="20"/>
          <w:szCs w:val="20"/>
          <w:color w:val="auto"/>
        </w:rPr>
      </w:pPr>
      <w:r>
        <w:rPr>
          <w:rFonts w:ascii="Arial" w:cs="Arial" w:eastAsia="Arial" w:hAnsi="Arial"/>
          <w:sz w:val="12"/>
          <w:szCs w:val="12"/>
          <w:b w:val="1"/>
          <w:bCs w:val="1"/>
          <w:i w:val="1"/>
          <w:iCs w:val="1"/>
          <w:color w:val="auto"/>
        </w:rPr>
        <w:t>We are substantially dependent on our lead product candidate, LSTA1. If we are unable to advance LSTA1 or any of our other product candidates through clinical development, obtain regulatory approval and ultimately commercialize LSTA1 or any of our other product candidates, or experience significant delays in doing so, our business will be materially harmed.</w:t>
      </w:r>
    </w:p>
    <w:p>
      <w:pPr>
        <w:spacing w:after="0" w:line="3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lead product candidate LSTA1 is still in clinical development. Our ability to generate product revenues, which we do not expect will occur for many years, if ever, will depend heavily on the successful clinical development and eventual commercialization of LSTA1 and potentially one or more of our other product candidates. The success of our product candidates will depend on several factors, including the following:</w:t>
      </w:r>
    </w:p>
    <w:p>
      <w:pPr>
        <w:spacing w:after="0" w:line="89"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 completion of preclinical and clinical studies;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approval of investigational new drug applications (“INDs”) for our planned clinical trials or future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Regulator acceptance of our development strategy and resultant clinical data;</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 initiation of clinical trials;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 patient enrollment in and completion of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safety, tolerability and efficacy profiles for our product candidates that are satisfactory to regulators for marketing approval;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receipt of marketing approvals for our product candidates from applicable regulatory authorities;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extent of any required post-marketing approval commitments to applicable regulatory authorities;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for our product candidates;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or establishing manufacturing capabilities, for both clinical and commercial supplies of our product candidates, if any product candidates are approved;</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establishing sales, marketing and distribution capabilities and launching commercial sales of our products, if and when approved, whether alone or in collaboration with others;</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acceptance of our products, if and when approved, by patients, the medical community and third-party payors;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effectively competing with other therapies;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obtaining and maintaining third-party coverage and adequate reimbursement;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our products following approval;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factors we may not be able to control, such as current or potential pandemics that may limit patients, principal investigators or staff or clinical site availability (e.g. the COVID-19 pandemic).</w:t>
      </w:r>
    </w:p>
    <w:p>
      <w:pPr>
        <w:spacing w:after="0" w:line="137"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There is no guarantee that the results obtained in our current clinical studies will be sufficient to obtain regulatory approval or marketing authorization for any of our product candidates. Negative results in the development of our lead product candidate, LSTA1, may also impact our ability to obtain regulatory approval for certain of our other product candidates, either at all or within anticipated timeframes because, although certain of our other product candidates may target different indications, the underlying technology platform, manufacturing process and development process is the same for several of our product candidates that are based on the same underlying technology platform. Accordingly, a failure in any one program may affect the ability to obtain regulatory approval to continue or conduct clinical programs for other product candidates. For example, although we believe based on our clinical studies that a combination of LSTA1 with certain anti-cancer therapeutics is more effective than the use of those therapeutics in alone, this may not prove true in clinical testing of LSTA1 for all or any of the targeted tumors or types of cancer. Anti-tumor activity may prove different in each of the different tumor and cancer types we plan on evaluating in the clinical trial. Therefore, even though we plan on pursuing tumor-agnostic clinical development of LSTA1, the tumor response may be low in patients with some cancers compared to others. This may result in discontinuation of development of LSTA1 for patients with these tumor types and/or mutations due to insufficient clinical benefit while continuing development for a more limited population of patients more likely to benefit. As a consequence, we may have to negotiate with regulators to reach agreement on defining the optimal patient population, study design and size in order to obtain regulatory approval, any of which may require significant additional resources and delay the timing of our clinical trials and ultimately the approval, if any, of any of our product candidates.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addition, because we have limited financial and personnel resources and are placing significant focus on the development of our lead product candidate, we may forego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future success may be dependent on the timely and successful continued development and commercialization of our product candidates and if we encounter delays or difficulties in the development of these product candidates, our business prospects could be significantly harmed.</w:t>
      </w:r>
    </w:p>
    <w:p>
      <w:pPr>
        <w:spacing w:after="0" w:line="7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are dependent upon the successful development, approval and commercialization of our product candidates. Before we are able to seek regulatory approval of our product candidates, we must conduct and complete extensive clinical trials to demonstrate their safety and efficacy in humans. We have never taken a product through the regulatory approval process or successfully to U.S. or international commercialization.</w:t>
      </w:r>
    </w:p>
    <w:p>
      <w:pPr>
        <w:spacing w:after="0" w:line="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Clinical testing is expensive, difficult to design and implement, and can take many years to complete. Importantly, a failure of one or more of these or any other clinical trials can occur at any stage of testing. We may experience numerous unforeseen events during, or as a result of clinical trials that could delay or prevent our ability to complete our clinical trials, receive regulatory approval or commercialize our cell therapy product candidates, including the following:</w:t>
      </w:r>
    </w:p>
    <w:p>
      <w:pPr>
        <w:spacing w:after="0" w:line="78"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suspensions, delays or changes in the design, initiation, enrollment, implementation or completion of required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adverse changes in our financial position or significant and unexpected increases in the cost of our clinical development program;</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or uncertainties in, or additions to, the regulatory approval process that require us to alter our current development strategy;</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trial results that are negative, inconclusive or even less than desired as to safety and/or efficacy, which could result in the need for additional clinical trials or the termination of the product's development;</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delays in our ability to manufacture our product candidates in quantities or in a form that is suitable for any required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intellectual property constraints that prevent us from making, using, or commercializing any of our cell therapy product candidates;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or equipment necessary to conduct clinical trials of these product candidates may be no longer available for purchase, insufficient or inadequate;</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inability to generate sufficient preclinical, toxicology, or other in vivo or in vitro data to support the initiation of clinical trials;</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9"/>
        </w:numPr>
        <w:rPr>
          <w:rFonts w:ascii="Arial" w:cs="Arial" w:eastAsia="Arial" w:hAnsi="Arial"/>
          <w:sz w:val="14"/>
          <w:szCs w:val="14"/>
          <w:b w:val="1"/>
          <w:bCs w:val="1"/>
          <w:i w:val="1"/>
          <w:iCs w:val="1"/>
          <w:color w:val="auto"/>
        </w:rPr>
      </w:pPr>
      <w:r>
        <w:rPr>
          <w:rFonts w:ascii="Arial" w:cs="Arial" w:eastAsia="Arial" w:hAnsi="Arial"/>
          <w:sz w:val="14"/>
          <w:szCs w:val="14"/>
          <w:color w:val="auto"/>
        </w:rPr>
        <w:t>delays in reaching agreement on acceptable terms with prospective contract research organizations (“CROs”), contract manufacturing organizations (“CMOs”), and clinical trial sites, the terms of which can be subject to extensive negotiation and may vary significantly among different CROs, CMOs and clinical trial sites;</w:t>
      </w:r>
    </w:p>
    <w:p>
      <w:pPr>
        <w:spacing w:after="0" w:line="68"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delays in obtaining required IRB approval at each clinical trial site;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inability to file an IND or CTA with the applicable regulators for our development candidates;</w:t>
      </w:r>
    </w:p>
    <w:p>
      <w:pPr>
        <w:spacing w:after="0" w:line="125" w:lineRule="exact"/>
        <w:rPr>
          <w:rFonts w:ascii="Arial" w:cs="Arial" w:eastAsia="Arial" w:hAnsi="Arial"/>
          <w:sz w:val="14"/>
          <w:szCs w:val="14"/>
          <w:color w:val="auto"/>
        </w:rPr>
      </w:pPr>
    </w:p>
    <w:p>
      <w:pPr>
        <w:jc w:val="both"/>
        <w:ind w:left="520" w:hanging="260"/>
        <w:spacing w:after="0" w:line="288"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imposition of a temporary or permanent clinical hold by the FDA or similar restrictions by other regulatory agencies for a number of reasons, including after review of an IND or amendment, or equivalent application or amendment; as a result of a new safety finding that presents unreasonable risk to clinical trial participants; a negative finding from an inspection of our clinical trial operations or clinical trial sites; developments on trials conducted by competitors or approved products post-market for related technology that raises FDA concerns about risk to patients of the technology broadly; or if the FDA finds that the investigational protocol or plan is clearly deficient to meet its stated objectives;</w:t>
      </w:r>
    </w:p>
    <w:p>
      <w:pPr>
        <w:spacing w:after="0" w:line="67" w:lineRule="exact"/>
        <w:rPr>
          <w:rFonts w:ascii="Arial" w:cs="Arial" w:eastAsia="Arial" w:hAnsi="Arial"/>
          <w:sz w:val="13"/>
          <w:szCs w:val="13"/>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difficulty collaborating with patient groups and investigators;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by our CROs, CMOs other third parties, or us to adhere to clinical trial requirements;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perform in accordance with the FDA or international GCP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reach agreement with the FDA on a satisfactory development path of our development candidates;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having patients qualify for or complete participation in a trial or return for post-treatment follow-up;</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patients dropping out of a clinical trial;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occurrence of adverse events associated with the product candidate;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the standard of care on which a clinical development plan was based, which may require new or additional trials or abandoning existing trials;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of manufacturing processes from our academic collaborators to larger-scale facilities operated by either a CMO, or by us, and delays or failure by our CMOs or us to make any necessary changes to such manufacturing process;</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manufacturing, testing, releasing, validating, or importing/exporting sufficient stable quantities of our product candidates for use in clinical trials or the inability to do any of the foregoing; and</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FDA may not accept clinical data from trials that are conducted in countries where the standard of care is potentially different from the United States.</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Any inability to successfully complete nonclinical and clinical development could result in additional costs to us or impair our ability to generate revenue. In addition, if we make manufacturing or formulation changes to our product candidates, we may be required to, or we may elect to, conduct bridging studies to demonstrate the equivalence of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has been and may continue to be adversely affected by the COVID-19 pandemic.</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COVID-19 pandemic has affected our operations and may materially affect our business. In response to the pandemic, we have limited in-office operations, including implementing work from home and social distancing policies. We risk a delay, default and/or nonperformance under our existing agreements arising from force majeure.</w:t>
      </w:r>
    </w:p>
    <w:p>
      <w:pPr>
        <w:spacing w:after="0" w:line="6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 addition, COVID-19 has resulted in significant governmental measures being implemented to control the spread of the virus, including quarantines, travel restrictions, social distancing and business shutdowns. We had taken temporary precautionary measures intended to help minimize the risk of the virus to our employees, including temporarily allowing all employees to work remotely, and subsequently now have a universal work from home policy. These measures could negatively affect our business. For instance, temporarily requiring all employees to work remotely may induce absenteeism, disrupt our operations, or increase the risk of a cybersecurity incident. COVID-19 has also caused volatility in the global financial markets and threatened a slowdown in the global economy, which may negatively affect our ability to raise additional capital on attractive terms or at all.</w:t>
      </w:r>
    </w:p>
    <w:p>
      <w:pPr>
        <w:spacing w:after="0" w:line="8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3"/>
          <w:szCs w:val="13"/>
          <w:color w:val="auto"/>
        </w:rPr>
        <w:t>Our clinical trials have suffered and may continue to suffer from delays and lower than anticipated patient recruitment or enrollment. Our clinical study of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has experienced significant delays in enrollment due to the States of Emergency in effect in Japan for most of 2020 and re-implemented from January 7, 2021 through March 21, 2021 covering Tokyo and other regions in response to an increased number of COVID-19 infections. Due to reported increases in COVID-19 cases and a low rate of vaccination in Japan, States of Emergency were renewed on April 25, 2021 through May 11, 2021 and then re-implemented in Tokyo from July 12, 2021 through September 30, 2021. With our expectation that COVID-19 in Japan would continue to negatively impact enrollment of patients in the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clinical trial, we elected to suspend trial enrollment, seek a development partner and consult with the Japanese regulatory authorities regarding the submission of patient data already accrued. Our Phase 2b trial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United States has also experienced delays in enrolling patients as a result of COVID-19.</w:t>
      </w:r>
    </w:p>
    <w:p>
      <w:pPr>
        <w:spacing w:after="0" w:line="41"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extent to which COVID-19 will continue to impact our business will depend on future developments, which are highly uncertain and cannot be predicted with confidence, such as the duration of the pandemic, the severity of COVID-19 or new variants or the effectiveness of actions to contain and treat COVID-19 and its variants, particularly in the geographies where we or our third party suppliers, contract manufacturers, or contract research organizations operate. We cannot presently predict the scope and severity of any potential business shutdowns or disruptions. If we or any of the third parties with whom we engage, however, were to experience shutdowns or other business disruptions, our ability to conduct our business in the manner and 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the timelines presently planned could be materially and negatively affected, which could have a material adverse impact on our business and our results of operations and financial condition.</w:t>
      </w:r>
    </w:p>
    <w:p>
      <w:pPr>
        <w:spacing w:after="0" w:line="12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Even if we are able to successfully complete our clinical development programs for our product candidates and receive regulatory approval to market one or more of the products, if the commercial opportunities are smaller than we anticipate, our future revenues may be adversely affected, and our business may suffer.</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If the size of the commercial opportunities in any of our target indications is smaller than we anticipate, or if the FDA grants our candidates approval to treat only specific subpopulations or otherwise approves the products for more narrow indications for use than we are seeking, we may not be able to achieve profitability and growth.</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Even if we are able to successfully complete our clinical development program for our product candidates, and ultimately receive regulatory approval to market one or more of the products, we may, among other things:</w:t>
      </w:r>
    </w:p>
    <w:p>
      <w:pPr>
        <w:spacing w:after="0" w:line="69"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obtain approval for indications that are not as broad as the indications we sought;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encounter problems with respect to the manufacturing of commercial supplies;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and/or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be subject to restrictions on how the product is distributed or used.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delays in enrolling patients in our clinical trials, which could delay or prevent the receipt of necessary regulatory approvals.</w:t>
      </w:r>
    </w:p>
    <w:p>
      <w:pPr>
        <w:spacing w:after="0" w:line="11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may not be able to initiate or complete as planned any clinical trials if we are unable to identify and enroll a sufficient number of eligible patients to participate in the clinical trials required by the FDA or other regulatory authorities.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Enrollment challenges in clinical trials often result in increased development costs for a product candidate, significant delays and potentially the abandonment of the clinical trial. We also may be unable to engage a sufficient number of clinical trial sites to conduct our trials. Moreover, our ability to conduct trials outside of the United States may be constrained by our inability to transport trial materials to foreign destinations within the expiry period of such materials unless and until we commence operation outside of the United States or find another source of supply.</w:t>
      </w:r>
    </w:p>
    <w:p>
      <w:pPr>
        <w:spacing w:after="0" w:line="9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Because our clinical trials for LSTA1 are focused on patients with specific solid tumor cancers, our ability to enroll eligible patients may be limited or may result in slower enrollment than we anticipate. For example, we cannot be certain how many patients will have each of the solid tumor cancers that LSTA1 is designed to target or that the number of patients enrolled will suffice for regulatory approval and inclusion of each such mutation in the approved label.</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Patient enrollment in general is affected by many factors, including:</w:t>
      </w:r>
    </w:p>
    <w:p>
      <w:pPr>
        <w:spacing w:after="0" w:line="115"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size of the target patient population;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severity of the disease or disorder under investigation;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eligibility criteria for the clinical trial in question;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clinical trials being conducted at the same time involving patients who have the disease or disorder under investigation;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perceived risks and benefits of the product candidate under study;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approval and availability of other therapies to treat the disease or disorder that is being investigated in the clinical trial;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willingness or unwillingness to participate in a placebo controlled clinical trial;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efforts to facilitate timely enrollment in clinical trials;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patient referral practices of physicians;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monitor patients adequately during and after treatment;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proximity and availability of clinical trial sites for prospective patients.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inability to enroll a sufficient number of patients in any of our planned clinical trials would result in significant delays or may require us to abandon one or more clinical trials altogether.</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14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submitted an IND for LSTA1 on April 14, 2021, and the IND was allowed by the FDA on May 14, 2021. Still,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from a clinical trial, once completed, may be less clear than expected, which may hinder our efforts to obtain regulatory approval for our product candidates.</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drug candidate. If our product candidates receive marketing approval and we or others identify undesirable side effects caused by such product candidates (or any other similar drugs) after such approval, a number of potentially significant negative consequences could result, including those listed below:</w:t>
      </w:r>
    </w:p>
    <w:p>
      <w:pPr>
        <w:spacing w:after="0" w:line="93"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encounter unforeseeable conditions, such as COVID-19, which has had a significantly negative impact on the availability of enrollment in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“boxed” warning or a contraindication;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may be required to change the way such product candidates are distributed or administered, conduct additional clinical trials or change the labeling of the product candidates;</w:t>
      </w:r>
    </w:p>
    <w:p>
      <w:pPr>
        <w:spacing w:after="0" w:line="136" w:lineRule="exact"/>
        <w:rPr>
          <w:rFonts w:ascii="Arial" w:cs="Arial" w:eastAsia="Arial" w:hAnsi="Arial"/>
          <w:sz w:val="13"/>
          <w:szCs w:val="13"/>
          <w:color w:val="auto"/>
        </w:rPr>
      </w:pPr>
    </w:p>
    <w:p>
      <w:pPr>
        <w:ind w:left="520" w:right="16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be subject to regulatory investigations and government enforcement actions;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decide to remove such product candidates from the marketplace;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could be sued and held liable for injury caused to individuals exposed to or taking our product candidates;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and our partners are conducting clinical trials for product candidates outside the United States, and the FDA and comparable foreign regulatory authorities may not accept data from such trials.</w:t>
      </w:r>
    </w:p>
    <w:p>
      <w:pPr>
        <w:spacing w:after="0" w:line="79"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We have in the past conducted clinical trials in Japan, and we may in the future choose to conduct one or more clinical trials outside the United States, including in Australia or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could be costly and time-consuming, and which may result in product candidates that we may develop not receiving approval for commercialization in the applicable jurisdiction.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other delays in completing our clinical trials and we may not complete them at all.</w:t>
      </w:r>
    </w:p>
    <w:p>
      <w:pPr>
        <w:spacing w:after="0" w:line="121" w:lineRule="exact"/>
        <w:rPr>
          <w:sz w:val="20"/>
          <w:szCs w:val="20"/>
          <w:color w:val="auto"/>
        </w:rPr>
      </w:pPr>
    </w:p>
    <w:p>
      <w:pPr>
        <w:ind w:firstLine="255"/>
        <w:spacing w:after="0" w:line="231" w:lineRule="auto"/>
        <w:rPr>
          <w:sz w:val="20"/>
          <w:szCs w:val="20"/>
          <w:color w:val="auto"/>
        </w:rPr>
      </w:pPr>
      <w:r>
        <w:rPr>
          <w:rFonts w:ascii="Arial" w:cs="Arial" w:eastAsia="Arial" w:hAnsi="Arial"/>
          <w:sz w:val="14"/>
          <w:szCs w:val="14"/>
          <w:color w:val="auto"/>
        </w:rPr>
        <w:t>We have not completed the clinical trials necessary to obtain FDA approval to market LSTA1, HONEDRA</w:t>
      </w:r>
      <w:r>
        <w:rPr>
          <w:rFonts w:ascii="Arial" w:cs="Arial" w:eastAsia="Arial" w:hAnsi="Arial"/>
          <w:sz w:val="18"/>
          <w:szCs w:val="18"/>
          <w:color w:val="auto"/>
          <w:vertAlign w:val="superscript"/>
        </w:rPr>
        <w:t>®</w:t>
      </w:r>
      <w:r>
        <w:rPr>
          <w:rFonts w:ascii="Arial" w:cs="Arial" w:eastAsia="Arial" w:hAnsi="Arial"/>
          <w:sz w:val="14"/>
          <w:szCs w:val="14"/>
          <w:color w:val="auto"/>
        </w:rPr>
        <w:t>, or LSTA201 or any of our other product candidates in development. Clinical trials for products in development may be delayed or terminated as a result of many factors, including the following:</w:t>
      </w:r>
    </w:p>
    <w:p>
      <w:pPr>
        <w:spacing w:after="0" w:line="107"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patients failing to complete clinical trials due to dissatisfaction with the treatment, side effects or other reasons;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failure by regulators, IRBs, or independent ethics committees to authorize us or our investigators at individual sites to commence a clinical trial;</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suspension or termination by regulators of clinical research for many reasons, including concerns about patient safety or failure of our contract manufacturers to comply with applicable cGMP/cGTP requirements for the clinical supplies of the cell therapy candidate;</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delays or failure to obtain clinical supply for our product candidates necessary to conduct clinical trials from contract manufacturers, including commercial grade clinical supply for our trials;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treatment candidates demonstrating a lack of efficacy during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inability to continue to fund clinical trials or to find a partner to fund the clinical trials;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competition with ongoing clinical trials and scheduling conflicts with participating clinicians;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delays in completing data collection and analysis for clinical trials.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Any delay or failure to complete clinical trials and obtain FDA approval for our product candidates could have a material adverse effect on our cost to develop and commercialize, and our ability to generate revenue from, a particular product candidate.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manage multiple late stage clinical trials for a variety of product candidates simultaneously.</w:t>
      </w:r>
    </w:p>
    <w:p>
      <w:pPr>
        <w:spacing w:after="0" w:line="12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As our current clinical trials progress, we may need to manage multiple late stage clinical trials simultaneously in order to continue developing all of our current product candidates. Typically, early stage trials involve relatively small numbers of patients in relatively few clinical sites. Late stage (Phase 3) trials may involve very large numbers of patients in a larger number of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submission of an NDA for any one of the above reasons or a combination of several.</w:t>
      </w:r>
    </w:p>
    <w:p>
      <w:pPr>
        <w:spacing w:after="0" w:line="84"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b w:val="1"/>
          <w:bCs w:val="1"/>
          <w:i w:val="1"/>
          <w:iCs w:val="1"/>
          <w:color w:val="auto"/>
        </w:rPr>
        <w:t>Any disruption to our access to the reagents, devices, material or equipment we are using in the clinical development of our product candidates could adversely affect our ability to perform clinical trials and seek future regulatory submissions.</w:t>
      </w:r>
    </w:p>
    <w:p>
      <w:pPr>
        <w:spacing w:after="0" w:line="6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Reagents, devices, materials and systems that we are using in our clinical trials, that we intend to use in our planned clinical trials and that we may need or use in commercial production, are provided by unaffiliated third parties. Any lack of continued availability of these reagents, devices, materials and systems for any reason would have a material adverse effect on our ability to complete these studies and could adversely impact our ability to achieve commercial manufacture of our planned therapeutic products. Although other available sources for these reagents, devices, materials and systems may exist in the marketplace, we have not evaluated their cost, effectiveness, or intellectual property foundation and therefore cannot guarantee the suitability or availability of such other potential sources.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initiation of pivotal Phase 3 clinical trials for our product candidates requires the validation and establishment of manufacturing controls that may delay product development timelines.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To conduct pivotal Phase 3 clinical trials, we are required to have certain validated and established manufacturing controls with respect to the safety, purity and potency of our product candidates when administered to patients. If we determine that the results of any Phase 2 clinical trial we may conduct supports Phase 3 development, we expect to initiate and complete one or more pivotal Phase 3 clinical trials for such programs and would need to address any outstanding chemistry, manufacturing and control CMC issues raised by the FDA prior to initiating such trials. We may not be successful in our efforts to address any CMC issues raised by the FDA. If we cannot initiate, or if we are delayed in initiating, a pivotal Phase 3 clinical program as a result of our failure to satisfy the FDA's CMC concerns or otherwise, the timing of regulatory submission for commercialization of our product candidates would be delayed, or we may be unable to seek regulatory approval to commercialize our products at all.</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candidates that appear promising in research and development may be delayed or may fail to reach later stages of clinical development.</w:t>
      </w:r>
    </w:p>
    <w:p>
      <w:pPr>
        <w:spacing w:after="0" w:line="12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successful development of pharmaceutical product candidates is highly uncertain. Product candidates that appear promising in research and development and early clinical trials may be delayed or fail to reach later stages of development. Decisions regarding the further development of product candidates must be made with limited and incomplete data, which makes it difficult to ensure or even accurately predict whether the allocation of limited resources and the expenditure of additional capital on specific product candidates will result in desired outcomes. Preclinical and clinical data can be interpreted in different ways, and negative or inconclusive results or adverse events during a clinical trial could delay, limit or prevent the development of a product candidate.</w:t>
      </w:r>
    </w:p>
    <w:p>
      <w:pPr>
        <w:spacing w:after="0" w:line="78"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Exploratory trends and results observed in earlier stage clinical trials, particularly trends and results observed for small subsets that were not pre-specified, may not be replicated in later stage clinical trials. Product candidates in Phase 3 clinical trials may fail to demonstrate sufficient efficacy despite having progressed through initial clinical trials, even if certain exploratory subset analyses of primary or secondary endpoints in those early trials showed trends toward efficacy or, in some analyses, nominal statistical significance. The results of clinical trials in one set of patients or line of treatment may not be predictive of those obtained in another.</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serious or unacceptable side effects are identified during the development of any of our product candidates, we may need to abandon or limit our development of that product candidate.</w:t>
      </w:r>
    </w:p>
    <w:p>
      <w:pPr>
        <w:spacing w:after="0" w:line="14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All of our product candidates are in clinical development and their risk of failure is high. It is impossible to predict when or if any of our product candidates will prove effective or safe in humans or will receive marketing approval. If our product candidates are associated with undesirable side effects or have other unexpected, unacceptable characteristics, we may need to abandon their development or limit development to certain uses or subpopulations in which the undesirable side effects or other characteristics are less prevalent, less severe or more acceptable from a risk-benefit perspective. Many investigational products that initially showed promise in clinical or earlier stage testing have later been found to cause side effects or other safety issues that prevented further development. Even if we receive regulatory approval for a candidate with a known safety risk, such an approved product may not achieve market acceptance by physicians, patients, third-party payors or others in the medical community, which would materially and adversely affect our business.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6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may seek “breakthrough therapy” designation for LSTA1 and some or all of our current or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9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expedited FDA review procedures and does not assure ultimate approval by the FDA. In addition, even if one or more of our product candidates qualify as breakthrough therapies, the FDA may later decide that the product candidate no longer meets the conditions for qualification. Thus, even though we intend to seek Breakthrough Therapy designation for LSTA1 and some or all of our future product candidates, there can be no assurance that we will receive breakthrough therapy designation.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Fast Track designation by the FDA and other similar regulatory designations may not lead to a faster development, regulatory review or approval process.</w:t>
      </w:r>
    </w:p>
    <w:p>
      <w:pPr>
        <w:spacing w:after="0" w:line="12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If a drug is intended for the treatment of a serious or life-threatening condition and the drug demonstrates the potential to address unmet medical needs for this condition, the drug sponsor may apply for FDA Fast Track designation for a particular indication. We have been granted Fast Track designation for LSTA1 for pancreatic cancer. We may seek Fast Track designation for other indications or for certain of our other current or future product candidates, but there is no assurance that the FDA will grant this status to any of our other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94" w:lineRule="exact"/>
        <w:rPr>
          <w:sz w:val="20"/>
          <w:szCs w:val="20"/>
          <w:color w:val="auto"/>
        </w:rPr>
      </w:pPr>
    </w:p>
    <w:p>
      <w:pPr>
        <w:jc w:val="both"/>
        <w:ind w:firstLine="255"/>
        <w:spacing w:after="0" w:line="241" w:lineRule="auto"/>
        <w:rPr>
          <w:sz w:val="20"/>
          <w:szCs w:val="20"/>
          <w:color w:val="auto"/>
        </w:rPr>
      </w:pPr>
      <w:r>
        <w:rPr>
          <w:rFonts w:ascii="Arial" w:cs="Arial" w:eastAsia="Arial" w:hAnsi="Arial"/>
          <w:sz w:val="14"/>
          <w:szCs w:val="14"/>
          <w:color w:val="auto"/>
        </w:rPr>
        <w:t>We were also granted SAKIGAKE designation in Japan and Advanced Therapeutic Medicinal Product (“ATMP”) designation in Europe for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 the treatment of CLI and Buerger's Disease. However, SAKIGAKE and ATMP designations do not ensure that we will experience a faster development, regulatory review or approval process compared to conventional FDA or Japan PMDA procedures. Additionally, a regulatory authority may withdraw a designation if it believes that the designation is no longer supported by data from the clinical development program. Moreover, award of a particular designation does not imply a higher probability of success of a product in the approval process.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Accelerated approval by the FDA, even if granted for LSTA1 or any other current or future product candidates, may not lead to a faster development or regulatory review or approval process and it does not increase the likelihood that our product candidates will receive marketing approval.</w:t>
      </w:r>
    </w:p>
    <w:p>
      <w:pPr>
        <w:spacing w:after="0" w:line="47"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plan to seek approval of LSTA1 and may seek approval of other current or future product candidates using the FDA’s accelerated approval pathway. A product candidate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clinical trials may fail to demonstrate adequately the safety and efficacy of our product candidates, which would prevent or delay regulatory approval and commercialization.</w:t>
      </w:r>
    </w:p>
    <w:p>
      <w:pPr>
        <w:spacing w:after="0" w:line="105"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Each product candidate must demonstrate an adequate risk versus benefit profile in its intended patient population and for its intended use. The risk/benefit profile required for product licensure will vary depending on these factors and may include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w:t>
      </w:r>
    </w:p>
    <w:p>
      <w:pPr>
        <w:spacing w:after="0" w:line="4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promising results in earlier trials. Most product candidates that begin clinical trials are never approved by regulatory authorities for commercialization.</w:t>
      </w:r>
    </w:p>
    <w:p>
      <w:pPr>
        <w:spacing w:after="0" w:line="9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Data from earlier studies conducted by the third-party research institutions should not be relied upon as evidence that later or larger-scale clinical trials will succeed. Some future trials may have different patient populations than current studies and will test our product candidates in different indications, among other differences. In addition, our proposed manufacturing processes for our product candidates include what we believe will be process improvements that are not part of the production processes that were previously used in the earlier conducted clinical trials being conducted by the research institutions. Accordingly, our results with our product candidates may not be consistent with the results of the clinical trials.</w:t>
      </w:r>
    </w:p>
    <w:p>
      <w:pPr>
        <w:spacing w:after="0" w:line="46"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addition, even if such trials are successfully completed, we cannot guarantee that the FDA or foreign regulatory authorities will interpret the results as do we,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spacing w:after="0" w:line="7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do not presently have redundant suppliers for any of our product candidates. If the facilities where our product candidates are being manufactured and/or the associated equipment were significantly damaged or destroyed, or if there were other disruptions, delays or difficulties affecting manufacturing capacity, our planned and future clinical trials and commercial production for these product candidates would likely be significantly disrupted and delayed. It would be both time consuming and expensive to replace this capacity with third parties, particularly since any new facility would need to comply with regulatory requirements.</w:t>
      </w:r>
    </w:p>
    <w:p>
      <w:pPr>
        <w:spacing w:after="0" w:line="9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Ultimately, if we are unable to supply our product candidates to meet commercial demand, were commercial approval to be obtained, whether because of processing constraints or other disruptions, delays or difficulties that we experience, our production costs could increase dramatically, and sales of the product and its long-term commercial prospects could be significantly damaged.</w:t>
      </w:r>
    </w:p>
    <w:p>
      <w:pPr>
        <w:spacing w:after="0" w:line="7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Also, as a result of the current geopolitical tensions and the conflict between Russia and Ukraine, the governments of the United States, the European Union, Japan and other jurisdictions have recently announced the imposition of sanctions on certain industry sectors and parties in Russia, as well as enhanced export controls on certain products and industries. These and any additional sanctions and export controls, as well as any counter responses by the governments of Russia or other jurisdictions, could adversely affect, directly or indirectly, the global supply chain, with negative implications on the availability and prices of raw materials, energy prices, and our customers, as well as the global financial markets and financial services industry.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commercial potential and profitability of our product candidates are unknown and subject to significant risk and uncertainty.</w:t>
      </w:r>
    </w:p>
    <w:p>
      <w:pPr>
        <w:spacing w:after="0" w:line="125"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Even if we successfully develop and obtain regulatory approval for some or all of our product candidates, the market may not understand or accept the products, which could adversely affect both the timing and level of future sales. Ultimately, the degree of market acceptance of our product candidates (or any of our future product candidates) will depend on a number of factors, including:</w:t>
      </w:r>
    </w:p>
    <w:p>
      <w:pPr>
        <w:spacing w:after="0" w:line="22"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efficacy and potential advantages compared to alternative treatments or competitive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physician acceptance of our approach to our target disease indications, include the ease or difficulty of administering the future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how the product is distributed or used;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strength of our marketing and distribution support, including whether we receive support from any patient advocacy groups;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adequacy of product supply in light of complex manufacturing and distribution processes;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distinguish our cell therapy products (which involve adult cells) from any ethical and political controversies associated with stem cell products derived from human embryonic or fetal tissue;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 of the product, the reimbursement policies of government and third-party payors and our ability to obtain sufficient third-party coverage or reimbursement.</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Even if we are successful in achieving sales of our product candidates, it is not clear to what extent, if any, the products will be profitable. The costs of goods associated with production of cell therapy products are significant. While we are working to improve the speed and efficiency and lower the cost of our manufacturing processes, there can be no assurance that we will be successful in these efforts. In addition, some changes in manufacturing processes or procedures generally require FDA or foreign regulatory authority review and approval prior to implementation. Thus, we may need to conduct additional nonclinical studies and clinical trials to support approval of any such changes. Furthermore, this review process could be costly and time-consuming and could delay or prevent the commercialization of product candidates.</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may enter into collaborations, strategic alliances, additional licensing arrangements, acquisitions, business combinations or other strategic transactions in the future, any of which could require us to incur significant expenses or issue securities that could significantly dilute the shares of our existing stockholders, and we may not realize the benefits of such alliances or licensing arrangements, acquisitions, business combinations or strategic transactions.</w:t>
      </w:r>
    </w:p>
    <w:p>
      <w:pPr>
        <w:spacing w:after="0" w:line="89"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We may enter into collaborations, strategic alliances, additional licensing arrangements, acquisitions, business combinations or other strategic transactions with third parties that we believe are essential to product commercialization or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could significantly dilute the shares of our existing stockholders, or disrupt our management and business. In addition, we face significant competition in seeking appropriate strategic partners and/or acquisition candidates and the negotiation process can be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Furthermore, there can be no assurance that our exploration of potential acquisitions, business combinations or strategic alternatives will result in us entering or completing any transaction or that such transaction, if completed, will add to stockholder value.</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Further, collaborations involving our product candidates, such as our collaborations with third-party research institutions, are subject to numerous risks, which may include the following:</w:t>
      </w:r>
    </w:p>
    <w:p>
      <w:pPr>
        <w:spacing w:after="0" w:line="137"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efforts and resources that they will apply to a collaboration;</w:t>
      </w:r>
    </w:p>
    <w:p>
      <w:pPr>
        <w:spacing w:after="0" w:line="125"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could independently develop, or develop with third parties, products that compete directly or indirectly with our products or product candidates;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products may not commit sufficient resources to their marketing and distribution;</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to pursue further development or commercialization of the applicable product candidates; and</w:t>
      </w:r>
    </w:p>
    <w:p>
      <w:pPr>
        <w:spacing w:after="0" w:line="137" w:lineRule="exact"/>
        <w:rPr>
          <w:rFonts w:ascii="Arial" w:cs="Arial" w:eastAsia="Arial" w:hAnsi="Arial"/>
          <w:sz w:val="12"/>
          <w:szCs w:val="12"/>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As a result, if we enter into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cell therapy business is based on novel technologies that are inherently expensive, risky and may not be understood by or accepted in the marketplace, which could adversely affect our future value.</w:t>
      </w:r>
    </w:p>
    <w:p>
      <w:pPr>
        <w:spacing w:after="0" w:line="79"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4"/>
          <w:szCs w:val="14"/>
          <w:color w:val="auto"/>
        </w:rPr>
        <w:t>The clinical development, commercialization and marketing of cell and tissue-based therapies are at an early stage, substantially research-oriented and financially speculative. To date, very few companies have been successful in their efforts to develop and commercialize a cell therapy product. In general, cell-based or tissue-based products may be susceptible to various risks, including undesirable and unintended side effects, unintended immune system responses, inadequate therapeutic efficacy, or other characteristics that may prevent or limit their approval or commercial use. Regulatory approval of a novel product candidates such as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can be more complex and expensive and take longer than other, more well-known or extensively studied pharmaceutical or biopharmaceutical products, due to the limited lack of experience of regulatory authorities with them.</w:t>
      </w:r>
    </w:p>
    <w:p>
      <w:pPr>
        <w:spacing w:after="0" w:line="1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This limited experience may lengthen the regulatory review process, require us to conduct additional studies or clinical trials, which would increase our development costs, lead to changes in regulatory positions and interpretations, delay or prevent approval and commercialization of these product candidates or lead to significant post-approval limitations or restrictions. Furthermore, the number of people who may use cell or tissue-based therapies is difficult to forecast with accuracy.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competitors develop and market products that are more effective, safer, or less expensive than our product candidates or offer other advantages, our commercial prospects will be limited.</w:t>
      </w:r>
    </w:p>
    <w:p>
      <w:pPr>
        <w:spacing w:after="0" w:line="14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development programs now face, and will continue to face, intense competition from pharmaceutical, biopharmaceutical and biotechnology companies, as well as numerous academic and research institutions and governmental agencies engaged in drug discovery activities or funding, both in the United States and abroad. Some of these competitors are pursuing the development of drugs and other therapies that target the same diseases and conditions that we are targeting with our product candidates.</w:t>
      </w:r>
    </w:p>
    <w:p>
      <w:pPr>
        <w:spacing w:after="0" w:line="8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As a general matter, we also face competition from many other companies that are researching and developing similar product candidates. Many of these companies have financial and other resources substantially greater than ours. In addition, many of these competitors have significantly greater experience in testing pharmaceutical and other therapeutic products, obtaining FDA and other regulatory approvals, and marketing and selling FDA-approved products in highly regulated commercial health care markets. If we ultimately obtain regulatory approval for any of our product candidates, we also will be competing with respect to manufacturing efficiency and marketing capabilities, areas in which we have limited or no commercial-scale experience. Mergers and acquisitions in the pharmaceutical and biotechnology industries may result in resources being even more concentrated by our competitors. Competition may increase further as a result of advances made in the commercial applicability of our technologies and greater availability of capital for investment in these fields.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cell therapy product candidates for which we intend to seek approval as biologic products may face competition sooner than anticipated.</w:t>
      </w:r>
    </w:p>
    <w:p>
      <w:pPr>
        <w:spacing w:after="0" w:line="12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There is a risk that the regulatory authorities will not consider any of our therapeutic candidates to be reference products for competing products, potentially creating the opportunity for generic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as well as unique state laws and government/private policies.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 subject to significant product liability claims and litigation, including potential exposure from the use of our product candidates in human subjects, and our insurance may be inadequate to cover claims that may arise.</w:t>
      </w:r>
    </w:p>
    <w:p>
      <w:pPr>
        <w:spacing w:after="0" w:line="69"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Our business exposes us to potential product liability risks inherent in the testing, processing and marketing of cell therapy products. Such liability claims may be expensive to defend and result in large judgments against us. We face an inherent risk of product liability exposure related to the testing of our current and any future product candidates in human clinical trials and will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face an even greater risk with respect to any commercial sales of our products should they be approved. None of our product candidates have been widely used over an extended period of time, and therefore relevant safety data are limited.</w:t>
      </w:r>
    </w:p>
    <w:p>
      <w:pPr>
        <w:spacing w:after="0" w:line="69"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We will need to increase our insurance coverage when we begin commercializing product candidates, if ever. At that time, we may not be able to obtain or maintain product liability insurance on acceptable terms with adequate coverage or at all, or if claims against us substantially exceed our coverage, then our financial position could be significantly impaired.</w:t>
      </w:r>
    </w:p>
    <w:p>
      <w:pPr>
        <w:spacing w:after="0" w:line="5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Whether or not we are ultimately successful in any product liability litigation that may arise, such litigation could consume substantial amounts of our financial and managerial resources, decrease demand for our products and injure our reputation.</w:t>
      </w:r>
    </w:p>
    <w:p>
      <w:pPr>
        <w:spacing w:after="0" w:line="7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seek to maintain errors and omissions, directors and officers, workers' compensation and other insurance at levels we believe to be appropriate to our business activities. If, however, we were subject to a claim in excess of this coverage or to a claim not covered by our insurance and the claim succeeded, we would be required to pay the claim from our own limited resources, which could have a material adverse effect on our financial condition, results of operations and business. Additionally, liability or alleged liability could harm our business by diverting the attention and resources of our management and damaging our reputation.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retain key officers or employees or hire new key officers or employees needed to implement our business strategy and develop our products and businesses.</w:t>
      </w:r>
    </w:p>
    <w:p>
      <w:pPr>
        <w:spacing w:after="0" w:line="13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Given the specialized nature of our product candidates and given that cell therapy in particular is a relatively new field, there is an inherent scarcity of experienced personnel in the field. We are substantially dependent on the skills and efforts of current senior management for their management and operations, as well as for the implementation of our business strategy. In addition, our future success depends upon our ability to attract and retain additional qualified personnel (including medical, scientific, technical, commercial, business and administrative personnel) necessary to support our anticipated growth, develop our business, perform our contractual obligations to third parties and maintain appropriate licensure. There can be no assurance that we will be successful in attracting or retaining personnel required by us to continue to grow our operations. The loss of a key employee, the failure of a key employee to perform in his or her current position or our inability to attract and/or retain skilled employees, as needed, could result in our inability to continue to grow our business or to implement our business strategy, or may have a material adverse effect on our business, financial condition and operating results.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internal computer systems, or those used by our clinical investigators, clinical research organizations or other contractors or consultants, may fail or suffer security breaches, which could result in a material disruption of development programs for our product candidates.</w:t>
      </w:r>
    </w:p>
    <w:p>
      <w:pPr>
        <w:spacing w:after="0" w:line="69"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We rely on information technology systems to keep financial records, maintain laboratory and corporate records, communicate with staff and external parties and operate other critical functions. Any significant insufficiency degradation or failure of these computer systems could cause us to inaccurately calculate or lose our data. Despite the implementation of security measures, these internal computer systems and those used by our clinical investigators, clinical research organizations, and other contractors and consultants are vulnerable to damage from computer viruses, unauthorized access, natural disasters, terrorism, war, and telecommunication and electrical failures. The techniques that could be used by criminal elements or foreign governments to attack these computer systems are sophisticated, change frequently and may originate from less regulated and remote areas of the world. Furthermore, there is an increased risk of cybersecurity attacks by state actors. Russian, Chinese, Iranian, North Korean and other ransomware gangs have threatened or enacted increased hacking activity against critical infrastructure of many nations or organizations. Any such increase in such attacks on our third-party provider or other systems could adversely affect our network systems or other operations. While we have not experienced any such system failure, theft of information, accident or security breach to date, if such an event were to occur and cause interruptions in its operations, it could result in a material disruption of our clinical development activities. For example, the loss of clinical trial data from historical or future clinical trials could result in delays in regulatory approval efforts and significantly increase costs to recover or reproduce the data. To the extent that any disruption, theft of information, or security breach were to result in a loss of or damage to data or applications, or inappropriate disclosure of confidential or proprietary information, we could incur liability and the clinical development, and the future development of our product candidates could be delayed.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increasing use of social media platforms presents new risks and challenges.</w:t>
      </w:r>
    </w:p>
    <w:p>
      <w:pPr>
        <w:spacing w:after="0" w:line="12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Social media is increasingly being used to communicate information about our product candidates and the diseases that our therapies are designed to treat. Social media practices in our industry continue to evolve and regulations related to such use are not always clear. This evolution creates uncertainty and risk of noncompliance with regulations applicable to our business. For example, patients and others may use social media channels to comment on the effectiveness of a product candidate or to report an alleged adverse event. When such disclosures occur, we may fail to monitor and comply with applicable adverse event reporting obligations or we may not be able to defend against political and market pressures generated by social media due to restrictions on what we may say about our product candidates. There is also a risk of inappropriate disclosure of sensitive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or negative or inaccurate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MANUFACTURING OUR DEVELOPMENT PRODUCT CANDIDATES</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have no internal capacity to manufacture our development product candidates and have no assurance that we will continue to have access to manufacturers in our industry that can effectively make our development products or make them at an affordable, salable or otherwise commercially reasonable price or quantity.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development and manufacturing organizations have a finite manufacturing capacity, which could inhibit the long-term growth prospects of our business.</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currently have minimal manufacturing contracts to produce materials for our clinical trials. It is possible that the demand for our products could exceed existing manufacturing capacity. We expect that, as our own development programs progress and demand for therapeutics in the industry expand, it may become necessary or desirable for us to expand our manufacturing vendors for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93"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improve manufacturing efficiency at our contract manufacturers in order to establish cost of goods levels that will permit approved products to succeed commercially.</w:t>
      </w:r>
    </w:p>
    <w:p>
      <w:pPr>
        <w:spacing w:after="0" w:line="13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CMOs cannot provide assurances that they will be able to develop process enhancements that are acceptable to regulators or other comparable regulatory authorities, on a timely basis, on commercially reasonable terms, or at all, or that any expected improvement in profitability will be realized. If they are unsuccessful in their efforts to develop necessary improvements, we may be unable to develop commercially viable products, which would impair our ability to continue our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Lack of access to safe, reliable, and effective transportation options could adversely affect our ability to meet our needs.</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To effectively and efficiently deliver our products, we also need to establish and maintain cost-effective relationships with reliable and experienced transportation carriers. If carriers we currently use should cease medical shipping operations or otherwise become unable to properly meet our transportation needs or comply with applicable customs and import regulations, the lack of access to safe, reliable and effective transportation options could adversely affect our ability to meet our needs.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conduct significant operations through our Australian wholly-owned subsidiary. If we lose our ability to operate in Australia, or if the subsidiary is unable to receive the research and development tax credit allowed by Australian regulations, our business and results of operations will suffer.</w:t>
      </w:r>
    </w:p>
    <w:p>
      <w:pPr>
        <w:spacing w:after="0" w:line="79"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2"/>
          <w:szCs w:val="12"/>
          <w:color w:val="auto"/>
        </w:rPr>
        <w:t>We develop certain of our programs in part through our wholly-owned Australian subsidiary, Lisata Therapeutics Australia Pty Ltd. Due to the geographical distance and limited employees currently in Australia, as well as our limited of experience operating in Australia, we may not be able to efficiently or successfully monitor, develop or commercialize our products or programs in Australia, including conducting clinical trials. Furthermore, we have no assurance that the results of any clinical trials that it conducts for our product candidates in Australia will be accepted by the FDA or foreign regulatory authorities for development and commercialization approvals. In addition, current Australian tax regulations provide for a refundable research and development tax credit equal to 48.5% of qualified expenditures. If we are ineligible or unable to receive the research and development tax credit, or past credits are determined ineligible upon audit, or if we lose our ability to operate Lisata Therapeutics Australia Pty Ltd. in Australia, or the Australian government significantly reduces or eliminates the tax credit, our business and results of operation would be adversely affected. In the event we determine it advisable to stop operating through this subsidiary, we may be required to migrate such operations, employees and intellectual property from this subsidiary to us. Any such action may be difficult and cause us to incur additional expenses, as well as give rise to tax liabilities for us or erode our tax attributes (such as tax credits or net operating losses).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rely on third parties to manufacture our clinical product supplies, and we may rely on third parties to produce and process our product candidates, if approved.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do not currently own any facility that may be used as our clinical scale manufacturing facility and expect to rely on outside vendors to manufacture supplies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w:t>
      </w:r>
    </w:p>
    <w:p>
      <w:pPr>
        <w:spacing w:after="0" w:line="78"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The facilities used by our contract manufacturers to manufacture our product candidates must be approved by the FDA or other foreign regulatory authorities following inspections that will be conducted after we submit an application to the FDA or other foreign regulatory authorities. We may not control the manufacturing process of, and may be completely dependent on, our contract manufacturing partners for compliance with cGMPs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significantly impact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SALES, MARKETING, AND COMPETITION</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9"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8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with the sales and marketing efforts of our product candidates.</w:t>
      </w:r>
    </w:p>
    <w:p>
      <w:pPr>
        <w:spacing w:after="0" w:line="8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variety of risks associated with marketing our product candidates internationally could materially adversely affect our business.</w:t>
      </w:r>
    </w:p>
    <w:p>
      <w:pPr>
        <w:spacing w:after="0" w:line="125"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We and our partners plan to seek regulatory approval of one or more of our product candidates outside of the United States and, accordingly, we expect that we will be subject to additional risks related to operating in foreign countries if we obtain the necessary approvals, including:</w:t>
      </w:r>
    </w:p>
    <w:p>
      <w:pPr>
        <w:spacing w:after="0" w:line="79" w:lineRule="exact"/>
        <w:rPr>
          <w:sz w:val="20"/>
          <w:szCs w:val="20"/>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differing regulatory requirements in foreign countries, for example, no country other than the United States has a pathway for accelerated drug approval and so obtaining regulatory approvals outside of the United States will take longer and be more costly than obtaining approval in the United States;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unexpected changes in tariffs, trade barriers, price and exchange controls and other regulatory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foreign economies and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foreign taxes, including withholding of payroll taxes;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foreign currency fluctuations, which could result in increased operating expenses and reduced revenue, and other obligations incident to doing business in another country;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difficulties staffing and managing foreign operations;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potential liability under the Foreign Corrupt Practices Act of 1977 or comparable foreign regulations;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and other risks associated with international operations may materially adversely affect our ability to attain or maintain profitable operations.</w:t>
      </w:r>
    </w:p>
    <w:p>
      <w:pPr>
        <w:spacing w:after="0" w:line="125"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Even if we obtain regulatory approval of our product candidates, our products may not gain market acceptance among physicians, patients, hospitals, cancer treatment centers and others in the medical community.</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CendR Platform™ and our cell therapy product candidates are recent developments and may not become broadly accepted by physicians, patients, hospitals, cancer treatment centers and others in the medical community. Various factors will influence whether our product candidates are accepted in the market, including:</w:t>
      </w:r>
    </w:p>
    <w:p>
      <w:pPr>
        <w:spacing w:after="0" w:line="69"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clinical indications for which our product candidates are licensed;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physicians, hospitals, cancer treatment centers and patients considering our product candidates as a safe and effective treatment;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potential and perceived advantages of our product candidates over alternative treatments;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demonstrate the advantages of our product candidates over other cancer medicines;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prevalence and severity of any side effects for other precision medicines and public perception of other precision medicines;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product labeling or product insert requirements of the FDA or other regulatory authorities;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by the FDA or other regulatory authorities;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of market introduction of our product candidates as well as competitive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availability of adequate coverage, reimbursement and pricing by third-party payors and government authorities;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willingness of patients to pay out-of-pocket in the absence of coverage by third-party payors and government authorities;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relative convenience and ease of administration, including as compared to alternative treatments and competitive therapies;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effectiveness of our sales and marketing efforts.</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7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addition, although our product candidates differ in certain ways from other approaches, serious adverse events or deaths in other clinical trials involving precision medicines, even if not ultimately attributable to our products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Even if our products achieve market acceptance, it may not be able to maintain that market acceptance over time if new products or technologies are introduced that are more favorably received than our products, are more cost effective or render our products obsolete.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biotechnology and pharmaceutical industries utilize rapidly advancing technologies and are characterized by intense competition. While we believe that our scientific knowledge, technology and development expertise provide us with competitive advantages, we face potential competition from many different sources, including major pharmaceuticals, specialty pharmaceuticals and biotechnology companies, academic institutions and government agencies, and public and private research institutes that conduct research, development, manufacturing and commercialization. Many of our competitors have significantly greater financial resources and expertise in research and development, manufacturing, preclinical testing, regulatory approvals and product marketing than we do. Our competitors may compete with us in recruiting and retaining qualified scientific and management personnel and establishing clinical trial sites and patient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Product candidates that we successfully develop and commercialize may compete with existing therapies and new therapies that may become available in the future.</w:t>
      </w:r>
    </w:p>
    <w:p>
      <w:pPr>
        <w:spacing w:after="0" w:line="11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If our drug candidates are approved for the indications for which we are currently planning clinical trials, they will likely compete with existing drugs and other drugs that are currently in development.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obtain approval for our products, which could result in our competitors establishing a strong market position before we are able to enter the market.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The development and commercialization of our product candidates are subject to extensive regulation by the FDA and other regulatory agencies in the United States and abroad, and the failure to receive regulatory approvals for our cell therapy product candidates would likely have a material and adverse effect on our business and prospects.</w:t>
      </w:r>
    </w:p>
    <w:p>
      <w:pPr>
        <w:spacing w:after="0" w:line="46" w:lineRule="exact"/>
        <w:rPr>
          <w:sz w:val="20"/>
          <w:szCs w:val="20"/>
          <w:color w:val="auto"/>
        </w:rPr>
      </w:pPr>
    </w:p>
    <w:p>
      <w:pPr>
        <w:jc w:val="both"/>
        <w:ind w:right="60" w:firstLine="255"/>
        <w:spacing w:after="0" w:line="235"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and promotion, distribution, marketing, import and export of pharmaceutical and biological products, such as LSTA1 and HONEDRA</w:t>
      </w:r>
      <w:r>
        <w:rPr>
          <w:rFonts w:ascii="Arial" w:cs="Arial" w:eastAsia="Arial" w:hAnsi="Arial"/>
          <w:sz w:val="18"/>
          <w:szCs w:val="18"/>
          <w:color w:val="auto"/>
          <w:vertAlign w:val="superscript"/>
        </w:rPr>
        <w:t>®</w:t>
      </w:r>
      <w:r>
        <w:rPr>
          <w:rFonts w:ascii="Arial" w:cs="Arial" w:eastAsia="Arial" w:hAnsi="Arial"/>
          <w:sz w:val="14"/>
          <w:szCs w:val="14"/>
          <w:color w:val="auto"/>
        </w:rPr>
        <w:t>. The process of obtaining required regulatory approvals and the subsequent compliance with appropriate statutes and regulations requires the expenditure of substantial time and money, and there is no guarantee that we will successfully complete the steps needed to obtain regulatory approval of LSTA1,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or any future product candidates. There also are extensive and ongoing post-marketing compliance obligations to which we would be subject following FDA approval of any of our product candidates. In addition, these federal regulations may change, and our product candidates may be subject to new laws or regulations due to the rapid advancement of the regenerative medicine field and legislators'/regulators' interest in it.</w:t>
      </w:r>
    </w:p>
    <w:p>
      <w:pPr>
        <w:spacing w:after="0" w:line="111" w:lineRule="exact"/>
        <w:rPr>
          <w:sz w:val="20"/>
          <w:szCs w:val="20"/>
          <w:color w:val="auto"/>
        </w:rPr>
      </w:pPr>
    </w:p>
    <w:p>
      <w:pPr>
        <w:jc w:val="both"/>
        <w:ind w:right="60" w:firstLine="255"/>
        <w:spacing w:after="0" w:line="256" w:lineRule="auto"/>
        <w:rPr>
          <w:sz w:val="20"/>
          <w:szCs w:val="20"/>
          <w:color w:val="auto"/>
        </w:rPr>
      </w:pPr>
      <w:r>
        <w:rPr>
          <w:rFonts w:ascii="Arial" w:cs="Arial" w:eastAsia="Arial" w:hAnsi="Arial"/>
          <w:sz w:val="14"/>
          <w:szCs w:val="14"/>
          <w:color w:val="auto"/>
        </w:rPr>
        <w:t>To date, we have not received regulatory approval to market any of our product candidates in any jurisdiction. If we seek approval of any of our cell therapy product candidates, we will be required to submit to FDA, Japan's PMDA, and potentially other regulatory authorities, extensive preclinical and clinical data supporting the safety and efficacy of such product candidates, as well as information about the manufacturing process and to undergo inspection of manufacturing facilities, among other things. The process of obtaining FDA and other regulatory approvals is expensive, typically takes many years and is subject to numerous risks and uncertainties, particularly with complex and/or novel product candidates such as our cell-based product candidates. Changes in regulatory approval policies during the clinical research and development period, changes in or the enactment of additional statutes or regulations, or changes in regulatory review for each submitted product application, may cause delays in the approval or rejection of an application or may make it easier for our competitors to gain regulatory approval to enter the marketplace. Ultimately, the FDA and other regulatory agencies have substantial discretion in the approval/licensure process and may refuse to accept any application or may decide that our product candidate data are insufficient for approval without the submission of additional preclinical, clinical or other time-consuming studies. In addition, varying agency interpretations of the data obtained from preclinical and clinical testing could delay, limit or prevent regulatory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approval of a product candidate. Any regulatory approval we ultimately obtain may be limited or subject to restrictions or post-approval commitments that render the approved product not commercially viable.</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Any of the following factors, among others, could cause regulatory approval for our product candidates to be delayed, limited or denied:</w:t>
      </w:r>
    </w:p>
    <w:p>
      <w:pPr>
        <w:spacing w:after="0" w:line="125" w:lineRule="exact"/>
        <w:rPr>
          <w:sz w:val="20"/>
          <w:szCs w:val="20"/>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product candidates require significant clinical testing to demonstrate safety and effectiveness before applications for marketing approval can be submitted to the FDA and other regulatory authorities;</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data obtained from animal testing and other nonclinical testing and clinical trials can be interpreted in different ways, and regulatory authorities may not agree with our respective interpretations or may require us to conduct additional testing;</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negative or inconclusive results or the occurrence of serious or unexpected adverse events during a clinical trial could cause us to delay and/or terminate development efforts for a product candidate; and/or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FDA and other regulatory authorities may require expansion of the size and scope of the clinical trials.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Any difficulties or failures that we encounter in securing regulatory approval for our product candidates would likely have a substantial adverse impact on our ability to generate product sales and could make any search for a collaborative partner more difficult.</w:t>
      </w:r>
    </w:p>
    <w:p>
      <w:pPr>
        <w:spacing w:after="0" w:line="6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33"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our product candidates, withdrawal of the product from the market or voluntary or mandatory product recalls;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manufacturing delays and supply disruptions where regulatory inspections identify observations of noncompliance requiring remediation;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revisions to the labeling, including limitation on approved uses or the addition of additional warnings, contraindications or other safety information, including boxed warnings;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imposition of a REMS, which may include distribution or use restrictions;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requirements to conduct additional post-market clinical trials to assess the safety of the product;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fines, warning letters or holds on clinical trials;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refusal by the FDA or other regulatory authorities to approve pending applications or supplements to approved applications filed by us or suspension or revocation of approvals;</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our product candidates;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2" w:name="page43"/>
    <w:bookmarkEnd w:id="4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if we are not able to maintain regulatory compliance, we may lose any marketing approval that we may have obtained and we may not achieve or sustain profitability.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w:t>
      </w:r>
    </w:p>
    <w:p>
      <w:pPr>
        <w:spacing w:after="0" w:line="12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 unsuccessful in our efforts to comply with applicable federal, state and international laws and regulations, which could result in loss of licensure, certification or accreditation or other government enforcement actions or impact our ability to secure regulatory approval of our product candidates.</w:t>
      </w:r>
    </w:p>
    <w:p>
      <w:pPr>
        <w:spacing w:after="0" w:line="6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Although we seek to conduct our business in compliance with applicable laws and regulations, these laws and regulations are exceedingly complex and often subject to varying interpretations. The cell therapy industry is the topic of significant government interest, and thus the laws and regulations applicable to our business are subject to frequent change and/or reinterpretation. As such, there can be no assurance that we will be able, or will have the resources, to maintain compliance with all applicable biopharmaceutical and health care laws and regulations. Failure to comply with such biopharmaceutical and health care laws and regulations could result in significant enforcement actions, civil or criminal penalties, which along with the costs associated with such compliance or with enforcement of such biopharmaceutical and health care laws and regulations, may have a material adverse effect on our operations or may require restructuring of our operations or impair our ability to operate profitably.</w:t>
      </w:r>
    </w:p>
    <w:p>
      <w:pPr>
        <w:spacing w:after="0" w:line="9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Facilities engaged in the recovery, processing, storage, labeling, packaging or distribution of any human cells, tissues or cellular- and tissue-based products, or the screening or testing of a donor, are required to register with the applicable regulatory agencies. Any third party retained by us to process our samples must be similarly registered with regulators and comply with applicable regulations as well as applicable cGTP regulations and any failure to comply with these requirements could adversely affect our business.</w:t>
      </w:r>
    </w:p>
    <w:p>
      <w:pPr>
        <w:spacing w:after="0" w:line="8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addition to cGTPs, cGMP regulations govern the manufacture, processing, packaging and holding of cell therapy products that are regulated as drugs. Any third-party manufacturers that prepare our products must comply with cGMP requirements including quality control, quality assurance and the maintenance of records and documentation for certain products. They may be unable to comply with these cGMP requirements and with other national regulators and state and local regulatory requirements. These requirements may change over time and we or third-party manufacturers may be unable to comply with the revised requirements.</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are unable to conduct clinical trials in accordance with regulations and accepted standards, we may be delayed in receiving, or may never receive, regulatory approvals of our product candidates from the FDA and other regulatory authorities.</w:t>
      </w:r>
    </w:p>
    <w:p>
      <w:pPr>
        <w:spacing w:after="0" w:line="7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To obtain marketing approvals for our product candidates in the United States and abroad, we must, among other requirements, complete adequate and well-controlled clinical trials sufficient to demonstrate to the FDA and other regulatory bodies that the product candidate is safe and effective for each indication for which approval is sought. If the FDA finds that patients enrolled in the trial are or would be exposed to an unreasonable and significant risk of illness or injury due to, among other things, occurrence of one or more serious adverse events in an ongoing clinical trial, the FDA can place one or more of our clinical trials on partial or full clinical hold. If safety concerns develop, we may, or the FDA, a foreign regulatory authority, or an Institutional Review Board (“IRB”) may require us to pause or stop the affected trials before completion.</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completion of our clinical trials also may be delayed or terminated for a number of other reasons, including if:</w:t>
      </w:r>
    </w:p>
    <w:p>
      <w:pPr>
        <w:spacing w:after="0" w:line="115" w:lineRule="exact"/>
        <w:rPr>
          <w:sz w:val="20"/>
          <w:szCs w:val="20"/>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third-party clinical investigators do not perform the clinical trials on the anticipated schedule or consistent with the clinical trial protocol, GCPs required by the FDA and other regulatory requirements, or other third parties do not perform data collection and analysis in a timely or accurate manner;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inspections of clinical trial sites by the FDA or by IRBs of research institutions participating in the clinical trials, reveal regulatory violations that require the sponsor of the trial to undertake corrective action, suspend or terminate one or more sites, or prohibit use of some or all of the data in support of marketing applications; or</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FDA or one or more IRBs suspends or terminates the trial at an investigational site or precludes enrollment of additional subjects.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development costs will increase if there are material delays in our clinical trials, or if we are required to modify, suspend, terminate, or repeat a clinical trial. If we are unable to conduct our clinical trials properly, we may never receive regulatory approval to market our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numerous and varying privacy and security laws, and our failure to comply could result in penalties and reputational damage.</w:t>
      </w:r>
    </w:p>
    <w:p>
      <w:pPr>
        <w:spacing w:after="0" w:line="11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United States, we may be subject to state security breach notification laws, state health information privacy laws and federal and state consumer protections laws which impose requirements for the collection, use, disclosure and transmission of personal information. Each of these laws are subject to varying interpretations by courts and government agencies, creating complex compliance issues for us. If we fail to comply with applicable laws and regulations we could be subject to penalties or sanctions, including criminal penalties if we knowingly obtain individually identifiable health information from a covered entity in a manner that is not authorized or permitted by HIPAA or for aiding and abetting the violation of HIPAA.</w:t>
      </w:r>
    </w:p>
    <w:p>
      <w:pPr>
        <w:spacing w:after="0" w:line="9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Numerous other countries have, or are developing, laws governing the collection, use and transmission of personal information as well. EU member states and other jurisdictions have adopted data protection laws and regulations, which impose significant compliance obligations. In May 2016, the European Union formally adopted the General Data Protection Regulation (“GDPR”), which applies to all EU member states from May 25, 2018 and replaced the EU Data Protection Directive The regulation introduces stringent new data protection requirements in the European Union and substantial fines for breaches of the data protection rules. It has increased our responsibility and liability in relation to personal data that we process and we may be required to put in place additional mechanisms ensuring compliance with the new EU data protection rules. The GDPR is a complex law and the regulatory guidance is still evolving, including with respect to how the GDPR should be applied in the context of clinical studies.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w:t>
      </w:r>
    </w:p>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9"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We are exposed to the risk of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laws that may affect our ability to operate include, but are not limited to:</w:t>
      </w:r>
    </w:p>
    <w:p>
      <w:pPr>
        <w:spacing w:after="0" w:line="89" w:lineRule="exact"/>
        <w:rPr>
          <w:sz w:val="20"/>
          <w:szCs w:val="20"/>
          <w:color w:val="auto"/>
        </w:rPr>
      </w:pPr>
    </w:p>
    <w:p>
      <w:pPr>
        <w:jc w:val="both"/>
        <w:ind w:left="520" w:hanging="260"/>
        <w:spacing w:after="0" w:line="267"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There are a number of statutory exceptions and regulatory safe harbors protecting some common activities from prosecution;</w:t>
      </w:r>
    </w:p>
    <w:p>
      <w:pPr>
        <w:spacing w:after="0" w:line="83" w:lineRule="exact"/>
        <w:rPr>
          <w:sz w:val="20"/>
          <w:szCs w:val="20"/>
          <w:color w:val="auto"/>
        </w:rPr>
      </w:pPr>
    </w:p>
    <w:p>
      <w:pPr>
        <w:jc w:val="both"/>
        <w:ind w:left="520" w:hanging="260"/>
        <w:spacing w:after="0" w:line="257"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federal civil and criminal false claims laws and civil monetary penalty laws, including the Federal False Claims Act (the “FCA”),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False Claims Act, the government may impose civil fines and penalties for each false claim, plus treble damages, and exclude the entity from participation in Medicare, Medicaid and other federal healthcare programs;</w:t>
      </w:r>
    </w:p>
    <w:p>
      <w:pPr>
        <w:spacing w:after="0" w:line="95"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3" w:lineRule="exact"/>
        <w:rPr>
          <w:rFonts w:ascii="Arial" w:cs="Arial" w:eastAsia="Arial" w:hAnsi="Arial"/>
          <w:sz w:val="14"/>
          <w:szCs w:val="14"/>
          <w:color w:val="auto"/>
        </w:rPr>
      </w:pPr>
    </w:p>
    <w:p>
      <w:pPr>
        <w:jc w:val="both"/>
        <w:ind w:left="520" w:hanging="260"/>
        <w:spacing w:after="0" w:line="258"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6"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extend to include transfers of value made to certain non-physician providers such as physician assistants and nurse practitioners;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federal consumer protection and unfair competition laws, which broadly regulate marketplace activities and activities that potentially harm consumers; and</w:t>
      </w:r>
    </w:p>
    <w:p>
      <w:pPr>
        <w:spacing w:after="0" w:line="125" w:lineRule="exact"/>
        <w:rPr>
          <w:rFonts w:ascii="Arial" w:cs="Arial" w:eastAsia="Arial" w:hAnsi="Arial"/>
          <w:sz w:val="14"/>
          <w:szCs w:val="14"/>
          <w:color w:val="auto"/>
        </w:rPr>
      </w:pPr>
    </w:p>
    <w:p>
      <w:pPr>
        <w:jc w:val="both"/>
        <w:ind w:left="520" w:hanging="260"/>
        <w:spacing w:after="0" w:line="257"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spacing w:after="0" w:line="281" w:lineRule="auto"/>
        <w:rPr>
          <w:sz w:val="20"/>
          <w:szCs w:val="20"/>
          <w:color w:val="auto"/>
        </w:rPr>
      </w:pPr>
      <w:r>
        <w:rPr>
          <w:rFonts w:ascii="Arial" w:cs="Arial" w:eastAsia="Arial" w:hAnsi="Arial"/>
          <w:sz w:val="14"/>
          <w:szCs w:val="14"/>
          <w:color w:val="auto"/>
        </w:rPr>
        <w:t>privacy and security of health information in certain circumstances, many of which differ from each other in significant ways and may not have the same effect, thus complicating compliance efforts.</w:t>
      </w:r>
    </w:p>
    <w:p>
      <w:pPr>
        <w:spacing w:after="0" w:line="6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it from governmental investigations or other actions or lawsuits stemming from a failure to be in compliance with such laws or regulations.</w:t>
      </w:r>
    </w:p>
    <w:p>
      <w:pPr>
        <w:spacing w:after="0" w:line="89"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it becomes subject to a corporate integrity agreement or similar agreement to resolve allegations of noncompliance with these laws, contractual damages, reputational harm, diminished profits and future earnings, and it may be required to curtail or restructure our operations, any of which could adversely affect our ability to operate our business and our results of operations.</w:t>
      </w:r>
    </w:p>
    <w:p>
      <w:pPr>
        <w:spacing w:after="0" w:line="8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Moreover, agreements with physicians often must be the subject of prior notification and approval by the physician’s employer, his or her competent professional organization.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Failure to comply with these requirements could result in reputational risk, public reprimands, administrative penalties, fines or imprisonment.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continue to be subject to extensive regulation following any product approvals, and if we fail to comply with these regulations, we may suffer a significant setback in our business.</w:t>
      </w:r>
    </w:p>
    <w:p>
      <w:pPr>
        <w:spacing w:after="0" w:line="13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Even if we are successful in obtaining regulatory approval of our product candidates, we will continue to be subject to the requirements of and review by, the FDA and comparable regulatory authorities in the areas of manufacturing processes, quality assurance, post-approval clinical data, adverse event reporting, labeling, advertising and promotional activities, among other things. In addition, any marketing approval we receive may be limited in terms of the approved product indication or require costly post-marketing testing and surveillance. Discovery after approval of previously unknown problems with a product, manufacturer or manufacturing process, or a failure to comply with regulatory requirements, may result in actions such as:</w:t>
      </w:r>
    </w:p>
    <w:p>
      <w:pPr>
        <w:spacing w:after="0" w:line="78" w:lineRule="exact"/>
        <w:rPr>
          <w:sz w:val="20"/>
          <w:szCs w:val="20"/>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warning letters or untitled letters or other actions requiring changes in product manufacturing processes or restrictions on product marketing or distribution;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product recalls or seizures or the temporary or permanent withdrawal of a product from the market;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 the imposition of civil penalties or criminal prosecution.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occurrence of any of these actions would likely cause a material adverse effect on our business, financial condition and results of operations.</w:t>
      </w:r>
    </w:p>
    <w:p>
      <w:pPr>
        <w:spacing w:after="0" w:line="12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Additionally, if we or others identify undesirable side effects, or other previously unknown problems, caused by our product candidates after obtaining U.S. or foreign regulatory approval or other products with the same or related active ingredients, a number of potential consequences could result, including:</w:t>
      </w:r>
    </w:p>
    <w:p>
      <w:pPr>
        <w:spacing w:after="0" w:line="69"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authorities may withdraw their approval of the product;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authorities may require a recall of the product or we may voluntarily recall a product;</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warnings or contradictions in the product labeling, narrowing of the indication in the product label or issuance of field alerts to physicians and pharmacies;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required to create a medication guide outlining the risks of such side effects for distribution to patients or institute a REMS;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subject to limitation as to how we promote the product;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administered or modify the product in some other way;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FDA or applicable foreign regulatory authority may require additional clinical trials or costly post-marketing testing and surveillance to monitor the safety or efficacy of the product;</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sales of the product may decrease significantly;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could be sued and held liable for harm caused to patients;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brand and reputation may suffer.</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Obtaining and maintaining regulatory approval of our product candidates in one jurisdiction does not mean that it will be successful in obtaining regulatory approval of our product candidates in other jurisdictions.</w:t>
      </w:r>
    </w:p>
    <w:p>
      <w:pPr>
        <w:spacing w:after="0" w:line="7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Obtaining and maintaining regulatory approval of our product candidates in one jurisdiction does not guarantee that it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9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 care companies have been the subject of federal and state investigations, and we could become subject to investigations in the future.</w:t>
      </w:r>
    </w:p>
    <w:p>
      <w:pPr>
        <w:spacing w:after="0" w:line="12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Both federal and state government agencies have heightened civil and criminal enforcement efforts. There are numerous ongoing investigations of health care companies, including drug, biologic and medical device companies, as well as their executives and managers. In addition, amendments to the Federal False Claims Act, including under health care reform, have made it easier for private parties to bring “</w:t>
      </w:r>
      <w:r>
        <w:rPr>
          <w:rFonts w:ascii="Arial" w:cs="Arial" w:eastAsia="Arial" w:hAnsi="Arial"/>
          <w:sz w:val="13"/>
          <w:szCs w:val="13"/>
          <w:i w:val="1"/>
          <w:iCs w:val="1"/>
          <w:color w:val="auto"/>
        </w:rPr>
        <w:t>qui tam</w:t>
      </w:r>
      <w:r>
        <w:rPr>
          <w:rFonts w:ascii="Arial" w:cs="Arial" w:eastAsia="Arial" w:hAnsi="Arial"/>
          <w:sz w:val="13"/>
          <w:szCs w:val="13"/>
          <w:color w:val="auto"/>
        </w:rPr>
        <w:t>” (whistleblower) lawsuits against companies under which the whistleblower may be entitled to receive a percentage of any money paid to the government. The Federal False Claims Act provides, in part, that an action can be brought against any person or entity that has knowingly presented, or caused to be presented, a false or fraudulent request for payment from the federal government, or who has made a false statement or used a false record to get a claim approved. The government has taken the position that claims presented in violation of the federal anti-kickback law, Stark Law or other health care-related laws, including laws enforced by the FDA, may be considered a violation of the Federal False Claims Act. Penalties include substantial fines for each false claim, plus three times the amount of damages that the federal government sustained because of the act of that person or entity and/or exclusion from the Medicare program. In addition, a majority of states have adopted similar state whistleblower and false claims provisions.</w:t>
      </w:r>
    </w:p>
    <w:p>
      <w:pPr>
        <w:spacing w:after="0" w:line="8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are not aware of any government investigations involving any of our facilities or management. While we believe that we are in material compliance with applicable governmental health care laws and regulations, any future investigations of our business or executives could cause us to incur substantial costs, and result in significant liabilities or penalties, as well as damage to our reputation.</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It is uncertain to what extent government, private health insurers and third-party payors will approve coverage or provide reimbursement for the therapies and products to which our research and development relate. Availability for such reimbursement may be further limited by an increasing uninsured population and reductions in Medicare and Medicaid funding in the United States.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To the extent that health care providers cannot obtain coverage or reimbursement for our therapies and products, they may elect not to provide such therapies and products to their patients and, thus, may not need our services. Further, as cost containment pressures are increasing in the health care industry, government and private payors may adopt strategies designed to limit the amount of reimbursement paid to health care providers.</w:t>
      </w:r>
    </w:p>
    <w:p>
      <w:pPr>
        <w:spacing w:after="0" w:line="7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Similarly, the trend toward managed health care and bundled pricing for health care services in the United States, could significantly influence the purchase of health care services and products, resulting in lower prices and reduced demand for our therapeutic products under development.</w:t>
      </w:r>
    </w:p>
    <w:p>
      <w:pPr>
        <w:spacing w:after="0" w:line="7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may receive a portion of our revenues from services rendered to patients enrolled in federal health care programs, such as Medicare, and we may also directly or indirectly receive revenues from federal health care programs. Federal health care programs are subject to changes in coverage and reimbursement rules and procedures, including retroactive rate adjustments. These contingencies could materially decrease the range of services covered by such programs or the reimbursement rates paid directly or indirectly for our products and services. To the extent that any health care reform favors the reimbursement of other therapies over our therapeutic products under development, such reform could affect our ability to sell our services, which may have a material adverse effect on our revenues.</w:t>
      </w:r>
    </w:p>
    <w:p>
      <w:pPr>
        <w:spacing w:after="0" w:line="9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limitation on reimbursement available from private and government payors may reduce the demand for, or the price of, our services, which could have a material adverse effect on our revenues. Additional legislation or regulation relating to the health care industry or third-party coverage and reimbursement may be enacted in the future which could adversely affect the revenues generated from the sale of our products and services.</w:t>
      </w:r>
    </w:p>
    <w:p>
      <w:pPr>
        <w:spacing w:after="0" w:line="7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Furthermore, there has been a trend in recent years towards reductions in overall funding for Medicare and Medicaid. There has also been an increase in the number of people who do not have any form of health care coverage in recent years and who are not eligible for or enrolled in Medicare, Medicaid or other governmental programs. The extent to which the reforms brought about under health care reform may be successful in reducing the number of such uninsured is unclear, and the reduced funding of governmental programs and increase in uninsured populations could have a negative impact on the demand for our services to the extent they relate to products and services which are reimbursed by government and private payors.</w:t>
      </w:r>
    </w:p>
    <w:p>
      <w:pPr>
        <w:spacing w:after="0" w:line="7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89"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4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it commercializes and, if reimbursement is available, the level of reimbursement. Reimbursement may impact the demand for, or the price of, any product candidate for which we obtain marketing approval. In order to obtain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Additionally, we and/or our collaborators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it receives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Unintended consequences of health care reform legislation in the United States may adversely affect our business.</w:t>
      </w:r>
    </w:p>
    <w:p>
      <w:pPr>
        <w:spacing w:after="0" w:line="12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health care industry is undergoing fundamental changes resulting from political, economic and regulatory influences. In the United States, comprehensive programs are under consideration that seek to, among other things, increase access to health care for the uninsured and control the escalation of health care expenditures within the economy. In March 2010, the Patient Protection and Affordable Care Act (“PPACA”), as amended by the Health Care and Education Reconciliation Act, or the Affordable Care Act, was passed, which substantially changes the way health care is financed by both governmental and private insurers, and significantly impacts the U.S. pharmaceutical industry. While we do not believe this legislation will have a direct impact on our business, the legislation requires the adoption of implementing regulations, which may have unintended consequences or indirectly impact our business. For instance, the scope and implications of the amendments pursuant to the Fraud Enforcement and Recovery Act of 2009 (“FERA”), have yet to be fully determined or adjudicated and as a result it is difficult to predict how future enforcement initiatives may impact our business. Also, in some instances our clients may be health insurers that will be subject to limitations on their administrative expenses and federal review of “unreasonable” rate increases that could impact the prices they pay for our services. If the legislation causes such unintended consequences or indirect impact, it could have a material adverse effect on our business, financial condition and results of operations.</w:t>
      </w:r>
    </w:p>
    <w:p>
      <w:pPr>
        <w:spacing w:after="0" w:line="88"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In addition, other legislative changes have been proposed and adopted since the PPACA was enacted. On August 2, 2011, the Budget Control Act of 2011 was signed into law, which, among other things, creates the Joint Select Committee on Deficit Reduction to recommend proposals in spending reductions to Congress. The Joint Select Committee did not achieve a targeted deficit reduction of at least $1.2 trillion for the years 2013 through 2021, triggering the legislation’s automatic reduction to several government programs. This included aggregate reductions to Medicare payments to providers of up to 2% per fiscal year, which went into effect on April 1, 2013. On January 2, 2013, the American Taxpayer Relief Act of 2012 was signed into law, which, among other things, further reduced Medicare payments to several providers, including hospitals, and increased the statute of limitations period for the government to recover overpayments to providers from three to five years. Strong, partisan disagreement in Congress has prevented implementation of various PPACA provisions, and the Trump Administration had made the repeal of the PPACA a priority. One of the first executive orders of the Trump administration granted federal agencies broad powers to unwind regulations under the PPACA. On January 11, 2017, the Senate voted to approve a “budget blueprint” allowing Republicans to repeal parts of the law while avoiding Democrat filibuster. The “Obamacare Repeal Resolution” passed 51-48. Certain legislators are continuing their efforts to repeal the PPACA, although there is little clarity on how such a repeal would be implemented and what a PPACA replacement might look like. For the immediate future, there is significant uncertainty regarding the health care, health care coverage and health care insurance markets.</w:t>
      </w:r>
    </w:p>
    <w:p>
      <w:pPr>
        <w:spacing w:after="0" w:line="8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The U.S. government has in the past considered, is currently considering and may in the future consider health care policies and proposals intended to curb rising health care costs, including those that could significantly affect both private and public reimbursement for health care services. State and local governments, as well as a number of foreign governments, are also considering or have adopted similar types of policies. Future significant changes in the health care systems in the United States or elsewhere, and current uncertainty about whether and how changes may be implemented, could have a negative impact on the demand for our products. We are unable to predict whether other health care policies, including policies stemming from legislation or regulations affecting our business, may be proposed or enacted in the future; what effect such policies would have on our business; or the effect ongoing uncertainty about these matters will have on the purchasing decisions of our customers.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expect that additional state and federal health care reform measures will be adopted in the future, any of which could limit the amounts that federal and state governments will pay for health care products and services, which could result in reduced demand for our products or additional pricing pressures.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Governments outside the United States tend to impose strict price controls, which may adversely affect our revenues, if any.</w:t>
      </w:r>
    </w:p>
    <w:p>
      <w:pPr>
        <w:spacing w:after="0" w:line="12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In some countries, particularly the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where we may seek to market our product candidates in the future,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3"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variety of risks associated with operating our business internationally could materially adversely affect our business.</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79" w:lineRule="exact"/>
        <w:rPr>
          <w:sz w:val="20"/>
          <w:szCs w:val="20"/>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differing regulatory requirements in foreign countries;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differing coverage and reimbursement requirements in foreign countries;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unexpected changes in tariffs, trade barriers, price and exchange controls, and other regulatory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foreign economies and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foreign taxes, including withholding of payroll taxes;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foreign currency fluctuations, which could result in increased operating expenses and reduced revenue, and other obligations incident to doing business in another country;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difficulties staffing and managing foreign operations;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ind w:left="80"/>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600" w:hanging="260"/>
        <w:spacing w:after="0"/>
        <w:tabs>
          <w:tab w:leader="none" w:pos="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potential liability under the Foreign Corrupt Practices Act of 1977 or comparable foreign laws, such as the U.K. Anti-Bribery Act;</w:t>
      </w:r>
    </w:p>
    <w:p>
      <w:pPr>
        <w:spacing w:after="0" w:line="114" w:lineRule="exact"/>
        <w:rPr>
          <w:rFonts w:ascii="Arial" w:cs="Arial" w:eastAsia="Arial" w:hAnsi="Arial"/>
          <w:sz w:val="14"/>
          <w:szCs w:val="14"/>
          <w:color w:val="auto"/>
        </w:rPr>
      </w:pPr>
    </w:p>
    <w:p>
      <w:pPr>
        <w:ind w:left="600" w:hanging="260"/>
        <w:spacing w:after="0" w:line="281" w:lineRule="auto"/>
        <w:tabs>
          <w:tab w:leader="none" w:pos="5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79" w:lineRule="exact"/>
        <w:rPr>
          <w:rFonts w:ascii="Arial" w:cs="Arial" w:eastAsia="Arial" w:hAnsi="Arial"/>
          <w:sz w:val="14"/>
          <w:szCs w:val="14"/>
          <w:color w:val="auto"/>
        </w:rPr>
      </w:pPr>
    </w:p>
    <w:p>
      <w:pPr>
        <w:ind w:left="600" w:hanging="260"/>
        <w:spacing w:after="0"/>
        <w:tabs>
          <w:tab w:leader="none" w:pos="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continued threat of terrorism and the impact of military and other action, including military actions involving Russia and Ukraine;</w:t>
      </w:r>
    </w:p>
    <w:p>
      <w:pPr>
        <w:spacing w:after="0" w:line="125" w:lineRule="exact"/>
        <w:rPr>
          <w:rFonts w:ascii="Arial" w:cs="Arial" w:eastAsia="Arial" w:hAnsi="Arial"/>
          <w:sz w:val="14"/>
          <w:szCs w:val="14"/>
          <w:color w:val="auto"/>
        </w:rPr>
      </w:pPr>
    </w:p>
    <w:p>
      <w:pPr>
        <w:ind w:left="600" w:hanging="260"/>
        <w:spacing w:after="0" w:line="281" w:lineRule="auto"/>
        <w:tabs>
          <w:tab w:leader="none" w:pos="5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including as a result of COVID-19 or the recent military actions involving Russia and Ukraine; and</w:t>
      </w:r>
    </w:p>
    <w:p>
      <w:pPr>
        <w:spacing w:after="0" w:line="68" w:lineRule="exact"/>
        <w:rPr>
          <w:rFonts w:ascii="Arial" w:cs="Arial" w:eastAsia="Arial" w:hAnsi="Arial"/>
          <w:sz w:val="14"/>
          <w:szCs w:val="14"/>
          <w:color w:val="auto"/>
        </w:rPr>
      </w:pPr>
    </w:p>
    <w:p>
      <w:pPr>
        <w:ind w:left="600" w:hanging="260"/>
        <w:spacing w:after="0"/>
        <w:tabs>
          <w:tab w:leader="none" w:pos="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These and other risks associated with our planned international operations may materially adversely affect our ability to attain or maintain profitable operations.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4"/>
          <w:szCs w:val="14"/>
          <w:b w:val="1"/>
          <w:bCs w:val="1"/>
          <w:i w:val="1"/>
          <w:iCs w:val="1"/>
          <w:color w:val="auto"/>
        </w:rPr>
        <w:t>We may be unable to obtain or maintain patent protection for our products and product candidates, which could have a material adverse effect on our business.</w:t>
      </w:r>
    </w:p>
    <w:p>
      <w:pPr>
        <w:spacing w:after="0" w:line="125" w:lineRule="exact"/>
        <w:rPr>
          <w:sz w:val="20"/>
          <w:szCs w:val="20"/>
          <w:color w:val="auto"/>
        </w:rPr>
      </w:pPr>
    </w:p>
    <w:p>
      <w:pPr>
        <w:jc w:val="both"/>
        <w:ind w:left="80" w:firstLine="255"/>
        <w:spacing w:after="0" w:line="267" w:lineRule="auto"/>
        <w:rPr>
          <w:sz w:val="20"/>
          <w:szCs w:val="20"/>
          <w:color w:val="auto"/>
        </w:rPr>
      </w:pPr>
      <w:r>
        <w:rPr>
          <w:rFonts w:ascii="Arial" w:cs="Arial" w:eastAsia="Arial" w:hAnsi="Arial"/>
          <w:sz w:val="14"/>
          <w:szCs w:val="14"/>
          <w:color w:val="auto"/>
        </w:rPr>
        <w:t>Our commercial success will depend, in part, on obtaining and maintaining patent protection for new technologies, product candidates, products and processes and successfully defending such patents against third-party challenges. To that end, we file patent applications, and have been issued patents, that are intended to cover certain methods and uses of human cells as well as compositions and methods relating to hematopoietic stem cells. These patent applications may never result in the issuance of patents.</w:t>
      </w:r>
    </w:p>
    <w:p>
      <w:pPr>
        <w:spacing w:after="0" w:line="89" w:lineRule="exact"/>
        <w:rPr>
          <w:sz w:val="20"/>
          <w:szCs w:val="20"/>
          <w:color w:val="auto"/>
        </w:rPr>
      </w:pPr>
    </w:p>
    <w:p>
      <w:pPr>
        <w:jc w:val="both"/>
        <w:ind w:left="80" w:firstLine="255"/>
        <w:spacing w:after="0" w:line="257" w:lineRule="auto"/>
        <w:rPr>
          <w:sz w:val="20"/>
          <w:szCs w:val="20"/>
          <w:color w:val="auto"/>
        </w:rPr>
      </w:pPr>
      <w:r>
        <w:rPr>
          <w:rFonts w:ascii="Arial" w:cs="Arial" w:eastAsia="Arial" w:hAnsi="Arial"/>
          <w:sz w:val="14"/>
          <w:szCs w:val="14"/>
          <w:color w:val="auto"/>
        </w:rPr>
        <w:t>The patent positions of biotechnology companies can be highly uncertain and involve complex legal, scientific and factual questions and recent court decisions have introduced significant uncertainty regarding the strength of patents in the industry. Moreover, the legal systems of some foreign countries do not favor the aggressive enforcement of patents and may not protect our intellectual property rights to the same extent as the laws of the United States. Any of the issued patents we own or license may be challenged by third parties and held to be invalid, unenforceable or with a narrower or different scope of coverage than what we currently believe, effectively reducing or eliminating protection we believed we had against competitors with similar products or technologies. If we ultimately engage in and lose any such patent disputes, we could be subject to competition and/or significant liabilities, we could be required to enter into third-party licenses or we could be required to cease using the disputed technology or product. In addition, even if such licenses are available, the terms of any license requested by a third party could be unacceptable or unaffordable to us.</w:t>
      </w:r>
    </w:p>
    <w:p>
      <w:pPr>
        <w:spacing w:after="0" w:line="88" w:lineRule="exact"/>
        <w:rPr>
          <w:sz w:val="20"/>
          <w:szCs w:val="20"/>
          <w:color w:val="auto"/>
        </w:rPr>
      </w:pPr>
    </w:p>
    <w:p>
      <w:pPr>
        <w:jc w:val="both"/>
        <w:ind w:left="80" w:firstLine="255"/>
        <w:spacing w:after="0" w:line="267" w:lineRule="auto"/>
        <w:rPr>
          <w:sz w:val="20"/>
          <w:szCs w:val="20"/>
          <w:color w:val="auto"/>
        </w:rPr>
      </w:pPr>
      <w:r>
        <w:rPr>
          <w:rFonts w:ascii="Arial" w:cs="Arial" w:eastAsia="Arial" w:hAnsi="Arial"/>
          <w:sz w:val="14"/>
          <w:szCs w:val="14"/>
          <w:color w:val="auto"/>
        </w:rPr>
        <w:t>Product development and approval timelines in the biotechnology industry are very lengthy. As such, it is possible that any patents that may cover an approved product may have expired at the time of commercialization or only have a short remaining period of exclusivity, thereby reducing the commercial advantages of the patent. In such case, we would then rely solely on other forms of exclusivity, such as regulatory exclusivity provided by the FD&amp;C Act, which may provide less protection to our competitive position.</w:t>
      </w:r>
    </w:p>
    <w:p>
      <w:pPr>
        <w:spacing w:after="0" w:line="89" w:lineRule="exact"/>
        <w:rPr>
          <w:sz w:val="20"/>
          <w:szCs w:val="20"/>
          <w:color w:val="auto"/>
        </w:rPr>
      </w:pPr>
    </w:p>
    <w:p>
      <w:pPr>
        <w:jc w:val="both"/>
        <w:ind w:left="80"/>
        <w:spacing w:after="0" w:line="281" w:lineRule="auto"/>
        <w:rPr>
          <w:sz w:val="20"/>
          <w:szCs w:val="20"/>
          <w:color w:val="auto"/>
        </w:rPr>
      </w:pPr>
      <w:r>
        <w:rPr>
          <w:rFonts w:ascii="Arial" w:cs="Arial" w:eastAsia="Arial" w:hAnsi="Arial"/>
          <w:sz w:val="14"/>
          <w:szCs w:val="14"/>
          <w:b w:val="1"/>
          <w:bCs w:val="1"/>
          <w:i w:val="1"/>
          <w:iCs w:val="1"/>
          <w:color w:val="auto"/>
        </w:rPr>
        <w:t>Litigation relating to intellectual property is expensive, time-consuming and uncertain, and we may be unsuccessful in our efforts to protect against infringement by third parties or defend ourselves against claims of infringement.</w:t>
      </w:r>
    </w:p>
    <w:p>
      <w:pPr>
        <w:spacing w:after="0" w:line="79" w:lineRule="exact"/>
        <w:rPr>
          <w:sz w:val="20"/>
          <w:szCs w:val="20"/>
          <w:color w:val="auto"/>
        </w:rPr>
      </w:pPr>
    </w:p>
    <w:p>
      <w:pPr>
        <w:jc w:val="both"/>
        <w:ind w:left="80" w:firstLine="255"/>
        <w:spacing w:after="0" w:line="284" w:lineRule="auto"/>
        <w:rPr>
          <w:sz w:val="20"/>
          <w:szCs w:val="20"/>
          <w:color w:val="auto"/>
        </w:rPr>
      </w:pPr>
      <w:r>
        <w:rPr>
          <w:rFonts w:ascii="Arial" w:cs="Arial" w:eastAsia="Arial" w:hAnsi="Arial"/>
          <w:sz w:val="13"/>
          <w:szCs w:val="13"/>
          <w:color w:val="auto"/>
        </w:rPr>
        <w:t>To protect our intellectual property, we may initiate litigation or other proceedings. In general, intellectual property litigation is costly, time-consuming, diverts the attention of management and technical personnel and could result in substantial uncertainty regarding our future viability, even if we ultimately prevail. Some of our competitors may be able to sustain the costs of such litigation or other proceedings more effectively than can we because of their substantially greater financial resources. The loss or narrowing of our intellectual property protection, the inability to secure or enforce our intellectual property rights or a finding that we have infringed the intellectual property rights of a third party could limit our ability to develop or market our products and services in the future or adversely affect our revenues. Furthermore, any public announcements related to such litigation or regulatory proceedings could adversely affect the price of our common stock.</w:t>
      </w:r>
    </w:p>
    <w:p>
      <w:pPr>
        <w:spacing w:after="0" w:line="70" w:lineRule="exact"/>
        <w:rPr>
          <w:sz w:val="20"/>
          <w:szCs w:val="20"/>
          <w:color w:val="auto"/>
        </w:rPr>
      </w:pPr>
    </w:p>
    <w:p>
      <w:pPr>
        <w:jc w:val="both"/>
        <w:ind w:left="80" w:firstLine="255"/>
        <w:spacing w:after="0" w:line="288" w:lineRule="auto"/>
        <w:rPr>
          <w:sz w:val="20"/>
          <w:szCs w:val="20"/>
          <w:color w:val="auto"/>
        </w:rPr>
      </w:pPr>
      <w:r>
        <w:rPr>
          <w:rFonts w:ascii="Arial" w:cs="Arial" w:eastAsia="Arial" w:hAnsi="Arial"/>
          <w:sz w:val="13"/>
          <w:szCs w:val="13"/>
          <w:color w:val="auto"/>
        </w:rPr>
        <w:t>Third parties may allege that the research, development and commercialization activities we conduct infringe patents or other proprietary rights owned by such parties. While we do not believe any of our current activities infringe the rights of others, we have not conducted an exhaustive search or analysis of third-party patent rights to determine whether our pre-clinical or clinical research and development or activities may infringe or be alleged to infringe any third-party patent rights. If we are found to have infringed the patents of a third party, we may be required to pay substantial damages; we also may be required to seek from such party a license, which may not be available on acceptable terms, if at all, to continue our activities. A judicial</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220" w:top="126"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finding or infringement or the failure to obtain necessary licenses could prevent us from commercializing our products, which would have a material adverse effect on our business, operating results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maintain our licenses, patents or other intellectual property we could lose important protections that are material to continuing our operations and our future prospects.</w:t>
      </w:r>
    </w:p>
    <w:p>
      <w:pPr>
        <w:spacing w:after="0" w:line="148"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To obtain and maintain patent protection and licensing rights under certain of our license agreement, we must, among other things, ensure the timely payment of all applicable filing and maintenance fees. Any failure to do so could result in the loss of some or all of our rights to proprietary technology or the inability to secure or enforce intellectual property protection.</w:t>
      </w:r>
    </w:p>
    <w:p>
      <w:pPr>
        <w:spacing w:after="0" w:line="5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Additionally, our license agreements require us to meet certain diligence obligations in the development of the licensed products. Our failure to meet these diligence obligations could result in the loss of some or all of our rights, which could materially and adversely affect our business and future prospects.</w:t>
      </w:r>
    </w:p>
    <w:p>
      <w:pPr>
        <w:spacing w:after="0" w:line="69"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On December 1, 2015, Cend entered into an Exclusive License Agreement (the “SBP License Agreement”) with the Sanford Burnham Prebys Medical Discovery Institute (“SBP”), a California not-for-profit, public benefit corporation based in San Diego, California. Pursuant to the SBP License Agreement, which we assumed in connection with the Merger, SBP licensed to Cend the exclusive right to use certain patents to further Cend’s research and development efforts relating to LSTA1. Because we do not have the right to control the preparation, filing and prosecution of all of the patent applications, or to maintain the patents, covering LSTA1,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products that are the subject of such licensed rights could be adversely affected. In addition to the foregoing, the risks associated with patent rights that we license from third parties will also apply to patent rights it may own in the future.</w:t>
      </w:r>
    </w:p>
    <w:p>
      <w:pPr>
        <w:spacing w:after="0" w:line="8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Further, pursuant to our license agreements, we may be held responsible for bringing actions against infringers. Certain of our license agreements could also require us to meet development thresholds to maintain the license, including establishing a set timeline for developing and commercializing products and minimum yearly diligence obligations in developing and commercializing the product. Disputes may also arise regarding intellectual property subject to a licensing agreement.</w:t>
      </w:r>
    </w:p>
    <w:p>
      <w:pPr>
        <w:spacing w:after="0" w:line="8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6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we fail to comply with our obligations under these license agreements, or we are subject to a bankruptcy, the licensor may have the right to terminate the license, in which event we would not be able to market products covered by the license.</w:t>
      </w:r>
    </w:p>
    <w:p>
      <w:pPr>
        <w:spacing w:after="0" w:line="79"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partner and commercialize our products and technology may be adversely affected.</w:t>
      </w:r>
    </w:p>
    <w:p>
      <w:pPr>
        <w:spacing w:after="0" w:line="5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success depends on our ability to obtain and maintain patent protection in the United States and other countries with respect to proprietary product candidates and manufacturing technology. Our proposed licensors have sought and we intend to seek to protect proprietary position by filing patent applications in the United States and abroad related to the novel technologies and product candidates that are important to our business.</w:t>
      </w:r>
    </w:p>
    <w:p>
      <w:pPr>
        <w:spacing w:after="0" w:line="7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patent prosecution process is expensive, time-consuming and complex, and we may not be able to file, prosecute, maintain, enforce or license all necessary or desirable patent applications at a reasonable cost or in a timely manner. For example, in some cases, the work of certain academic researchers in the field of oncology could enter the public domain, which may compromise our ability to obtain patent protection for certain inventions related to or building upon such prior work. Consequently, we may not be able to obtain any such patent rights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Any pending and future patent applications may not result in patents being issued which protect the related technology or product candidates or which effectively prevent others from commercializing competitive technologies and product candidates. Changes in either the patent laws or interpretation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the patent laws in the United States and other countries may diminish the value of patents or narrow the scope of patent protection.</w:t>
      </w:r>
    </w:p>
    <w:p>
      <w:pPr>
        <w:spacing w:after="0" w:line="115"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We may not be aware of all third-party intellectual property rights potentially relating to our targeted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it was the first to file for patent protection of such inventions.</w:t>
      </w:r>
    </w:p>
    <w:p>
      <w:pPr>
        <w:spacing w:after="0" w:line="7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key patents by developing similar or alternative technologies or products in a non-infringing manner.</w:t>
      </w:r>
    </w:p>
    <w:p>
      <w:pPr>
        <w:spacing w:after="0" w:line="8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key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8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Further, in the event we breach the terms of the SBP License Agreement, we could lose the ability to continue the development and potential commercialization of LSTA1, and our operations and profitability will be significantly negatively impacted.</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comply with our obligations in any future agreements under which we may license intellectual property rights from third parties or otherwise experience disruptions to our business relationships with future licensors, we could lose license rights that are important to our business.</w:t>
      </w:r>
    </w:p>
    <w:p>
      <w:pPr>
        <w:spacing w:after="0" w:line="7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 the future, we may be party to license or collaboration agreements with third parties to advance our research or allow commercialization of product candidates. Such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future licensors might conclude that we have materially breached future license agreements and might therefore terminate the license agreements, thereby removing or limiting our ability to develop and commercialize products and technologies covered by these license agreements.</w:t>
      </w:r>
    </w:p>
    <w:p>
      <w:pPr>
        <w:spacing w:after="0" w:line="8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it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Disputes may also arise between us and our future licensors regarding intellectual property subject to a license agreement, including:</w:t>
      </w:r>
    </w:p>
    <w:p>
      <w:pPr>
        <w:spacing w:after="0" w:line="125"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114" w:lineRule="exact"/>
        <w:rPr>
          <w:rFonts w:ascii="Arial" w:cs="Arial" w:eastAsia="Arial" w:hAnsi="Arial"/>
          <w:sz w:val="14"/>
          <w:szCs w:val="14"/>
          <w:color w:val="auto"/>
        </w:rPr>
      </w:pPr>
    </w:p>
    <w:p>
      <w:pPr>
        <w:ind w:left="520" w:right="38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rights of the licensor that is not subject to the licensing agreement;</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right to sublicense patent and other rights to third parties under collaborative development relationships;</w:t>
      </w:r>
    </w:p>
    <w:p>
      <w:pPr>
        <w:spacing w:after="0" w:line="125"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priority of invention of any patented technology;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our future licensors and us and our partners.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addition, the agreements under which we may license intellectual property or technology from third parties in the future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in the future prevent or impair our ability to maintain future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obtaining necessary additional rights to our product candidates through acquisitions and in-licenses.</w:t>
      </w:r>
    </w:p>
    <w:p>
      <w:pPr>
        <w:spacing w:after="0" w:line="12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We may discover that it needs to obtain additional rights to the foundational IP associated with the product candidates we plan to develop, manufacture and market. If this occurs, we intend to license or purchase the rights to those candidates, which may nor may not prove successful at all, or on acceptable terms. If our programs require the use of proprietary rights held by third parties, such as academic institutions, the growth of our business will critically depend on our ability to acquire, in-license or use these proprietary rights, which may not prove possible on acceptable terms.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or acquire third-party intellectual property rights on terms that would allow us to execute our business plan, your investment may be lost.</w:t>
      </w:r>
    </w:p>
    <w:p>
      <w:pPr>
        <w:spacing w:after="0" w:line="8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may collaborate with non-profit and academic institutions to accelerate our preclinical research or development under written agreements with these institutions. Typically, these institutions would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 parties, potentially blocking our ability to pursue our program.</w:t>
      </w:r>
    </w:p>
    <w:p>
      <w:pPr>
        <w:spacing w:after="0" w:line="8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If we are unable to successfully obtain rights to required third-party intellectual property rights or maintain the existing intellectual property rights we have, we may be required to expend significant time and resources to redesign our product candidates, identify other candidates, or to develop or license replacement technology, none of which may be feasible on a technical or commercial basis, especially with our limited resources. If we are unable to do so, we may be unable to develop or commercialize the affected product candidates, which could critically harm our business.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9"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may own in the future. We may rely on our outside counsel or licensing partners to pay these fees due to non-U.S. patent agencies. The USPTO and various non-U.S. government patent agencies require compliance with several procedural, documentary, fee payment and other similar provisions during the patent application process. We plan to employ reputable law firms and other professionals to help us comply, but we will also be dependent on our licensors to take the necessary action to comply with these requirements with respect to their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7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7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anticipate that many of our consultants or advisors will currently be, or were previously, employed at universities, industry service providers (e.g., CDMOs, CROs, CDOs, etc.),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obtaining or maintaining necessary rights to product components and processes for our development pipeline through acquisitions and in-licenses.</w:t>
      </w:r>
    </w:p>
    <w:p>
      <w:pPr>
        <w:spacing w:after="0" w:line="137"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Presently we have two pending patent applications in the United States and fourteen pending patent applications outside the United States. Because additional product candidates may require the use of proprietary rights held by third parties, the growth of our business will likely depend in part on our ability to acquire, in-license or use these proprietary rights.</w:t>
      </w:r>
    </w:p>
    <w:p>
      <w:pPr>
        <w:spacing w:after="0" w:line="5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are able to develop such alternatives, which may not be feasible. Even if we are able to obtain a license, it may be nonexclusive, thereby giving our competitors access to the same technologies licensed to it. In that event, we may be required to expend significant time and resources to develop or license replacement technology. Moreover, the molecules that will be used with our product candidates may be covered by the intellectual property rights of others.</w:t>
      </w:r>
    </w:p>
    <w:p>
      <w:pPr>
        <w:spacing w:after="0" w:line="8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Additionally, we sometimes collaborate with academic institutions to accelerate our 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81"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The licensing and acquisition of third-party intellectual property rights is a competitive area, and companies that are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it.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it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do not obtain patent term extension and data exclusivity for any of our current or future product candidates we may develop, our business may be materially harmed.</w:t>
      </w:r>
    </w:p>
    <w:p>
      <w:pPr>
        <w:spacing w:after="0" w:line="126" w:lineRule="exact"/>
        <w:rPr>
          <w:sz w:val="20"/>
          <w:szCs w:val="20"/>
          <w:color w:val="auto"/>
        </w:rPr>
      </w:pPr>
    </w:p>
    <w:p>
      <w:pPr>
        <w:jc w:val="both"/>
        <w:ind w:firstLine="255"/>
        <w:spacing w:after="0" w:line="307" w:lineRule="auto"/>
        <w:rPr>
          <w:sz w:val="20"/>
          <w:szCs w:val="20"/>
          <w:color w:val="auto"/>
        </w:rPr>
      </w:pPr>
      <w:r>
        <w:rPr>
          <w:rFonts w:ascii="Arial" w:cs="Arial" w:eastAsia="Arial" w:hAnsi="Arial"/>
          <w:sz w:val="12"/>
          <w:szCs w:val="12"/>
          <w:color w:val="auto"/>
        </w:rPr>
        <w:t>Depending upon the timing, duration and specifics of any FDA marketing approval of any of our current or future product candidates, one or more U.S. patents we may own or in-license in the future may be eligible for limited patent term extension under the Drug Price Competition and Patent Term Restoration Act of 1984, or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may obtain approval of competing products following expiration of any patents that issue from our patent applications, and our business, financial condition, results of operations, and prospects could be materially harmed.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48"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trademarks.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trade secrets, our competitive position could be impaired.</w:t>
      </w:r>
    </w:p>
    <w:p>
      <w:pPr>
        <w:spacing w:after="0" w:line="115"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A significant amount of our technology, especially regarding manufacturing processes, is unpatented and is maintained as trade secrets and /or know-how. We expend significant energy, resources and know-how in an effort to protect these trade secrets and know-how, including through the use of confidentiality agreements. Even so, improper use or disclosure of our confidential information could occur, and in such case, adequate remedies may not exist. The disclosure of trade secrets and know-how could impair our competitive position. Although we require all of our employees, consultants, advisors and any third parties who have access to our proprietary know-how, information, or technology to enter into confidentiality agreements, trade secrets can be difficult to protect and we have limited the protection of trade secrets used by our collaborators and suppliers. We cannot be certain that we have or will obtain these agreements in all circumstances and cannot guarantee that we have entered into such agreements with each party that may have or have had access to our trade secrets or proprietary information.</w:t>
      </w:r>
    </w:p>
    <w:p>
      <w:pPr>
        <w:spacing w:after="0" w:line="81"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66"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2"/>
          <w:szCs w:val="12"/>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For example, significant elements, including aspects of drug manufacturing processes, experiments to validate mechanisms and pharmacology, drug design, and related processes, are based on unpatented trade secrets that are not publicly disclosed.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59" w:lineRule="exact"/>
        <w:rPr>
          <w:sz w:val="20"/>
          <w:szCs w:val="20"/>
          <w:color w:val="auto"/>
        </w:rPr>
      </w:pPr>
    </w:p>
    <w:p>
      <w:pPr>
        <w:jc w:val="both"/>
        <w:ind w:firstLine="255"/>
        <w:spacing w:after="0" w:line="307" w:lineRule="auto"/>
        <w:rPr>
          <w:sz w:val="20"/>
          <w:szCs w:val="20"/>
          <w:color w:val="auto"/>
        </w:rPr>
      </w:pPr>
      <w:r>
        <w:rPr>
          <w:rFonts w:ascii="Arial" w:cs="Arial" w:eastAsia="Arial" w:hAnsi="Arial"/>
          <w:sz w:val="12"/>
          <w:szCs w:val="12"/>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certain countries, patent holders may be required to grant compulsory licenses, which would likely have a significant and detrimental effect on any future revenues in such country.</w:t>
      </w:r>
    </w:p>
    <w:p>
      <w:pPr>
        <w:spacing w:after="0" w:line="14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Many countries, including some countries in Europe, have compulsory licensing laws under which a patent owner may be compelled to grant licenses to third parties. In addition, most countries limit the enforceability of patents against government agencies or government contractors. In these countries, the patent owner may be limited to monetary relief and may be unable to enjoin infringement, which could materially diminish the value of the patent. Compulsory licensing of life-saving products is also becoming increasingly common in developing countries, either through direct legislation or international initiatives. Such compulsory licenses could be extended to our product candidates, which may limit our potential revenue opportunities, including with respect to any future revenues that may result from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U.S. patent law may have a material adverse effect on our intellectual property rights.</w:t>
      </w:r>
    </w:p>
    <w:p>
      <w:pPr>
        <w:spacing w:after="0" w:line="115"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2"/>
          <w:szCs w:val="12"/>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any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 Patent and Trade Office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Third-party claims of intellectual property infringement may prevent or delay our development and commercialization efforts.</w:t>
      </w:r>
    </w:p>
    <w:p>
      <w:pPr>
        <w:spacing w:after="0" w:line="12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commercial success depends in part on our avoiding infringement of the patents, trademarks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and trademark violations. Numerous U.S. and foreign issued patents and pending patent applications, which are owned by third parties, exist in the fields in which we are developing products and services. As the biotechnology and pharmaceutical industries expand and more patents are issued, the risk increases that our products and services may be subject to claims of infringement of the patent rights of third parties.</w:t>
      </w:r>
    </w:p>
    <w:p>
      <w:pPr>
        <w:spacing w:after="0" w:line="8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Third parties may assert that we are employing their proprietary technology without authorization. There may be third-party patents or patent applications with claims to devices, materials, formulations, methods of manufacture, or methods for treatment related to the use or manufacture of our products and services. We have conducted freedom to operate analyses with respect to only certain of our products and services, and therefore we do not know whether there are any third-party patents that would impair our ability to commercialize these products and services. We also cannot guarantee that any of our analyses are complete and thorough, nor can we be sure that we have identified each and every patent and pending application in the United States and abroad that is relevant or necessary to the commercialization of our products and services. Because patent applications can take many years to issue, there may be currently pending patent applications that may later result in issued patents that our products or services may infringe upon.</w:t>
      </w:r>
    </w:p>
    <w:p>
      <w:pPr>
        <w:spacing w:after="0" w:line="97"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addition, third parties may obtain patents in the future and claim that use of our technologies infringes upon these patents. If any third-party patents were held by a court of competent jurisdiction to cover aspects of our products or services, the holders of any such patents may be able to block our ability to commercialize such products or services unless we obtained a license under the applicable patents, or until such patents expire or are finally determined to be invalid or unenforceable. Such a license may not be available on commercially reasonable terms or at all.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Parties making claims against us may obtain injunctive or other equitable relief, which could effectively block our ability to further develop and commercialize one or more of our products or services.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form or seek collaborations or strategic alliances or enter into additional licensing arrangements in the future, and we may not realize the benefits of such collaborations, alliances or licensing arrangements.</w:t>
      </w:r>
    </w:p>
    <w:p>
      <w:pPr>
        <w:spacing w:after="0" w:line="7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6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Further, collaborations involving our product candidates are subject to numerous risks, which may include the following:</w:t>
      </w:r>
    </w:p>
    <w:p>
      <w:pPr>
        <w:spacing w:after="0" w:line="125"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efforts and resources that they will apply to a collaboration;</w:t>
      </w:r>
    </w:p>
    <w:p>
      <w:pPr>
        <w:spacing w:after="0" w:line="114"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8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could independently develop, or develop with third parties, products that compete directly or indirectly with our product candidates;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products may not commit sufficient resources to their marketing and distribution;</w:t>
      </w:r>
    </w:p>
    <w:p>
      <w:pPr>
        <w:spacing w:after="0" w:line="125"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to pursue further development or commercialization of the applicable product candidates; and</w:t>
      </w:r>
    </w:p>
    <w:p>
      <w:pPr>
        <w:spacing w:after="0" w:line="148" w:lineRule="exact"/>
        <w:rPr>
          <w:rFonts w:ascii="Arial" w:cs="Arial" w:eastAsia="Arial" w:hAnsi="Arial"/>
          <w:sz w:val="12"/>
          <w:szCs w:val="12"/>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7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As a result, if we enter into additional collaboration agreements and strategic partnerships or licenses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manufacturing process needs to comply with regulatory authority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69"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In order to commercially produce our products either at our own facility or at a third party’s facility, we will need to comply with the FDA’s and other regulatory authority's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business.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third-party manufacturers use hazardous and biological materials in a manner that causes injury or violates applicable law, we may be liable for damages.</w:t>
      </w:r>
    </w:p>
    <w:p>
      <w:pPr>
        <w:spacing w:after="0" w:line="12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MANAGING GROWTH AND EMPLOYEE MATTERS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grow the size of our organization, and may experience difficulties in managing this growth.</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As of December 31, 2022, we had 27 full-time employees. We intend to hire new employees to conduct our research and development activities/administrative/scientific in the future. Any delay in hiring such new employees could result in delays in our research and development activities and would harm our business. As our development and commercialization plans and strategies develop, we expect to need additional managerial, operational, sales, marketing, financial and other personnel, as well as additional facilities to expand our operations. Future growth would impose significant added responsibilities on members of management, including:</w:t>
      </w:r>
    </w:p>
    <w:p>
      <w:pPr>
        <w:spacing w:after="0" w:line="82"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Advance applications of our drug discovery and development platform;</w:t>
      </w:r>
    </w:p>
    <w:p>
      <w:pPr>
        <w:spacing w:after="0" w:line="125" w:lineRule="exact"/>
        <w:rPr>
          <w:rFonts w:ascii="Arial" w:cs="Arial" w:eastAsia="Arial" w:hAnsi="Arial"/>
          <w:sz w:val="14"/>
          <w:szCs w:val="14"/>
          <w:color w:val="auto"/>
        </w:rPr>
      </w:pPr>
    </w:p>
    <w:p>
      <w:pPr>
        <w:ind w:left="520" w:right="500" w:hanging="260"/>
        <w:spacing w:after="0" w:line="281"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12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Our future financial performance and our ability to commercialize our product candidates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5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7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2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decreased demand for our product candidates or products that we may develop;</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inability to commercialize any product candidate;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decline in share price.</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MERGER</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recently completed the Merger, and if we are unable to integrate successfully and realize the anticipated benefits of the Merger, this would adversely affect our business.</w:t>
      </w:r>
    </w:p>
    <w:p>
      <w:pPr>
        <w:spacing w:after="0" w:line="13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Merger involved the combination of two companies which previously operated as independent companies. We may fail to realize some or all of the anticipated benefits of the Merger if the integration process takes longer than expected or is more costly than expected. It is possible that the integration process could result in the diversion of management’s attention, the disruption or interruption of, or the loss of momentum in, our ongoing businesses or inconsistencies in standards, controls, procedures and policies, any of which could adversely affect our ability to maintain relationships with customers, suppliers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employees or the ability to achieve the anticipated benefits of the Merger, or could otherwise adversely affect our business and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the Merger, we may be exposed to increased litigation, including stockholder litigation, which could have an adverse effect on our business and operations.</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may be exposed to increased litigation from stockholders, customers, suppliers, consumers and other third parties due to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collection is governed by restrictive regulations governing the use, storage, processing and transfer of personal information.</w:t>
      </w:r>
    </w:p>
    <w:p>
      <w:pPr>
        <w:spacing w:after="0" w:line="12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collection, use, storage, disclosure, transfer, or other processing of personal data is subject to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9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79"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61"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In addition, the computer systems of various third parties on which we rely,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has been, and will likely continue to be, highly volatile.</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market price of our common stock has been, and in the future may continue to be, highly volatile. For example, from January 1, 2022 through March 30, 2023 our common stock traded as low as $2.36 per share and as high as $17.10 per share.</w:t>
      </w:r>
    </w:p>
    <w:p>
      <w:pPr>
        <w:spacing w:after="0" w:line="7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market price for our common stock is highly dependent on, among other things, stock market conditions in general, our clinical development efforts and the growth of our business in general, the amount of our available cash and investments and our level of cash utilization. Future events could increase the volatility seen in our common stock and ultimately cause a significant decline in the price of our common stock and ultimately impact our ability to raise additional capital in the future. These events could include the following, among others:</w:t>
      </w:r>
    </w:p>
    <w:p>
      <w:pPr>
        <w:spacing w:after="0" w:line="71" w:lineRule="exact"/>
        <w:rPr>
          <w:sz w:val="20"/>
          <w:szCs w:val="20"/>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low levels of trading volume for our shares;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capital-raising or other transactions that are, or may in the future be, dilutive to existing stockholders or that involve the issuance of debt securities;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delays in our clinical trials, negative clinical trial results or adverse regulatory decisions relating to our product candidates;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adverse fluctuations in our revenues or operating results or financial results that otherwise fall below the market's expectations;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disappointing developments concerning our cell therapy product candidates;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positive developments concerning our cell therapy product candidates that lead to the need for additional capital to complete the development process;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legal challenges, disputes and/or other adverse developments impacting our patents or other proprietary rights that protect our products.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In addition, broader external events, such as news concerning economic or market conditions in the general economy or within our industry, the activities of our competitors, changes (or the threat of changes) in U.S. or foreign government regulations impacting the life sciences industry or the movement of capital into or out of our industry, are likely to affect the price of our common stock. Geopolitical events, including the continued threat of terrorism and the impact of military and other action, including military actions involving Russia and Ukraine, could impact our stock price as well. There can be no assurance that the market price of our common stock will not continue to fluctuate or decline significantly in the future.</w:t>
      </w:r>
    </w:p>
    <w:p>
      <w:pPr>
        <w:spacing w:after="0" w:line="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fail to comply with the continued listing requirements of the Nasdaq Capital Market, such that our common stock may be delisted and the price of our common stock and our ability to access the capital markets could be negatively impacted.</w:t>
      </w:r>
    </w:p>
    <w:p>
      <w:pPr>
        <w:spacing w:after="0" w:line="7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common stock is listed for trading on the Nasdaq Capital Market. We must satisfy Nasdaq’s continued listing requirements, including, among other things, a minimum closing bid price requirement of $1.00 per share for 30 consecutive business days (the "Minimum Bid Price Requirement"). We have in the past been notified by Nasdaq that we were not in compliance with the Minimum Bid Price Requirement, and while we have regained compliance, there can be no assurance that we will remain compliant with the Minimum Bid Price Requirement or any other Nasdaq continued listing requirements.</w:t>
      </w:r>
    </w:p>
    <w:p>
      <w:pPr>
        <w:spacing w:after="0" w:line="9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In addition to potential dilution associated with potential future fundraising and strategic transactions, we currently have significant numbers of securities outstanding that are exercisable for our common stock, which could result in significant additional dilution and downward pressure on our stock price.</w:t>
      </w:r>
    </w:p>
    <w:p>
      <w:pPr>
        <w:spacing w:after="0" w:line="79"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As of December 31, 2022, there were 7,866,061 shares of our common stock outstanding. In addition, there were outstanding stock options, restricted stock units and warrants representing the potential issuance of an additional 2,863,000 shares of our common stock. The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common stock available for purchase in the market to exceed the purchase demand for our common stock. Such supply in excess of demand could cause the market price of our common stock to decline.</w:t>
      </w:r>
    </w:p>
    <w:p>
      <w:pPr>
        <w:spacing w:after="0" w:line="6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6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of directors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 without stockholder approval.</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Failure to maintain effective internal control over financial reporting in accordance with Section 404 of the Sarbanes-Oxley Act could have a material adverse effect on our business and stock price.</w:t>
      </w:r>
    </w:p>
    <w:p>
      <w:pPr>
        <w:spacing w:after="0" w:line="6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During the course of testing our disclosure controls and procedures and internal control over financial reporting, we may identify and disclose material weaknesses or significant deficiencies in internal control over financial reporting that will have to be remedied. Implementing any appropriate changes to our internal control may require specific compliance training of our directors, officers and employees, entail substantial costs to modify our existing accounting systems, and take a significant period of time to complete. Such changes may not, however, be effective in maintaining the adequacy of our internal control over financial reporting, and any failure to maintain that adequacy or inability to produce accurate financial statements on a timely basis could result in our financial statements being unreliable, increase our operating costs and materially impair our ability to operate our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Failure to achieve and maintain effective internal control over financial reporting could result in a loss of investor confidence in our financial reports and could have a material adverse effect on our stock price. Additionally, failure to maintain effective internal control over our financial reporting could result in government investigation or sanctions by regulatory authorities.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1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corporate headquarters are in Basking Ridge, New Jersey. The space is approximately 8,100 rentable square feet and the base monthly rent is approximately $15,900 through September 30, 2025. We have two five-year renewal options. We also lease approximately 3,400 rentable square feet in our Rye Brook, New York office for a base monthly rent of approximately $9,200. This lease expires in March 2023, and we have notified the landlord that we do not intend to renew the lease. We believe the total leased space at the Basking Ridge, New Jersey location is sufficient for the near future.</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From time to time, we are subject to legal proceedings and claims, either asserted or unasserted, that arise in the ordinary course of business. While the outcome of pending claims cannot be predicted with certainty, we do not believe that the outcome of any pending claims will have a material adverse effect on our financial condition or operating results.</w:t>
      </w:r>
    </w:p>
    <w:p>
      <w:pPr>
        <w:spacing w:after="0" w:line="69"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 answer to Cend’s response on July 11, 2022. The court held a case management conference on October 7, 2022, which resulted in a continuance until December 16, 2022. On December 16, 2022, the court continued the Case Management Conference until April 7, 2023. The Company denies these allegations and intends to vigorously defend against this claim.</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ind w:right="1220"/>
        <w:spacing w:after="0" w:line="422" w:lineRule="auto"/>
        <w:rPr>
          <w:sz w:val="20"/>
          <w:szCs w:val="20"/>
          <w:color w:val="auto"/>
        </w:rPr>
      </w:pPr>
      <w:r>
        <w:rPr>
          <w:rFonts w:ascii="Arial" w:cs="Arial" w:eastAsia="Arial" w:hAnsi="Arial"/>
          <w:sz w:val="14"/>
          <w:szCs w:val="14"/>
          <w:b w:val="1"/>
          <w:bCs w:val="1"/>
          <w:color w:val="auto"/>
        </w:rPr>
        <w:t xml:space="preserve">ITEM 5. MARKET FOR REGISTRANT'S COMMON EQUITY, RELATED STOCKHOLDER MATTERS AND ISSUER PURCHASES OF EQUITY SECURITIES. </w:t>
      </w:r>
      <w:r>
        <w:rPr>
          <w:rFonts w:ascii="Arial" w:cs="Arial" w:eastAsia="Arial" w:hAnsi="Arial"/>
          <w:sz w:val="14"/>
          <w:szCs w:val="14"/>
          <w:b w:val="1"/>
          <w:bCs w:val="1"/>
          <w:i w:val="1"/>
          <w:iCs w:val="1"/>
          <w:color w:val="auto"/>
        </w:rPr>
        <w:t>Market for Our Common Equity</w:t>
      </w:r>
    </w:p>
    <w:p>
      <w:pPr>
        <w:ind w:left="260"/>
        <w:spacing w:after="0"/>
        <w:rPr>
          <w:sz w:val="20"/>
          <w:szCs w:val="20"/>
          <w:color w:val="auto"/>
        </w:rPr>
      </w:pPr>
      <w:r>
        <w:rPr>
          <w:rFonts w:ascii="Arial" w:cs="Arial" w:eastAsia="Arial" w:hAnsi="Arial"/>
          <w:sz w:val="14"/>
          <w:szCs w:val="14"/>
          <w:color w:val="auto"/>
        </w:rPr>
        <w:t>Our common stock trades on The Nasdaq Capital Market under the symbol “LSTA.”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March 30, 2023, there were approximately 292 holders of record of our common stock.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 and Dividend Policy</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have not paid cash dividends on our common stock. The holders of our common stock are each entitled to receive dividends when and if declared by the board of directors out of funds legally available therefore, subject to the terms of any outstanding series of preferred stock. We intend to retain any future earnings to fund the development and growth of our business, and therefore we do not anticipate paying any cash dividends on our common stock in the foreseeable future.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Compensation Plan Information</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following table provides information as of December 31, 2022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61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Equity Compensation Plan Information</w:t>
            </w:r>
          </w:p>
        </w:tc>
        <w:tc>
          <w:tcPr>
            <w:tcW w:w="400" w:type="dxa"/>
            <w:vAlign w:val="bottom"/>
            <w:tcBorders>
              <w:bottom w:val="single" w:sz="8" w:color="auto"/>
            </w:tcBorders>
          </w:tcPr>
          <w:p>
            <w:pPr>
              <w:spacing w:after="0"/>
              <w:rPr>
                <w:sz w:val="13"/>
                <w:szCs w:val="13"/>
                <w:color w:val="auto"/>
              </w:rPr>
            </w:pPr>
          </w:p>
        </w:tc>
      </w:tr>
      <w:tr>
        <w:trPr>
          <w:trHeight w:val="121"/>
        </w:trPr>
        <w:tc>
          <w:tcPr>
            <w:tcW w:w="6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00" w:type="dxa"/>
            <w:vAlign w:val="bottom"/>
          </w:tcPr>
          <w:p>
            <w:pPr>
              <w:jc w:val="center"/>
              <w:ind w:left="21"/>
              <w:spacing w:after="0" w:line="121" w:lineRule="exact"/>
              <w:rPr>
                <w:sz w:val="20"/>
                <w:szCs w:val="20"/>
                <w:color w:val="auto"/>
              </w:rPr>
            </w:pPr>
            <w:r>
              <w:rPr>
                <w:rFonts w:ascii="Arial" w:cs="Arial" w:eastAsia="Arial" w:hAnsi="Arial"/>
                <w:sz w:val="11"/>
                <w:szCs w:val="11"/>
                <w:b w:val="1"/>
                <w:bCs w:val="1"/>
                <w:color w:val="auto"/>
                <w:w w:val="93"/>
              </w:rPr>
              <w:t>Number of securities</w:t>
            </w:r>
          </w:p>
        </w:tc>
        <w:tc>
          <w:tcPr>
            <w:tcW w:w="400" w:type="dxa"/>
            <w:vAlign w:val="bottom"/>
          </w:tcPr>
          <w:p>
            <w:pPr>
              <w:spacing w:after="0"/>
              <w:rPr>
                <w:sz w:val="10"/>
                <w:szCs w:val="10"/>
                <w:color w:val="auto"/>
              </w:rPr>
            </w:pPr>
          </w:p>
        </w:tc>
      </w:tr>
      <w:tr>
        <w:trPr>
          <w:trHeight w:val="127"/>
        </w:trPr>
        <w:tc>
          <w:tcPr>
            <w:tcW w:w="6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00" w:type="dxa"/>
            <w:vAlign w:val="bottom"/>
          </w:tcPr>
          <w:p>
            <w:pPr>
              <w:jc w:val="center"/>
              <w:ind w:left="21"/>
              <w:spacing w:after="0"/>
              <w:rPr>
                <w:sz w:val="20"/>
                <w:szCs w:val="20"/>
                <w:color w:val="auto"/>
              </w:rPr>
            </w:pPr>
            <w:r>
              <w:rPr>
                <w:rFonts w:ascii="Arial" w:cs="Arial" w:eastAsia="Arial" w:hAnsi="Arial"/>
                <w:sz w:val="11"/>
                <w:szCs w:val="11"/>
                <w:b w:val="1"/>
                <w:bCs w:val="1"/>
                <w:color w:val="auto"/>
                <w:w w:val="95"/>
              </w:rPr>
              <w:t>remaining available for</w:t>
            </w:r>
          </w:p>
        </w:tc>
        <w:tc>
          <w:tcPr>
            <w:tcW w:w="400" w:type="dxa"/>
            <w:vAlign w:val="bottom"/>
          </w:tcPr>
          <w:p>
            <w:pPr>
              <w:spacing w:after="0"/>
              <w:rPr>
                <w:sz w:val="11"/>
                <w:szCs w:val="11"/>
                <w:color w:val="auto"/>
              </w:rPr>
            </w:pPr>
          </w:p>
        </w:tc>
      </w:tr>
      <w:tr>
        <w:trPr>
          <w:trHeight w:val="127"/>
        </w:trPr>
        <w:tc>
          <w:tcPr>
            <w:tcW w:w="6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20" w:type="dxa"/>
            <w:vAlign w:val="bottom"/>
          </w:tcPr>
          <w:p>
            <w:pPr>
              <w:jc w:val="center"/>
              <w:ind w:left="101"/>
              <w:spacing w:after="0"/>
              <w:rPr>
                <w:sz w:val="20"/>
                <w:szCs w:val="20"/>
                <w:color w:val="auto"/>
              </w:rPr>
            </w:pPr>
            <w:r>
              <w:rPr>
                <w:rFonts w:ascii="Arial" w:cs="Arial" w:eastAsia="Arial" w:hAnsi="Arial"/>
                <w:sz w:val="11"/>
                <w:szCs w:val="11"/>
                <w:b w:val="1"/>
                <w:bCs w:val="1"/>
                <w:color w:val="auto"/>
                <w:w w:val="91"/>
              </w:rPr>
              <w:t>Weighted Average</w:t>
            </w:r>
          </w:p>
        </w:tc>
        <w:tc>
          <w:tcPr>
            <w:tcW w:w="1700" w:type="dxa"/>
            <w:vAlign w:val="bottom"/>
          </w:tcPr>
          <w:p>
            <w:pPr>
              <w:jc w:val="center"/>
              <w:ind w:left="21"/>
              <w:spacing w:after="0"/>
              <w:rPr>
                <w:sz w:val="20"/>
                <w:szCs w:val="20"/>
                <w:color w:val="auto"/>
              </w:rPr>
            </w:pPr>
            <w:r>
              <w:rPr>
                <w:rFonts w:ascii="Arial" w:cs="Arial" w:eastAsia="Arial" w:hAnsi="Arial"/>
                <w:sz w:val="11"/>
                <w:szCs w:val="11"/>
                <w:b w:val="1"/>
                <w:bCs w:val="1"/>
                <w:color w:val="auto"/>
                <w:w w:val="91"/>
              </w:rPr>
              <w:t>future issuance under equity</w:t>
            </w:r>
          </w:p>
        </w:tc>
        <w:tc>
          <w:tcPr>
            <w:tcW w:w="400" w:type="dxa"/>
            <w:vAlign w:val="bottom"/>
          </w:tcPr>
          <w:p>
            <w:pPr>
              <w:spacing w:after="0"/>
              <w:rPr>
                <w:sz w:val="11"/>
                <w:szCs w:val="11"/>
                <w:color w:val="auto"/>
              </w:rPr>
            </w:pPr>
          </w:p>
        </w:tc>
      </w:tr>
      <w:tr>
        <w:trPr>
          <w:trHeight w:val="127"/>
        </w:trPr>
        <w:tc>
          <w:tcPr>
            <w:tcW w:w="6140" w:type="dxa"/>
            <w:vAlign w:val="bottom"/>
          </w:tcPr>
          <w:p>
            <w:pPr>
              <w:spacing w:after="0"/>
              <w:rPr>
                <w:sz w:val="11"/>
                <w:szCs w:val="11"/>
                <w:color w:val="auto"/>
              </w:rPr>
            </w:pPr>
          </w:p>
        </w:tc>
        <w:tc>
          <w:tcPr>
            <w:tcW w:w="1500" w:type="dxa"/>
            <w:vAlign w:val="bottom"/>
          </w:tcPr>
          <w:p>
            <w:pPr>
              <w:jc w:val="center"/>
              <w:ind w:left="20"/>
              <w:spacing w:after="0"/>
              <w:rPr>
                <w:sz w:val="20"/>
                <w:szCs w:val="20"/>
                <w:color w:val="auto"/>
              </w:rPr>
            </w:pPr>
            <w:r>
              <w:rPr>
                <w:rFonts w:ascii="Arial" w:cs="Arial" w:eastAsia="Arial" w:hAnsi="Arial"/>
                <w:sz w:val="11"/>
                <w:szCs w:val="11"/>
                <w:b w:val="1"/>
                <w:bCs w:val="1"/>
                <w:color w:val="auto"/>
                <w:w w:val="93"/>
              </w:rPr>
              <w:t>Number of securities</w:t>
            </w:r>
          </w:p>
        </w:tc>
        <w:tc>
          <w:tcPr>
            <w:tcW w:w="1520" w:type="dxa"/>
            <w:vAlign w:val="bottom"/>
          </w:tcPr>
          <w:p>
            <w:pPr>
              <w:jc w:val="center"/>
              <w:ind w:left="121"/>
              <w:spacing w:after="0"/>
              <w:rPr>
                <w:sz w:val="20"/>
                <w:szCs w:val="20"/>
                <w:color w:val="auto"/>
              </w:rPr>
            </w:pPr>
            <w:r>
              <w:rPr>
                <w:rFonts w:ascii="Arial" w:cs="Arial" w:eastAsia="Arial" w:hAnsi="Arial"/>
                <w:sz w:val="11"/>
                <w:szCs w:val="11"/>
                <w:b w:val="1"/>
                <w:bCs w:val="1"/>
                <w:color w:val="auto"/>
                <w:w w:val="89"/>
              </w:rPr>
              <w:t>exercise price of</w:t>
            </w:r>
          </w:p>
        </w:tc>
        <w:tc>
          <w:tcPr>
            <w:tcW w:w="1700" w:type="dxa"/>
            <w:vAlign w:val="bottom"/>
          </w:tcPr>
          <w:p>
            <w:pPr>
              <w:jc w:val="center"/>
              <w:ind w:left="21"/>
              <w:spacing w:after="0"/>
              <w:rPr>
                <w:sz w:val="20"/>
                <w:szCs w:val="20"/>
                <w:color w:val="auto"/>
              </w:rPr>
            </w:pPr>
            <w:r>
              <w:rPr>
                <w:rFonts w:ascii="Arial" w:cs="Arial" w:eastAsia="Arial" w:hAnsi="Arial"/>
                <w:sz w:val="11"/>
                <w:szCs w:val="11"/>
                <w:b w:val="1"/>
                <w:bCs w:val="1"/>
                <w:color w:val="auto"/>
                <w:w w:val="89"/>
              </w:rPr>
              <w:t>compensation plan</w:t>
            </w:r>
          </w:p>
        </w:tc>
        <w:tc>
          <w:tcPr>
            <w:tcW w:w="400" w:type="dxa"/>
            <w:vAlign w:val="bottom"/>
          </w:tcPr>
          <w:p>
            <w:pPr>
              <w:spacing w:after="0"/>
              <w:rPr>
                <w:sz w:val="11"/>
                <w:szCs w:val="11"/>
                <w:color w:val="auto"/>
              </w:rPr>
            </w:pPr>
          </w:p>
        </w:tc>
      </w:tr>
      <w:tr>
        <w:trPr>
          <w:trHeight w:val="117"/>
        </w:trPr>
        <w:tc>
          <w:tcPr>
            <w:tcW w:w="6140" w:type="dxa"/>
            <w:vAlign w:val="bottom"/>
          </w:tcPr>
          <w:p>
            <w:pPr>
              <w:spacing w:after="0"/>
              <w:rPr>
                <w:sz w:val="10"/>
                <w:szCs w:val="10"/>
                <w:color w:val="auto"/>
              </w:rPr>
            </w:pPr>
          </w:p>
        </w:tc>
        <w:tc>
          <w:tcPr>
            <w:tcW w:w="150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7"/>
              </w:rPr>
              <w:t>to be issued upon exercise</w:t>
            </w:r>
          </w:p>
        </w:tc>
        <w:tc>
          <w:tcPr>
            <w:tcW w:w="1520" w:type="dxa"/>
            <w:vAlign w:val="bottom"/>
          </w:tcPr>
          <w:p>
            <w:pPr>
              <w:jc w:val="center"/>
              <w:ind w:left="121"/>
              <w:spacing w:after="0" w:line="117" w:lineRule="exact"/>
              <w:rPr>
                <w:sz w:val="20"/>
                <w:szCs w:val="20"/>
                <w:color w:val="auto"/>
              </w:rPr>
            </w:pPr>
            <w:r>
              <w:rPr>
                <w:rFonts w:ascii="Arial" w:cs="Arial" w:eastAsia="Arial" w:hAnsi="Arial"/>
                <w:sz w:val="11"/>
                <w:szCs w:val="11"/>
                <w:b w:val="1"/>
                <w:bCs w:val="1"/>
                <w:color w:val="auto"/>
                <w:w w:val="88"/>
              </w:rPr>
              <w:t>outstanding options</w:t>
            </w:r>
          </w:p>
        </w:tc>
        <w:tc>
          <w:tcPr>
            <w:tcW w:w="1700" w:type="dxa"/>
            <w:vAlign w:val="bottom"/>
          </w:tcPr>
          <w:p>
            <w:pPr>
              <w:jc w:val="center"/>
              <w:ind w:left="21"/>
              <w:spacing w:after="0" w:line="117" w:lineRule="exact"/>
              <w:rPr>
                <w:sz w:val="20"/>
                <w:szCs w:val="20"/>
                <w:color w:val="auto"/>
              </w:rPr>
            </w:pPr>
            <w:r>
              <w:rPr>
                <w:rFonts w:ascii="Arial" w:cs="Arial" w:eastAsia="Arial" w:hAnsi="Arial"/>
                <w:sz w:val="11"/>
                <w:szCs w:val="11"/>
                <w:b w:val="1"/>
                <w:bCs w:val="1"/>
                <w:color w:val="auto"/>
                <w:w w:val="89"/>
              </w:rPr>
              <w:t>(excluding securities</w:t>
            </w:r>
          </w:p>
        </w:tc>
        <w:tc>
          <w:tcPr>
            <w:tcW w:w="400" w:type="dxa"/>
            <w:vAlign w:val="bottom"/>
          </w:tcPr>
          <w:p>
            <w:pPr>
              <w:spacing w:after="0"/>
              <w:rPr>
                <w:sz w:val="10"/>
                <w:szCs w:val="10"/>
                <w:color w:val="auto"/>
              </w:rPr>
            </w:pPr>
          </w:p>
        </w:tc>
      </w:tr>
      <w:tr>
        <w:trPr>
          <w:trHeight w:val="157"/>
        </w:trPr>
        <w:tc>
          <w:tcPr>
            <w:tcW w:w="6140" w:type="dxa"/>
            <w:vAlign w:val="bottom"/>
          </w:tcPr>
          <w:p>
            <w:pPr>
              <w:spacing w:after="0"/>
              <w:rPr>
                <w:sz w:val="13"/>
                <w:szCs w:val="13"/>
                <w:color w:val="auto"/>
              </w:rPr>
            </w:pPr>
          </w:p>
        </w:tc>
        <w:tc>
          <w:tcPr>
            <w:tcW w:w="1500" w:type="dxa"/>
            <w:vAlign w:val="bottom"/>
          </w:tcPr>
          <w:p>
            <w:pPr>
              <w:jc w:val="center"/>
              <w:ind w:left="20"/>
              <w:spacing w:after="0"/>
              <w:rPr>
                <w:sz w:val="20"/>
                <w:szCs w:val="20"/>
                <w:color w:val="auto"/>
              </w:rPr>
            </w:pPr>
            <w:r>
              <w:rPr>
                <w:rFonts w:ascii="Arial" w:cs="Arial" w:eastAsia="Arial" w:hAnsi="Arial"/>
                <w:sz w:val="11"/>
                <w:szCs w:val="11"/>
                <w:b w:val="1"/>
                <w:bCs w:val="1"/>
                <w:color w:val="auto"/>
                <w:w w:val="89"/>
              </w:rPr>
              <w:t>of outstanding options (1)</w:t>
            </w:r>
          </w:p>
        </w:tc>
        <w:tc>
          <w:tcPr>
            <w:tcW w:w="1520" w:type="dxa"/>
            <w:vAlign w:val="bottom"/>
          </w:tcPr>
          <w:p>
            <w:pPr>
              <w:jc w:val="center"/>
              <w:ind w:left="121"/>
              <w:spacing w:after="0"/>
              <w:rPr>
                <w:sz w:val="20"/>
                <w:szCs w:val="20"/>
                <w:color w:val="auto"/>
              </w:rPr>
            </w:pPr>
            <w:r>
              <w:rPr>
                <w:rFonts w:ascii="Arial" w:cs="Arial" w:eastAsia="Arial" w:hAnsi="Arial"/>
                <w:sz w:val="11"/>
                <w:szCs w:val="11"/>
                <w:b w:val="1"/>
                <w:bCs w:val="1"/>
                <w:color w:val="auto"/>
                <w:w w:val="93"/>
              </w:rPr>
              <w:t>and rights</w:t>
            </w:r>
          </w:p>
        </w:tc>
        <w:tc>
          <w:tcPr>
            <w:tcW w:w="1700" w:type="dxa"/>
            <w:vAlign w:val="bottom"/>
          </w:tcPr>
          <w:p>
            <w:pPr>
              <w:jc w:val="center"/>
              <w:ind w:left="21"/>
              <w:spacing w:after="0"/>
              <w:rPr>
                <w:sz w:val="20"/>
                <w:szCs w:val="20"/>
                <w:color w:val="auto"/>
              </w:rPr>
            </w:pPr>
            <w:r>
              <w:rPr>
                <w:rFonts w:ascii="Arial" w:cs="Arial" w:eastAsia="Arial" w:hAnsi="Arial"/>
                <w:sz w:val="11"/>
                <w:szCs w:val="11"/>
                <w:b w:val="1"/>
                <w:bCs w:val="1"/>
                <w:color w:val="auto"/>
                <w:w w:val="92"/>
              </w:rPr>
              <w:t>referenced in column (a))</w:t>
            </w:r>
          </w:p>
        </w:tc>
        <w:tc>
          <w:tcPr>
            <w:tcW w:w="400" w:type="dxa"/>
            <w:vAlign w:val="bottom"/>
          </w:tcPr>
          <w:p>
            <w:pPr>
              <w:spacing w:after="0"/>
              <w:rPr>
                <w:sz w:val="13"/>
                <w:szCs w:val="13"/>
                <w:color w:val="auto"/>
              </w:rPr>
            </w:pPr>
          </w:p>
        </w:tc>
      </w:tr>
      <w:tr>
        <w:trPr>
          <w:trHeight w:val="195"/>
        </w:trPr>
        <w:tc>
          <w:tcPr>
            <w:tcW w:w="6140" w:type="dxa"/>
            <w:vAlign w:val="bottom"/>
          </w:tcPr>
          <w:p>
            <w:pPr>
              <w:spacing w:after="0"/>
              <w:rPr>
                <w:sz w:val="20"/>
                <w:szCs w:val="20"/>
                <w:color w:val="auto"/>
              </w:rPr>
            </w:pPr>
            <w:r>
              <w:rPr>
                <w:rFonts w:ascii="Arial" w:cs="Arial" w:eastAsia="Arial" w:hAnsi="Arial"/>
                <w:sz w:val="13"/>
                <w:szCs w:val="13"/>
                <w:color w:val="auto"/>
              </w:rPr>
              <w:t>Equity compensation plans approved by security holders (2)</w:t>
            </w:r>
          </w:p>
        </w:tc>
        <w:tc>
          <w:tcPr>
            <w:tcW w:w="1500" w:type="dxa"/>
            <w:vAlign w:val="bottom"/>
          </w:tcPr>
          <w:p>
            <w:pPr>
              <w:jc w:val="center"/>
              <w:ind w:left="20"/>
              <w:spacing w:after="0"/>
              <w:rPr>
                <w:sz w:val="20"/>
                <w:szCs w:val="20"/>
                <w:color w:val="auto"/>
              </w:rPr>
            </w:pPr>
            <w:r>
              <w:rPr>
                <w:rFonts w:ascii="Arial" w:cs="Arial" w:eastAsia="Arial" w:hAnsi="Arial"/>
                <w:sz w:val="13"/>
                <w:szCs w:val="13"/>
                <w:color w:val="auto"/>
                <w:w w:val="86"/>
              </w:rPr>
              <w:t>1,391,352</w:t>
            </w:r>
          </w:p>
        </w:tc>
        <w:tc>
          <w:tcPr>
            <w:tcW w:w="1520" w:type="dxa"/>
            <w:vAlign w:val="bottom"/>
          </w:tcPr>
          <w:p>
            <w:pPr>
              <w:jc w:val="center"/>
              <w:ind w:left="121"/>
              <w:spacing w:after="0"/>
              <w:rPr>
                <w:sz w:val="20"/>
                <w:szCs w:val="20"/>
                <w:color w:val="auto"/>
              </w:rPr>
            </w:pPr>
            <w:r>
              <w:rPr>
                <w:rFonts w:ascii="Arial" w:cs="Arial" w:eastAsia="Arial" w:hAnsi="Arial"/>
                <w:sz w:val="13"/>
                <w:szCs w:val="13"/>
                <w:color w:val="auto"/>
                <w:w w:val="85"/>
              </w:rPr>
              <w:t>$10.83</w:t>
            </w:r>
          </w:p>
        </w:tc>
        <w:tc>
          <w:tcPr>
            <w:tcW w:w="1700" w:type="dxa"/>
            <w:vAlign w:val="bottom"/>
          </w:tcPr>
          <w:p>
            <w:pPr>
              <w:jc w:val="center"/>
              <w:ind w:left="21"/>
              <w:spacing w:after="0"/>
              <w:rPr>
                <w:sz w:val="20"/>
                <w:szCs w:val="20"/>
                <w:color w:val="auto"/>
              </w:rPr>
            </w:pPr>
            <w:r>
              <w:rPr>
                <w:rFonts w:ascii="Arial" w:cs="Arial" w:eastAsia="Arial" w:hAnsi="Arial"/>
                <w:sz w:val="13"/>
                <w:szCs w:val="13"/>
                <w:color w:val="auto"/>
                <w:w w:val="89"/>
              </w:rPr>
              <w:t>587,449</w:t>
            </w:r>
          </w:p>
        </w:tc>
        <w:tc>
          <w:tcPr>
            <w:tcW w:w="400" w:type="dxa"/>
            <w:vAlign w:val="bottom"/>
          </w:tcPr>
          <w:p>
            <w:pPr>
              <w:jc w:val="right"/>
              <w:ind w:right="76"/>
              <w:spacing w:after="0"/>
              <w:rPr>
                <w:sz w:val="20"/>
                <w:szCs w:val="20"/>
                <w:color w:val="auto"/>
              </w:rPr>
            </w:pPr>
            <w:r>
              <w:rPr>
                <w:rFonts w:ascii="Arial" w:cs="Arial" w:eastAsia="Arial" w:hAnsi="Arial"/>
                <w:sz w:val="13"/>
                <w:szCs w:val="13"/>
                <w:color w:val="auto"/>
              </w:rPr>
              <w:t>(3)</w:t>
            </w:r>
          </w:p>
        </w:tc>
      </w:tr>
      <w:tr>
        <w:trPr>
          <w:trHeight w:val="170"/>
        </w:trPr>
        <w:tc>
          <w:tcPr>
            <w:tcW w:w="614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500" w:type="dxa"/>
            <w:vAlign w:val="bottom"/>
          </w:tcPr>
          <w:p>
            <w:pPr>
              <w:jc w:val="center"/>
              <w:ind w:left="20"/>
              <w:spacing w:after="0"/>
              <w:rPr>
                <w:sz w:val="20"/>
                <w:szCs w:val="20"/>
                <w:color w:val="auto"/>
              </w:rPr>
            </w:pPr>
            <w:r>
              <w:rPr>
                <w:rFonts w:ascii="Arial" w:cs="Arial" w:eastAsia="Arial" w:hAnsi="Arial"/>
                <w:sz w:val="13"/>
                <w:szCs w:val="13"/>
                <w:color w:val="auto"/>
                <w:w w:val="82"/>
              </w:rPr>
              <w:t>0</w:t>
            </w:r>
          </w:p>
        </w:tc>
        <w:tc>
          <w:tcPr>
            <w:tcW w:w="1520" w:type="dxa"/>
            <w:vAlign w:val="bottom"/>
          </w:tcPr>
          <w:p>
            <w:pPr>
              <w:jc w:val="center"/>
              <w:ind w:left="121"/>
              <w:spacing w:after="0"/>
              <w:rPr>
                <w:sz w:val="20"/>
                <w:szCs w:val="20"/>
                <w:color w:val="auto"/>
              </w:rPr>
            </w:pPr>
            <w:r>
              <w:rPr>
                <w:rFonts w:ascii="Arial" w:cs="Arial" w:eastAsia="Arial" w:hAnsi="Arial"/>
                <w:sz w:val="13"/>
                <w:szCs w:val="13"/>
                <w:color w:val="auto"/>
              </w:rPr>
              <w:t>—</w:t>
            </w:r>
          </w:p>
        </w:tc>
        <w:tc>
          <w:tcPr>
            <w:tcW w:w="1700" w:type="dxa"/>
            <w:vAlign w:val="bottom"/>
          </w:tcPr>
          <w:p>
            <w:pPr>
              <w:jc w:val="center"/>
              <w:ind w:left="21"/>
              <w:spacing w:after="0"/>
              <w:rPr>
                <w:sz w:val="20"/>
                <w:szCs w:val="20"/>
                <w:color w:val="auto"/>
              </w:rPr>
            </w:pPr>
            <w:r>
              <w:rPr>
                <w:rFonts w:ascii="Arial" w:cs="Arial" w:eastAsia="Arial" w:hAnsi="Arial"/>
                <w:sz w:val="13"/>
                <w:szCs w:val="13"/>
                <w:color w:val="auto"/>
                <w:w w:val="82"/>
              </w:rPr>
              <w:t>0</w:t>
            </w:r>
          </w:p>
        </w:tc>
        <w:tc>
          <w:tcPr>
            <w:tcW w:w="400" w:type="dxa"/>
            <w:vAlign w:val="bottom"/>
          </w:tcPr>
          <w:p>
            <w:pPr>
              <w:spacing w:after="0"/>
              <w:rPr>
                <w:sz w:val="14"/>
                <w:szCs w:val="14"/>
                <w:color w:val="auto"/>
              </w:rPr>
            </w:pPr>
          </w:p>
        </w:tc>
      </w:tr>
      <w:tr>
        <w:trPr>
          <w:trHeight w:val="170"/>
        </w:trPr>
        <w:tc>
          <w:tcPr>
            <w:tcW w:w="6140" w:type="dxa"/>
            <w:vAlign w:val="bottom"/>
          </w:tcPr>
          <w:p>
            <w:pPr>
              <w:spacing w:after="0"/>
              <w:rPr>
                <w:sz w:val="20"/>
                <w:szCs w:val="20"/>
                <w:color w:val="auto"/>
              </w:rPr>
            </w:pPr>
            <w:r>
              <w:rPr>
                <w:rFonts w:ascii="Arial" w:cs="Arial" w:eastAsia="Arial" w:hAnsi="Arial"/>
                <w:sz w:val="13"/>
                <w:szCs w:val="13"/>
                <w:color w:val="auto"/>
              </w:rPr>
              <w:t>Total</w:t>
            </w:r>
          </w:p>
        </w:tc>
        <w:tc>
          <w:tcPr>
            <w:tcW w:w="1500" w:type="dxa"/>
            <w:vAlign w:val="bottom"/>
          </w:tcPr>
          <w:p>
            <w:pPr>
              <w:jc w:val="center"/>
              <w:ind w:left="20"/>
              <w:spacing w:after="0"/>
              <w:rPr>
                <w:sz w:val="20"/>
                <w:szCs w:val="20"/>
                <w:color w:val="auto"/>
              </w:rPr>
            </w:pPr>
            <w:r>
              <w:rPr>
                <w:rFonts w:ascii="Arial" w:cs="Arial" w:eastAsia="Arial" w:hAnsi="Arial"/>
                <w:sz w:val="13"/>
                <w:szCs w:val="13"/>
                <w:color w:val="auto"/>
                <w:w w:val="86"/>
              </w:rPr>
              <w:t>1,391,352</w:t>
            </w:r>
          </w:p>
        </w:tc>
        <w:tc>
          <w:tcPr>
            <w:tcW w:w="1520" w:type="dxa"/>
            <w:vAlign w:val="bottom"/>
          </w:tcPr>
          <w:p>
            <w:pPr>
              <w:jc w:val="center"/>
              <w:ind w:left="121"/>
              <w:spacing w:after="0"/>
              <w:rPr>
                <w:sz w:val="20"/>
                <w:szCs w:val="20"/>
                <w:color w:val="auto"/>
              </w:rPr>
            </w:pPr>
            <w:r>
              <w:rPr>
                <w:rFonts w:ascii="Arial" w:cs="Arial" w:eastAsia="Arial" w:hAnsi="Arial"/>
                <w:sz w:val="13"/>
                <w:szCs w:val="13"/>
                <w:color w:val="auto"/>
                <w:w w:val="85"/>
              </w:rPr>
              <w:t>$10.83</w:t>
            </w:r>
          </w:p>
        </w:tc>
        <w:tc>
          <w:tcPr>
            <w:tcW w:w="1700" w:type="dxa"/>
            <w:vAlign w:val="bottom"/>
          </w:tcPr>
          <w:p>
            <w:pPr>
              <w:jc w:val="center"/>
              <w:ind w:left="21"/>
              <w:spacing w:after="0"/>
              <w:rPr>
                <w:sz w:val="20"/>
                <w:szCs w:val="20"/>
                <w:color w:val="auto"/>
              </w:rPr>
            </w:pPr>
            <w:r>
              <w:rPr>
                <w:rFonts w:ascii="Arial" w:cs="Arial" w:eastAsia="Arial" w:hAnsi="Arial"/>
                <w:sz w:val="13"/>
                <w:szCs w:val="13"/>
                <w:color w:val="auto"/>
                <w:w w:val="89"/>
              </w:rPr>
              <w:t>587,449</w:t>
            </w:r>
          </w:p>
        </w:tc>
        <w:tc>
          <w:tcPr>
            <w:tcW w:w="400" w:type="dxa"/>
            <w:vAlign w:val="bottom"/>
          </w:tcPr>
          <w:p>
            <w:pPr>
              <w:jc w:val="right"/>
              <w:ind w:right="76"/>
              <w:spacing w:after="0"/>
              <w:rPr>
                <w:sz w:val="20"/>
                <w:szCs w:val="20"/>
                <w:color w:val="auto"/>
              </w:rPr>
            </w:pPr>
            <w:r>
              <w:rPr>
                <w:rFonts w:ascii="Arial" w:cs="Arial" w:eastAsia="Arial" w:hAnsi="Arial"/>
                <w:sz w:val="13"/>
                <w:szCs w:val="13"/>
                <w:color w:val="auto"/>
              </w:rPr>
              <w:t>(3)</w:t>
            </w:r>
          </w:p>
        </w:tc>
      </w:tr>
    </w:tbl>
    <w:p>
      <w:pPr>
        <w:spacing w:after="0" w:line="79" w:lineRule="exact"/>
        <w:rPr>
          <w:sz w:val="20"/>
          <w:szCs w:val="20"/>
          <w:color w:val="auto"/>
        </w:rPr>
      </w:pPr>
    </w:p>
    <w:p>
      <w:pPr>
        <w:ind w:left="520" w:right="120" w:hanging="515"/>
        <w:spacing w:after="0" w:line="281" w:lineRule="auto"/>
        <w:tabs>
          <w:tab w:leader="none" w:pos="515"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stock options only; does not include purchase rights accruing under the Amended 2017 ESPP Plan because the purchase price (and therefore the number of shares to be purchased) will not be determined until the end of the purchase period.</w:t>
      </w:r>
    </w:p>
    <w:p>
      <w:pPr>
        <w:spacing w:after="0" w:line="68" w:lineRule="exact"/>
        <w:rPr>
          <w:rFonts w:ascii="Arial" w:cs="Arial" w:eastAsia="Arial" w:hAnsi="Arial"/>
          <w:sz w:val="14"/>
          <w:szCs w:val="14"/>
          <w:color w:val="auto"/>
        </w:rPr>
      </w:pPr>
    </w:p>
    <w:p>
      <w:pPr>
        <w:ind w:left="500" w:hanging="495"/>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the 2018 Plan, the 2015 Plan, the 2009 Plan, and the Amended 2017 ESPP.</w:t>
      </w:r>
    </w:p>
    <w:p>
      <w:pPr>
        <w:spacing w:after="0" w:line="125" w:lineRule="exact"/>
        <w:rPr>
          <w:rFonts w:ascii="Arial" w:cs="Arial" w:eastAsia="Arial" w:hAnsi="Arial"/>
          <w:sz w:val="14"/>
          <w:szCs w:val="14"/>
          <w:color w:val="auto"/>
        </w:rPr>
      </w:pPr>
    </w:p>
    <w:p>
      <w:pPr>
        <w:ind w:left="500" w:hanging="495"/>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shares available for future issuance under the 2018 Plan and the Amended 2017 ESPP.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Sales of Unregistered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The following discussion should be read in conjunction with our consolidated financial statements and related notes thereto included elsewhere in this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2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are a clinical-stage pharmaceutical company dedicated to the discovery, development and commercialization of innovative therapies for the treatment of solid tumors and other major diseases. Our lead investigational product candidate, LSTA1 (formerly known as CEND-1),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affected. LSTA1 also has the potential to modify the tumor microenvironment (“TME”), with the objective of making tumors more susceptible to immunotherapies. Lisata and its collaborators have amassed significant non-clinical data demonstrating enhanced delivery of a range of emerging anti-cancer therapies, including immunotherapies and RNA-based therapeutics. To date, LSTA1 has also demonstrated favorable safety, tolerability, and activity in completed and ongoing clinical trials designed to enhance delivery of standard-of-care chemotherapy for pancreatic cancer. We are exploring the potential of LSTA1 to enable a variety of treatment modalities to treat a range of solid tumors more effectively. In addition, we have clinical development programs based on our autologous CD34+ cell therapy technology platform that are advancing toward their next development milestone while incurring no capital outlay.</w:t>
      </w:r>
    </w:p>
    <w:p>
      <w:pPr>
        <w:spacing w:after="0" w:line="8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based on a broad and versatile portfolio of candidates. Our current development pipeline includes:</w:t>
      </w:r>
    </w:p>
    <w:p>
      <w:pPr>
        <w:spacing w:after="0" w:line="89" w:lineRule="exact"/>
        <w:rPr>
          <w:sz w:val="20"/>
          <w:szCs w:val="20"/>
          <w:color w:val="auto"/>
        </w:rPr>
      </w:pPr>
    </w:p>
    <w:p>
      <w:pPr>
        <w:ind w:firstLine="260"/>
        <w:spacing w:after="0" w:line="281" w:lineRule="auto"/>
        <w:tabs>
          <w:tab w:leader="none" w:pos="506" w:val="left"/>
        </w:tabs>
        <w:numPr>
          <w:ilvl w:val="0"/>
          <w:numId w:val="48"/>
        </w:numPr>
        <w:rPr>
          <w:rFonts w:ascii="Arial" w:cs="Arial" w:eastAsia="Arial" w:hAnsi="Arial"/>
          <w:sz w:val="14"/>
          <w:szCs w:val="14"/>
          <w:color w:val="auto"/>
        </w:rPr>
      </w:pPr>
      <w:r>
        <w:rPr>
          <w:rFonts w:ascii="Arial" w:cs="Arial" w:eastAsia="Arial" w:hAnsi="Arial"/>
          <w:sz w:val="14"/>
          <w:szCs w:val="14"/>
          <w:color w:val="auto"/>
        </w:rPr>
        <w:t>LSTA1, the subject of phase 1b/2a and 2b clinical studies being conducted globally in a variety of solid tumor types, including metastatic pancreatic ductal adenocarcinoma (mPDAC), in combination with a variety of anti-cancer regimens;</w:t>
      </w:r>
    </w:p>
    <w:p>
      <w:pPr>
        <w:spacing w:after="0" w:line="74" w:lineRule="exact"/>
        <w:rPr>
          <w:rFonts w:ascii="Arial" w:cs="Arial" w:eastAsia="Arial" w:hAnsi="Arial"/>
          <w:sz w:val="14"/>
          <w:szCs w:val="14"/>
          <w:color w:val="auto"/>
        </w:rPr>
      </w:pPr>
    </w:p>
    <w:p>
      <w:pPr>
        <w:jc w:val="both"/>
        <w:ind w:firstLine="260"/>
        <w:spacing w:after="0" w:line="218" w:lineRule="auto"/>
        <w:tabs>
          <w:tab w:leader="none" w:pos="506" w:val="left"/>
        </w:tabs>
        <w:numPr>
          <w:ilvl w:val="0"/>
          <w:numId w:val="48"/>
        </w:numPr>
        <w:rPr>
          <w:rFonts w:ascii="Arial" w:cs="Arial" w:eastAsia="Arial" w:hAnsi="Arial"/>
          <w:sz w:val="14"/>
          <w:szCs w:val="14"/>
          <w:color w:val="auto"/>
        </w:rPr>
      </w:pPr>
      <w:r>
        <w:rPr>
          <w:rFonts w:ascii="Arial" w:cs="Arial" w:eastAsia="Arial" w:hAnsi="Arial"/>
          <w:sz w:val="14"/>
          <w:szCs w:val="14"/>
          <w:color w:val="auto"/>
        </w:rPr>
        <w:t>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(LSTA12 formerly CLBS12), recipient of SAKIGAKE designation, pursuant to which early conditional approval in Japan for the treatment of critical limb ischemia (“CLI”) and Buerger’s disease is being sought based on the current results of a clinical trial executed in Japan.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was the recipient of orphan drug designation in March 2021 from the U.S. Food and Drug Administration (“FDA”) for Buerger's disease; and</w:t>
      </w:r>
    </w:p>
    <w:p>
      <w:pPr>
        <w:spacing w:after="0" w:line="98" w:lineRule="exact"/>
        <w:rPr>
          <w:rFonts w:ascii="Arial" w:cs="Arial" w:eastAsia="Arial" w:hAnsi="Arial"/>
          <w:sz w:val="14"/>
          <w:szCs w:val="14"/>
          <w:color w:val="auto"/>
        </w:rPr>
      </w:pPr>
    </w:p>
    <w:p>
      <w:pPr>
        <w:ind w:firstLine="260"/>
        <w:spacing w:after="0" w:line="281" w:lineRule="auto"/>
        <w:tabs>
          <w:tab w:leader="none" w:pos="506" w:val="left"/>
        </w:tabs>
        <w:numPr>
          <w:ilvl w:val="0"/>
          <w:numId w:val="48"/>
        </w:numPr>
        <w:rPr>
          <w:rFonts w:ascii="Arial" w:cs="Arial" w:eastAsia="Arial" w:hAnsi="Arial"/>
          <w:sz w:val="14"/>
          <w:szCs w:val="14"/>
          <w:color w:val="auto"/>
        </w:rPr>
      </w:pPr>
      <w:r>
        <w:rPr>
          <w:rFonts w:ascii="Arial" w:cs="Arial" w:eastAsia="Arial" w:hAnsi="Arial"/>
          <w:sz w:val="14"/>
          <w:szCs w:val="14"/>
          <w:color w:val="auto"/>
        </w:rPr>
        <w:t>LSTA201 (formerly CLBS201), the subject of a recently completed study designed to assess the safety and efficacy of CD34+ cell therapy as a regenerative treatment for patients with chronic kidney disease related to type 2 diabetes (diabetic kidney disease or “DKD”).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the COVID-19 Pandemic</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COVID-19 pandemic continues to present substantial public health and economic challenges around the world, and to date has led to the implementation of various responses, including government-imposed quarantines, stay-at-home orders, travel restrictions, mandated business closures and other public health safety measures.</w:t>
      </w:r>
    </w:p>
    <w:p>
      <w:pPr>
        <w:spacing w:after="0" w:line="69"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2"/>
          <w:szCs w:val="12"/>
          <w:color w:val="auto"/>
        </w:rPr>
        <w:t>We continue to closely monitor the impact of the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implemented a universal work from home policy as well as stringent social distancing and other hygiene policies for employees when they must be in the office. Our clinical study of HONEDRA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Japan experienced significant delays in enrollment due to the States of Emergency in effect in Japan for most of 2020, 2021 and 2022 covering Tokyo and other regions in response to an increased number of COVID-19 infections. With our expectation that COVID-19 in Japan would continue to negatively impact enrollment of patients in the HONEDRA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clinical trial, we elected to suspend trial enrollment, seek a development partner and consult with the Japanese regulatory authorities regarding the submission of patient data already accrued. In addition, our phase 2b trial of XOWNA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 the United States also experienced delays in enrolling patients as a result of COVID-19, as described above. In May 2022, we announced that enrollment in the FREEDOM Trial was suspended and that we intended to conduct an interim analysis of the data from not less than the first 20 patients enrolled using the 6-month follow-up data to evaluate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3"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efficacy and safety of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subjects with CMD. Following this analysis along with Key Opinion Leaders’ input, we determined that execution of a redesigned FREEDOM-like trial would be the appropriate next step, but the cost of such a trial would be prohibitively expensive to undergo without a strategic partner. Accordingly, our board of directors concluded that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97"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Beyond its impact on our development pipeline described above,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financial condition and results of operations. It is possible that our clinical development timelines could continue to be negatively affected by COVID-19, which could materially and adversely affect our business, financial condition and results of operations. See “Risk Factors” for additional discussion of the potential adverse impact of the COVID-19 pandemic on our business, financial condition 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Year Ended December 31, 2022 Compared to Year Ended December 31, 2021</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results of operations for the years ended December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0"/>
        </w:trPr>
        <w:tc>
          <w:tcPr>
            <w:tcW w:w="64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Change</w:t>
            </w:r>
          </w:p>
        </w:tc>
      </w:tr>
      <w:tr>
        <w:trPr>
          <w:trHeight w:val="152"/>
        </w:trPr>
        <w:tc>
          <w:tcPr>
            <w:tcW w:w="644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2"/>
        </w:trPr>
        <w:tc>
          <w:tcPr>
            <w:tcW w:w="6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Research and development</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(4,509)</w:t>
            </w:r>
          </w:p>
        </w:tc>
      </w:tr>
      <w:tr>
        <w:trPr>
          <w:trHeight w:val="168"/>
        </w:trPr>
        <w:tc>
          <w:tcPr>
            <w:tcW w:w="6440" w:type="dxa"/>
            <w:vAlign w:val="bottom"/>
          </w:tcPr>
          <w:p>
            <w:pPr>
              <w:ind w:left="80"/>
              <w:spacing w:after="0"/>
              <w:rPr>
                <w:sz w:val="20"/>
                <w:szCs w:val="20"/>
                <w:color w:val="auto"/>
              </w:rPr>
            </w:pPr>
            <w:r>
              <w:rPr>
                <w:rFonts w:ascii="Arial" w:cs="Arial" w:eastAsia="Arial" w:hAnsi="Arial"/>
                <w:sz w:val="13"/>
                <w:szCs w:val="13"/>
                <w:color w:val="auto"/>
              </w:rPr>
              <w:t>In-process research and development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30,393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30,393</w:t>
            </w:r>
          </w:p>
        </w:tc>
      </w:tr>
      <w:tr>
        <w:trPr>
          <w:trHeight w:val="172"/>
        </w:trPr>
        <w:tc>
          <w:tcPr>
            <w:tcW w:w="6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and administrative</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14,141</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11,474</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2,667</w:t>
            </w:r>
          </w:p>
        </w:tc>
      </w:tr>
      <w:tr>
        <w:trPr>
          <w:trHeight w:val="158"/>
        </w:trPr>
        <w:tc>
          <w:tcPr>
            <w:tcW w:w="6440" w:type="dxa"/>
            <w:vAlign w:val="bottom"/>
          </w:tcPr>
          <w:p>
            <w:pPr>
              <w:ind w:left="340"/>
              <w:spacing w:after="0"/>
              <w:rPr>
                <w:sz w:val="20"/>
                <w:szCs w:val="20"/>
                <w:color w:val="auto"/>
              </w:rPr>
            </w:pPr>
            <w:r>
              <w:rPr>
                <w:rFonts w:ascii="Arial" w:cs="Arial" w:eastAsia="Arial" w:hAnsi="Arial"/>
                <w:sz w:val="13"/>
                <w:szCs w:val="13"/>
                <w:color w:val="auto"/>
              </w:rPr>
              <w:t>Total operating expenses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57,601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29,050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28,551</w:t>
            </w:r>
          </w:p>
        </w:tc>
      </w:tr>
      <w:tr>
        <w:trPr>
          <w:trHeight w:val="172"/>
        </w:trPr>
        <w:tc>
          <w:tcPr>
            <w:tcW w:w="64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Loss from operations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(57,601)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(29,050)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(28,551)</w:t>
            </w:r>
          </w:p>
        </w:tc>
      </w:tr>
      <w:tr>
        <w:trPr>
          <w:trHeight w:val="168"/>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other income</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r>
      <w:tr>
        <w:trPr>
          <w:trHeight w:val="163"/>
        </w:trPr>
        <w:tc>
          <w:tcPr>
            <w:tcW w:w="6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Benefit from income taxes</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(2,479)</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w:t>
            </w:r>
          </w:p>
        </w:tc>
      </w:tr>
      <w:tr>
        <w:trPr>
          <w:trHeight w:val="156"/>
        </w:trPr>
        <w:tc>
          <w:tcPr>
            <w:tcW w:w="6440" w:type="dxa"/>
            <w:vAlign w:val="bottom"/>
          </w:tcPr>
          <w:p>
            <w:pPr>
              <w:ind w:left="80"/>
              <w:spacing w:after="0"/>
              <w:rPr>
                <w:sz w:val="20"/>
                <w:szCs w:val="20"/>
                <w:color w:val="auto"/>
              </w:rPr>
            </w:pPr>
            <w:r>
              <w:rPr>
                <w:rFonts w:ascii="Arial" w:cs="Arial" w:eastAsia="Arial" w:hAnsi="Arial"/>
                <w:sz w:val="13"/>
                <w:szCs w:val="13"/>
                <w:color w:val="auto"/>
              </w:rPr>
              <w:t>Net loss</w:t>
            </w:r>
          </w:p>
        </w:tc>
        <w:tc>
          <w:tcPr>
            <w:tcW w:w="780" w:type="dxa"/>
            <w:vAlign w:val="bottom"/>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0"/>
              </w:rPr>
              <w:t>(54,225)</w:t>
            </w:r>
          </w:p>
        </w:tc>
        <w:tc>
          <w:tcPr>
            <w:tcW w:w="100" w:type="dxa"/>
            <w:vAlign w:val="bottom"/>
          </w:tcPr>
          <w:p>
            <w:pPr>
              <w:spacing w:after="0"/>
              <w:rPr>
                <w:sz w:val="13"/>
                <w:szCs w:val="13"/>
                <w:color w:val="auto"/>
              </w:rPr>
            </w:pPr>
          </w:p>
        </w:tc>
        <w:tc>
          <w:tcPr>
            <w:tcW w:w="780" w:type="dxa"/>
            <w:vAlign w:val="bottom"/>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0"/>
              </w:rPr>
              <w:t>(27,466)</w:t>
            </w:r>
          </w:p>
        </w:tc>
        <w:tc>
          <w:tcPr>
            <w:tcW w:w="16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(26,759)</w:t>
            </w:r>
          </w:p>
        </w:tc>
      </w:tr>
    </w:tbl>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Overall, net losses were $54.2 million and $27.5 million for the years ended December 31, 2022 and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For the year ended December 31, 2022, operating expenses totaled $57.6 million compared to $29.1 million for the year ended December 31, 2021, representing an increase of $28.6 million or 98.3%. Excluding the non-routine in-process research and development expense of $30.4 million associated with the Merger, operating expenses decreased by $1.8 million or 6.3% compared to the year ended December 31, 2021.</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expenses comprise the following:</w:t>
      </w:r>
    </w:p>
    <w:p>
      <w:pPr>
        <w:spacing w:after="0" w:line="157" w:lineRule="exact"/>
        <w:rPr>
          <w:sz w:val="20"/>
          <w:szCs w:val="20"/>
          <w:color w:val="auto"/>
        </w:rPr>
      </w:pPr>
    </w:p>
    <w:p>
      <w:pPr>
        <w:jc w:val="both"/>
        <w:ind w:left="520" w:hanging="260"/>
        <w:spacing w:after="0" w:line="235" w:lineRule="auto"/>
        <w:tabs>
          <w:tab w:leader="none" w:pos="516" w:val="left"/>
        </w:tabs>
        <w:numPr>
          <w:ilvl w:val="0"/>
          <w:numId w:val="49"/>
        </w:numPr>
        <w:rPr>
          <w:rFonts w:ascii="Arial" w:cs="Arial" w:eastAsia="Arial" w:hAnsi="Arial"/>
          <w:sz w:val="16"/>
          <w:szCs w:val="16"/>
          <w:b w:val="1"/>
          <w:bCs w:val="1"/>
          <w:color w:val="auto"/>
        </w:rPr>
      </w:pPr>
      <w:r>
        <w:rPr>
          <w:rFonts w:ascii="Arial" w:cs="Arial" w:eastAsia="Arial" w:hAnsi="Arial"/>
          <w:sz w:val="13"/>
          <w:szCs w:val="13"/>
          <w:color w:val="auto"/>
        </w:rPr>
        <w:t>Research and development expenses were approximately $13.1 million for the year ended December 31, 2022 compared to $17.6 million for the year ended December 31, 2021, representing a decrease of approximately $4.5 million, or 25.7%. This was primarily due to a decrease in expenses associated with our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Phase 2b study (the FREEDOM Trial) as a result of the suspension in enrollment which commenced in the second quarter of 2022 and study close out activities in the third quarter of 2022, a decrease in expenses associated with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related to study close out costs and one off recruiting expenses and interim CMO consulting expenses in the prior year partially offset by the addition of CMC activities for LSTA1 and enrollment activities for AGITG ASCEND study. Research and development in both periods related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3" w:lineRule="exact"/>
        <w:rPr>
          <w:sz w:val="20"/>
          <w:szCs w:val="20"/>
          <w:color w:val="auto"/>
        </w:rPr>
      </w:pPr>
    </w:p>
    <w:p>
      <w:pPr>
        <w:ind w:left="1520" w:hanging="242"/>
        <w:spacing w:after="0"/>
        <w:tabs>
          <w:tab w:leader="none" w:pos="1520" w:val="left"/>
        </w:tabs>
        <w:numPr>
          <w:ilvl w:val="1"/>
          <w:numId w:val="50"/>
        </w:numPr>
        <w:rPr>
          <w:rFonts w:ascii="Arial" w:cs="Arial" w:eastAsia="Arial" w:hAnsi="Arial"/>
          <w:sz w:val="14"/>
          <w:szCs w:val="14"/>
          <w:color w:val="auto"/>
        </w:rPr>
      </w:pPr>
      <w:r>
        <w:rPr>
          <w:rFonts w:ascii="Arial" w:cs="Arial" w:eastAsia="Arial" w:hAnsi="Arial"/>
          <w:sz w:val="14"/>
          <w:szCs w:val="14"/>
          <w:color w:val="auto"/>
        </w:rPr>
        <w:t>expenses associated with our XOWNA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Phase 2b study (the FREEDOM Trial);</w:t>
      </w:r>
    </w:p>
    <w:p>
      <w:pPr>
        <w:spacing w:after="0" w:line="73" w:lineRule="exact"/>
        <w:rPr>
          <w:rFonts w:ascii="Arial" w:cs="Arial" w:eastAsia="Arial" w:hAnsi="Arial"/>
          <w:sz w:val="14"/>
          <w:szCs w:val="14"/>
          <w:color w:val="auto"/>
        </w:rPr>
      </w:pPr>
    </w:p>
    <w:p>
      <w:pPr>
        <w:ind w:left="1540" w:right="80" w:hanging="262"/>
        <w:spacing w:after="0" w:line="228" w:lineRule="auto"/>
        <w:tabs>
          <w:tab w:leader="none" w:pos="1558" w:val="left"/>
        </w:tabs>
        <w:numPr>
          <w:ilvl w:val="1"/>
          <w:numId w:val="50"/>
        </w:numPr>
        <w:rPr>
          <w:rFonts w:ascii="Arial" w:cs="Arial" w:eastAsia="Arial" w:hAnsi="Arial"/>
          <w:sz w:val="14"/>
          <w:szCs w:val="14"/>
          <w:color w:val="auto"/>
        </w:rPr>
      </w:pPr>
      <w:r>
        <w:rPr>
          <w:rFonts w:ascii="Arial" w:cs="Arial" w:eastAsia="Arial" w:hAnsi="Arial"/>
          <w:sz w:val="14"/>
          <w:szCs w:val="14"/>
          <w:color w:val="auto"/>
        </w:rPr>
        <w:t>expenses associated with our registration-eligible study for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critical limb ischemia in Japan as well as corresponding regulatory discussions support expenses;</w:t>
      </w:r>
    </w:p>
    <w:p>
      <w:pPr>
        <w:spacing w:after="0" w:line="106" w:lineRule="exact"/>
        <w:rPr>
          <w:rFonts w:ascii="Arial" w:cs="Arial" w:eastAsia="Arial" w:hAnsi="Arial"/>
          <w:sz w:val="14"/>
          <w:szCs w:val="14"/>
          <w:color w:val="auto"/>
        </w:rPr>
      </w:pPr>
    </w:p>
    <w:p>
      <w:pPr>
        <w:ind w:left="1540" w:right="80" w:hanging="262"/>
        <w:spacing w:after="0" w:line="281" w:lineRule="auto"/>
        <w:tabs>
          <w:tab w:leader="none" w:pos="1537" w:val="left"/>
        </w:tabs>
        <w:numPr>
          <w:ilvl w:val="1"/>
          <w:numId w:val="50"/>
        </w:numPr>
        <w:rPr>
          <w:rFonts w:ascii="Arial" w:cs="Arial" w:eastAsia="Arial" w:hAnsi="Arial"/>
          <w:sz w:val="14"/>
          <w:szCs w:val="14"/>
          <w:color w:val="auto"/>
        </w:rPr>
      </w:pPr>
      <w:r>
        <w:rPr>
          <w:rFonts w:ascii="Arial" w:cs="Arial" w:eastAsia="Arial" w:hAnsi="Arial"/>
          <w:sz w:val="14"/>
          <w:szCs w:val="14"/>
          <w:color w:val="auto"/>
        </w:rPr>
        <w:t>expenses associated with the preparation of our filing of an Investigational New Drug Application (“IND”), as well as study execution expenses for the clinical study of LSTA201 for treatment of DKD, a Phase 1b, open-label, proof-of-concept trial which includes six subjects in total;</w:t>
      </w:r>
    </w:p>
    <w:p>
      <w:pPr>
        <w:spacing w:after="0" w:line="79" w:lineRule="exact"/>
        <w:rPr>
          <w:rFonts w:ascii="Arial" w:cs="Arial" w:eastAsia="Arial" w:hAnsi="Arial"/>
          <w:sz w:val="14"/>
          <w:szCs w:val="14"/>
          <w:color w:val="auto"/>
        </w:rPr>
      </w:pPr>
    </w:p>
    <w:p>
      <w:pPr>
        <w:ind w:left="1540" w:right="80" w:hanging="262"/>
        <w:spacing w:after="0" w:line="321" w:lineRule="auto"/>
        <w:tabs>
          <w:tab w:leader="none" w:pos="1548" w:val="left"/>
        </w:tabs>
        <w:numPr>
          <w:ilvl w:val="1"/>
          <w:numId w:val="50"/>
        </w:numPr>
        <w:rPr>
          <w:rFonts w:ascii="Arial" w:cs="Arial" w:eastAsia="Arial" w:hAnsi="Arial"/>
          <w:sz w:val="13"/>
          <w:szCs w:val="13"/>
          <w:color w:val="auto"/>
        </w:rPr>
      </w:pPr>
      <w:r>
        <w:rPr>
          <w:rFonts w:ascii="Arial" w:cs="Arial" w:eastAsia="Arial" w:hAnsi="Arial"/>
          <w:sz w:val="13"/>
          <w:szCs w:val="13"/>
          <w:color w:val="auto"/>
        </w:rPr>
        <w:t>expenses associated with the addition of CMC activities for LSTA1, enrollment activities for the LSTA1 Phase 2b ASCEND study and preparatory activities associated with the design of a planned LSTA1 proof-of-concept basket trial in various solid tumors and in combination with the corresponding standards of care.</w:t>
      </w:r>
    </w:p>
    <w:p>
      <w:pPr>
        <w:spacing w:after="0" w:line="45" w:lineRule="exact"/>
        <w:rPr>
          <w:rFonts w:ascii="Arial" w:cs="Arial" w:eastAsia="Arial" w:hAnsi="Arial"/>
          <w:sz w:val="13"/>
          <w:szCs w:val="13"/>
          <w:color w:val="auto"/>
        </w:rPr>
      </w:pPr>
    </w:p>
    <w:p>
      <w:pPr>
        <w:jc w:val="both"/>
        <w:ind w:left="520" w:right="80" w:hanging="260"/>
        <w:spacing w:after="0" w:line="319" w:lineRule="auto"/>
        <w:tabs>
          <w:tab w:leader="none" w:pos="516" w:val="left"/>
        </w:tabs>
        <w:numPr>
          <w:ilvl w:val="0"/>
          <w:numId w:val="50"/>
        </w:numPr>
        <w:rPr>
          <w:rFonts w:ascii="Arial" w:cs="Arial" w:eastAsia="Arial" w:hAnsi="Arial"/>
          <w:sz w:val="12"/>
          <w:szCs w:val="12"/>
          <w:i w:val="1"/>
          <w:iCs w:val="1"/>
          <w:color w:val="auto"/>
        </w:rPr>
      </w:pPr>
      <w:r>
        <w:rPr>
          <w:rFonts w:ascii="Arial" w:cs="Arial" w:eastAsia="Arial" w:hAnsi="Arial"/>
          <w:sz w:val="12"/>
          <w:szCs w:val="12"/>
          <w:color w:val="auto"/>
        </w:rPr>
        <w:t>General and administrative expenses were approximately $14.1 million for the year ended December 31, 2022, compared to $11.5 million for the year ended December 31, 2021, representing an increase of approximately $2.7 million, or 23.2%. This was primarily due to a one-time increase in fees associated with the review of potential strategic transactions and Merger related costs, an increase in equity expense as a result of performance stock unit vesting, Merger option assumption expense and departing board member restricted stock unit vesting in addition to an increase in expenses associated with our annual stockholder meeting. Our general and administrative expenses is comprised of general corporate-related activities.</w:t>
      </w:r>
    </w:p>
    <w:p>
      <w:pPr>
        <w:spacing w:after="0" w:line="62"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Historically, to minimize our use of cash, we have used a variety of equity instruments as compensation to employees, consultants, directors and other service providers. The use of these equity instruments has resulted in non-cash charges to the results of operations, which has been significant in the past.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115"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Total other income is comprised primarily of investment income on cash, cash equivalents and marketable securities and a loss on sale related to the sale of our New Jersey net operating losses (“NJ NOLs”).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Benefit</w:t>
      </w:r>
    </w:p>
    <w:p>
      <w:pPr>
        <w:spacing w:after="0" w:line="125"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In February 2022, we received final approval from the New Jersey Economic Development Authority (“NJEDA”) under the Technology Business Tax Certificate Transfer Program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pacing w:after="0" w:line="78"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In April 2021, we received final approval from the NJEDA under the Program to sell a portion of our NJ NOLs, which subsequently were sold to a qualifying and approved buyer pursuant to the Program for net proceeds of $1.4 million. The $1.5 million of our NJ NOL tax benefits have been recorded as a benefit from income taxes and the loss on sale of $0.1 million recorded in other income (expense).</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Analysis of Liquidity and Capital Resources</w:t>
      </w:r>
    </w:p>
    <w:p>
      <w:pPr>
        <w:spacing w:after="0" w:line="119"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At December 31, 2022, we had cash, cash equivalents, and marketable securities of approximately $69.2 million, working capital of approximately $65.5 million, and stockholders’ equity of approximately $66.6 million.</w:t>
      </w:r>
    </w:p>
    <w:p>
      <w:pPr>
        <w:spacing w:after="0" w:line="79"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During the year ended December 31, 2022, we met our immediate cash requirements through existing cash balances. Additionally, we used equity and equity-linked instruments to pay for services and compensation.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cash provided by or (used in) operating, investing and financing activities were as follows (in thousands):</w:t>
      </w:r>
    </w:p>
    <w:p>
      <w:pPr>
        <w:spacing w:after="0" w:line="161" w:lineRule="exact"/>
        <w:rPr>
          <w:sz w:val="20"/>
          <w:szCs w:val="20"/>
          <w:color w:val="auto"/>
        </w:rPr>
      </w:pPr>
    </w:p>
    <w:tbl>
      <w:tblPr>
        <w:tblLayout w:type="fixed"/>
        <w:tblInd w:w="260" w:type="dxa"/>
        <w:tblCellMar>
          <w:top w:w="0" w:type="dxa"/>
          <w:left w:w="0" w:type="dxa"/>
          <w:bottom w:w="0" w:type="dxa"/>
          <w:right w:w="0" w:type="dxa"/>
        </w:tblCellMar>
      </w:tblPr>
      <w:tr>
        <w:trPr>
          <w:trHeight w:val="156"/>
        </w:trPr>
        <w:tc>
          <w:tcPr>
            <w:tcW w:w="844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r>
      <w:tr>
        <w:trPr>
          <w:trHeight w:val="160"/>
        </w:trPr>
        <w:tc>
          <w:tcPr>
            <w:tcW w:w="84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3"/>
                <w:szCs w:val="13"/>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shd w:val="clear" w:color="auto" w:fill="CCEEFF"/>
          </w:tcPr>
          <w:p>
            <w:pPr>
              <w:jc w:val="right"/>
              <w:ind w:right="67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(21,170)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(22,24</w:t>
            </w:r>
          </w:p>
        </w:tc>
      </w:tr>
      <w:tr>
        <w:trPr>
          <w:trHeight w:val="180"/>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28,911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5"/>
              </w:rPr>
              <w:t>(54,89</w:t>
            </w:r>
          </w:p>
        </w:tc>
      </w:tr>
      <w:tr>
        <w:trPr>
          <w:trHeight w:val="18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cash used in operating activities during the year ended December 31, 2022 totaled approximately $21.2 million, comprising (i) our net loss of $54.2 million, as adjusted for non-cash income and expenses totaling $33.9 million (which includes adjustments for equity-based compensation, depreciation and amortization, in process research and development expenses, and amortization/accretion of marketable securities), and (ii) changes in operating assets and liabilities of approximately $0.8 million.</w:t>
      </w:r>
    </w:p>
    <w:p>
      <w:pPr>
        <w:spacing w:after="0" w:line="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cash used in operating activities during the year ended December 31, 2021 totaled approximately $22.2 million, which is the sum of (i) our net loss of $27.5 million, as adjusted for non-cash income and expenses totaling $4.6 million (which includes adjustments for equity-based compensation, depreciation and amortization, and amortization/accretion of marketable securities), and (ii) changes in operating assets and liabilities of approximately $0.6 million.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cash provided by investing activities during the year ended December 31, 2022 totaled approximately $28.9 million and was primarily due to net sales of marketable securities (net of purchases of marketable securities) and partially offset by asset acquisition costs, net of cash acquired related to the Merger of $3.3 million.</w:t>
      </w:r>
    </w:p>
    <w:p>
      <w:pPr>
        <w:spacing w:after="0" w:line="7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cash used in investing activities during the year ended December 31, 2021 totaled approximately $54.9 million and was primarily due to net purchases of marketable securities (net of sales of marketable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cash used in financing activities during the year ended December 31, 2022 totaled $0.2 million, consisting primarily of tax withholding-related payments on net share settlement equity awards to employees.</w:t>
      </w:r>
    </w:p>
    <w:p>
      <w:pPr>
        <w:spacing w:after="0" w:line="7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Our cash provided by financing activities during the year ended December 31, 2021 primarily consisted of (i) net proceeds of $23.1 million through the issuance of common shares and warrants in our January 2021 private placement, (ii) net proceeds of $1.8 million in connection with warrant exercises, (iii) net proceeds of $60.6 million through the issuance of common shares and warrants in both of our February 2021 registered direct offerings, which was partially offset by tax withholding-related payments on net share settlement equity awards to employees.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and Capital Requirements Outlook</w:t>
      </w:r>
    </w:p>
    <w:p>
      <w:pPr>
        <w:spacing w:after="0" w:line="11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spacing w:after="0" w:line="84"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On June 4, 2021, we entered into an At The Market Offering Agreement (the “ATM Agreement”) with H.C. Wainwright &amp; Co., LLC as sales agent, in connection with an “at the market offering” under which we from time to time may offer and sell shares of our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As of December 31, 2022, we had not issued any shares under the ATM Agreement.</w:t>
      </w:r>
    </w:p>
    <w:p>
      <w:pPr>
        <w:spacing w:after="0" w:line="9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do not have any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1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requires management to make estimates and judgments that affect the amounts reported in the financial statements. We evaluate our estimates and assumptions on an ongoing basis. We base our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An accounting policy is considered to be critical if it is important to our financial condition and results of operations and if it requires management’s most difficult, subjective and complex judgments in its application. For a summary of all of our significant accounting policies, see Note 2 to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with Cend Therapeutics</w:t>
      </w:r>
    </w:p>
    <w:p>
      <w:pPr>
        <w:spacing w:after="0" w:line="11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On September 15, 2022, we, then operating as Caladrius Biosciences, Inc. (“Caladrius"), completed our acquisition of Cend (the “Merger”), in accordance with the terms of the Agreement and Plan of Merger and Reorganization (the “Merger Agreement”), dated as of April 26, 2022, by and among us, Cend and CS Cedar Merger Sub, Inc. (“Merger Sub”). We concluded that the Merger was an asset acquisition, as substantially all of the fair value of the non-monetary assets acquired was concentrated in in-process research and development (“IPR&amp;D”). We determined that the cost to acquire the Cend assets was $36.1 million, based on the fair value of the equity consideration issued, our initial investment, assumption of stock options and direct costs of the acquisition. The net assets acquired in connection with the Merger were recorded at their estimated fair values as of September 15, 2022, which was the date Merger was completed. Cend’s assets (except for cash and working capital) were measured and recognized as an allocation of the transaction price based on their relative fair values as of the transaction date with any value associated with IPR&amp;D with no alternative future use being expensed as reported in the consolidated statement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2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expense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we estimate the probability of achievement of the performance criteria and recognize compensation expense related to those awards expected to vest. We determine the fair value of option awards using the Black-Scholes option-pricing model which uses both historical and current market data to estimate fair value. This method incorporates various assumptions such as the risk-free interest rate, expected volatility, expected dividend yield and expected life of the options or warrants. The fair value of our restricted stock and restricted stock units is based on the closing market price of our common stock on the date of grant.</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financial statements and notes thereto required to be filed under this Item are presented commencing on page 72 of this Annual Report.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700" w:type="dxa"/>
            <w:vAlign w:val="bottom"/>
            <w:gridSpan w:val="4"/>
          </w:tcPr>
          <w:p>
            <w:pPr>
              <w:jc w:val="center"/>
              <w:ind w:right="3360"/>
              <w:spacing w:after="0"/>
              <w:rPr>
                <w:sz w:val="20"/>
                <w:szCs w:val="20"/>
                <w:color w:val="auto"/>
              </w:rPr>
            </w:pPr>
            <w:r>
              <w:rPr>
                <w:rFonts w:ascii="Arial" w:cs="Arial" w:eastAsia="Arial" w:hAnsi="Arial"/>
                <w:sz w:val="14"/>
                <w:szCs w:val="14"/>
                <w:b w:val="1"/>
                <w:bCs w:val="1"/>
                <w:color w:val="auto"/>
                <w:w w:val="90"/>
              </w:rPr>
              <w:t>Lisata Therapeutics, Inc. and Subsidiaries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8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9"/>
              </w:rPr>
              <w:t>Table of Contents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0640" w:type="dxa"/>
            <w:vAlign w:val="bottom"/>
            <w:gridSpan w:val="8"/>
            <w:shd w:val="clear" w:color="auto" w:fill="CCEEFF"/>
          </w:tcPr>
          <w:p>
            <w:pPr>
              <w:spacing w:after="0" w:line="129"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E32E1"/>
              </w:rPr>
              <w:t>(PCAOB ID Number</w:t>
            </w:r>
            <w:r>
              <w:rPr>
                <w:rFonts w:ascii="Arial" w:cs="Arial" w:eastAsia="Arial" w:hAnsi="Arial"/>
                <w:sz w:val="14"/>
                <w:szCs w:val="14"/>
                <w:color w:val="0000FF"/>
              </w:rPr>
              <w:t xml:space="preserve"> </w:t>
            </w:r>
            <w:r>
              <w:rPr>
                <w:rFonts w:ascii="Arial" w:cs="Arial" w:eastAsia="Arial" w:hAnsi="Arial"/>
                <w:sz w:val="11"/>
                <w:szCs w:val="11"/>
                <w:color w:val="000000"/>
              </w:rPr>
              <w:t>248</w:t>
            </w:r>
            <w:r>
              <w:rPr>
                <w:rFonts w:ascii="Arial" w:cs="Arial" w:eastAsia="Arial" w:hAnsi="Arial"/>
                <w:sz w:val="14"/>
                <w:szCs w:val="14"/>
                <w:color w:val="0E32E1"/>
              </w:rPr>
              <w:t>)</w:t>
            </w:r>
          </w:p>
        </w:tc>
        <w:tc>
          <w:tcPr>
            <w:tcW w:w="580" w:type="dxa"/>
            <w:vAlign w:val="bottom"/>
            <w:gridSpan w:val="2"/>
            <w:shd w:val="clear" w:color="auto" w:fill="CCEEFF"/>
          </w:tcPr>
          <w:p>
            <w:pPr>
              <w:jc w:val="right"/>
              <w:ind w:right="440"/>
              <w:spacing w:after="0" w:line="129" w:lineRule="exact"/>
              <w:rPr>
                <w:sz w:val="20"/>
                <w:szCs w:val="20"/>
                <w:color w:val="auto"/>
              </w:rPr>
            </w:pPr>
            <w:r>
              <w:rPr>
                <w:rFonts w:ascii="Arial" w:cs="Arial" w:eastAsia="Arial" w:hAnsi="Arial"/>
                <w:sz w:val="14"/>
                <w:szCs w:val="14"/>
                <w:color w:val="0000FF"/>
                <w:w w:val="76"/>
              </w:rPr>
              <w:t>71</w:t>
            </w:r>
          </w:p>
        </w:tc>
        <w:tc>
          <w:tcPr>
            <w:tcW w:w="20" w:type="dxa"/>
            <w:vAlign w:val="bottom"/>
          </w:tcPr>
          <w:p>
            <w:pPr>
              <w:spacing w:after="0"/>
              <w:rPr>
                <w:sz w:val="16"/>
                <w:szCs w:val="16"/>
                <w:color w:val="auto"/>
              </w:rPr>
            </w:pPr>
          </w:p>
        </w:tc>
      </w:tr>
      <w:tr>
        <w:trPr>
          <w:trHeight w:val="163"/>
        </w:trPr>
        <w:tc>
          <w:tcPr>
            <w:tcW w:w="40" w:type="dxa"/>
            <w:vAlign w:val="bottom"/>
          </w:tcPr>
          <w:p>
            <w:pPr>
              <w:spacing w:after="0"/>
              <w:rPr>
                <w:sz w:val="14"/>
                <w:szCs w:val="14"/>
                <w:color w:val="auto"/>
              </w:rPr>
            </w:pPr>
          </w:p>
        </w:tc>
        <w:tc>
          <w:tcPr>
            <w:tcW w:w="332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Financial Statements:</w:t>
            </w:r>
          </w:p>
        </w:tc>
        <w:tc>
          <w:tcPr>
            <w:tcW w:w="7320" w:type="dxa"/>
            <w:vAlign w:val="bottom"/>
            <w:tcBorders>
              <w:top w:val="single" w:sz="8" w:color="CCEEFF"/>
            </w:tcBorders>
            <w:gridSpan w:val="5"/>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0" w:type="dxa"/>
            <w:vAlign w:val="bottom"/>
            <w:tcBorders>
              <w:right w:val="single" w:sz="8" w:color="CCEEFF"/>
            </w:tcBorders>
          </w:tcPr>
          <w:p>
            <w:pPr>
              <w:spacing w:after="0"/>
              <w:rPr>
                <w:sz w:val="12"/>
                <w:szCs w:val="12"/>
                <w:color w:val="auto"/>
              </w:rPr>
            </w:pPr>
          </w:p>
        </w:tc>
        <w:tc>
          <w:tcPr>
            <w:tcW w:w="10640" w:type="dxa"/>
            <w:vAlign w:val="bottom"/>
            <w:gridSpan w:val="8"/>
            <w:shd w:val="clear" w:color="auto" w:fill="CCEEFF"/>
          </w:tcPr>
          <w:p>
            <w:pPr>
              <w:ind w:left="460"/>
              <w:spacing w:after="0" w:line="149" w:lineRule="exact"/>
              <w:rPr>
                <w:sz w:val="20"/>
                <w:szCs w:val="20"/>
                <w:color w:val="auto"/>
              </w:rPr>
            </w:pPr>
            <w:r>
              <w:rPr>
                <w:rFonts w:ascii="Arial" w:cs="Arial" w:eastAsia="Arial" w:hAnsi="Arial"/>
                <w:sz w:val="14"/>
                <w:szCs w:val="14"/>
                <w:color w:val="0000FF"/>
              </w:rPr>
              <w:t>Consolidated Balance Sheets at December 31, 2022 and 2021</w:t>
            </w:r>
          </w:p>
        </w:tc>
        <w:tc>
          <w:tcPr>
            <w:tcW w:w="5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0000FF"/>
                <w:w w:val="76"/>
              </w:rPr>
              <w:t>73</w:t>
            </w:r>
          </w:p>
        </w:tc>
        <w:tc>
          <w:tcPr>
            <w:tcW w:w="20" w:type="dxa"/>
            <w:vAlign w:val="bottom"/>
          </w:tcPr>
          <w:p>
            <w:pPr>
              <w:spacing w:after="0"/>
              <w:rPr>
                <w:sz w:val="12"/>
                <w:szCs w:val="12"/>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tcBorders>
              <w:left w:val="single" w:sz="8" w:color="CCEEFF"/>
            </w:tcBorders>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40" w:type="dxa"/>
            <w:vAlign w:val="bottom"/>
          </w:tcPr>
          <w:p>
            <w:pPr>
              <w:spacing w:after="0"/>
              <w:rPr>
                <w:sz w:val="12"/>
                <w:szCs w:val="12"/>
                <w:color w:val="auto"/>
              </w:rPr>
            </w:pPr>
          </w:p>
        </w:tc>
        <w:tc>
          <w:tcPr>
            <w:tcW w:w="10640" w:type="dxa"/>
            <w:vAlign w:val="bottom"/>
            <w:gridSpan w:val="8"/>
          </w:tcPr>
          <w:p>
            <w:pPr>
              <w:ind w:left="460"/>
              <w:spacing w:after="0" w:line="149" w:lineRule="exact"/>
              <w:rPr>
                <w:sz w:val="20"/>
                <w:szCs w:val="20"/>
                <w:color w:val="auto"/>
              </w:rPr>
            </w:pPr>
            <w:r>
              <w:rPr>
                <w:rFonts w:ascii="Arial" w:cs="Arial" w:eastAsia="Arial" w:hAnsi="Arial"/>
                <w:sz w:val="14"/>
                <w:szCs w:val="14"/>
                <w:color w:val="0000FF"/>
              </w:rPr>
              <w:t>Consolidated Statements of Operations - Years Ended December 31, 2022 and 2021</w:t>
            </w:r>
          </w:p>
        </w:tc>
        <w:tc>
          <w:tcPr>
            <w:tcW w:w="5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0000FF"/>
                <w:w w:val="76"/>
              </w:rPr>
              <w:t>74</w:t>
            </w:r>
          </w:p>
        </w:tc>
        <w:tc>
          <w:tcPr>
            <w:tcW w:w="20" w:type="dxa"/>
            <w:vAlign w:val="bottom"/>
          </w:tcPr>
          <w:p>
            <w:pPr>
              <w:spacing w:after="0"/>
              <w:rPr>
                <w:sz w:val="12"/>
                <w:szCs w:val="12"/>
                <w:color w:val="auto"/>
              </w:rPr>
            </w:pPr>
          </w:p>
        </w:tc>
      </w:tr>
      <w:tr>
        <w:trPr>
          <w:trHeight w:val="26"/>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40" w:type="dxa"/>
            <w:vAlign w:val="bottom"/>
            <w:tcBorders>
              <w:right w:val="single" w:sz="8" w:color="CCEEFF"/>
            </w:tcBorders>
          </w:tcPr>
          <w:p>
            <w:pPr>
              <w:spacing w:after="0"/>
              <w:rPr>
                <w:sz w:val="13"/>
                <w:szCs w:val="13"/>
                <w:color w:val="auto"/>
              </w:rPr>
            </w:pPr>
          </w:p>
        </w:tc>
        <w:tc>
          <w:tcPr>
            <w:tcW w:w="10640" w:type="dxa"/>
            <w:vAlign w:val="bottom"/>
            <w:gridSpan w:val="8"/>
            <w:shd w:val="clear" w:color="auto" w:fill="CCEEFF"/>
          </w:tcPr>
          <w:p>
            <w:pPr>
              <w:ind w:left="460"/>
              <w:spacing w:after="0" w:line="155" w:lineRule="exact"/>
              <w:rPr>
                <w:sz w:val="20"/>
                <w:szCs w:val="20"/>
                <w:color w:val="auto"/>
              </w:rPr>
            </w:pPr>
            <w:r>
              <w:rPr>
                <w:rFonts w:ascii="Arial" w:cs="Arial" w:eastAsia="Arial" w:hAnsi="Arial"/>
                <w:sz w:val="14"/>
                <w:szCs w:val="14"/>
                <w:color w:val="0000FF"/>
              </w:rPr>
              <w:t>Consolidated Statements of Comprehensive Loss - Years Ended December 31, 2022 and 2021</w:t>
            </w:r>
          </w:p>
        </w:tc>
        <w:tc>
          <w:tcPr>
            <w:tcW w:w="5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0000FF"/>
                <w:w w:val="76"/>
              </w:rPr>
              <w:t>75</w:t>
            </w:r>
          </w:p>
        </w:tc>
        <w:tc>
          <w:tcPr>
            <w:tcW w:w="20" w:type="dxa"/>
            <w:vAlign w:val="bottom"/>
          </w:tcPr>
          <w:p>
            <w:pPr>
              <w:spacing w:after="0"/>
              <w:rPr>
                <w:sz w:val="13"/>
                <w:szCs w:val="13"/>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left w:val="single" w:sz="8" w:color="0000FF"/>
            </w:tcBorders>
            <w:shd w:val="clear" w:color="auto" w:fill="0000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40" w:type="dxa"/>
            <w:vAlign w:val="bottom"/>
          </w:tcPr>
          <w:p>
            <w:pPr>
              <w:spacing w:after="0"/>
              <w:rPr>
                <w:sz w:val="12"/>
                <w:szCs w:val="12"/>
                <w:color w:val="auto"/>
              </w:rPr>
            </w:pPr>
          </w:p>
        </w:tc>
        <w:tc>
          <w:tcPr>
            <w:tcW w:w="10640" w:type="dxa"/>
            <w:vAlign w:val="bottom"/>
            <w:gridSpan w:val="8"/>
          </w:tcPr>
          <w:p>
            <w:pPr>
              <w:ind w:left="460"/>
              <w:spacing w:after="0" w:line="149" w:lineRule="exact"/>
              <w:rPr>
                <w:sz w:val="20"/>
                <w:szCs w:val="20"/>
                <w:color w:val="auto"/>
              </w:rPr>
            </w:pPr>
            <w:r>
              <w:rPr>
                <w:rFonts w:ascii="Arial" w:cs="Arial" w:eastAsia="Arial" w:hAnsi="Arial"/>
                <w:sz w:val="14"/>
                <w:szCs w:val="14"/>
                <w:color w:val="0000FF"/>
              </w:rPr>
              <w:t>Consolidated Statements of Equity - Years Ended December 31, 2022 and 2021</w:t>
            </w:r>
          </w:p>
        </w:tc>
        <w:tc>
          <w:tcPr>
            <w:tcW w:w="5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0000FF"/>
                <w:w w:val="76"/>
              </w:rPr>
              <w:t>76</w:t>
            </w:r>
          </w:p>
        </w:tc>
        <w:tc>
          <w:tcPr>
            <w:tcW w:w="20" w:type="dxa"/>
            <w:vAlign w:val="bottom"/>
          </w:tcPr>
          <w:p>
            <w:pPr>
              <w:spacing w:after="0"/>
              <w:rPr>
                <w:sz w:val="12"/>
                <w:szCs w:val="12"/>
                <w:color w:val="auto"/>
              </w:rPr>
            </w:pPr>
          </w:p>
        </w:tc>
      </w:tr>
      <w:tr>
        <w:trPr>
          <w:trHeight w:val="26"/>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40" w:type="dxa"/>
            <w:vAlign w:val="bottom"/>
            <w:tcBorders>
              <w:right w:val="single" w:sz="8" w:color="CCEEFF"/>
            </w:tcBorders>
          </w:tcPr>
          <w:p>
            <w:pPr>
              <w:spacing w:after="0"/>
              <w:rPr>
                <w:sz w:val="13"/>
                <w:szCs w:val="13"/>
                <w:color w:val="auto"/>
              </w:rPr>
            </w:pPr>
          </w:p>
        </w:tc>
        <w:tc>
          <w:tcPr>
            <w:tcW w:w="10640" w:type="dxa"/>
            <w:vAlign w:val="bottom"/>
            <w:gridSpan w:val="8"/>
            <w:shd w:val="clear" w:color="auto" w:fill="CCEEFF"/>
          </w:tcPr>
          <w:p>
            <w:pPr>
              <w:ind w:left="460"/>
              <w:spacing w:after="0" w:line="155" w:lineRule="exact"/>
              <w:rPr>
                <w:sz w:val="20"/>
                <w:szCs w:val="20"/>
                <w:color w:val="auto"/>
              </w:rPr>
            </w:pPr>
            <w:r>
              <w:rPr>
                <w:rFonts w:ascii="Arial" w:cs="Arial" w:eastAsia="Arial" w:hAnsi="Arial"/>
                <w:sz w:val="14"/>
                <w:szCs w:val="14"/>
                <w:color w:val="0000FF"/>
              </w:rPr>
              <w:t>Consolidated Statements of Cash Flows - Years Ended December 31, 2022 and 2021</w:t>
            </w:r>
          </w:p>
        </w:tc>
        <w:tc>
          <w:tcPr>
            <w:tcW w:w="5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0000FF"/>
                <w:w w:val="76"/>
              </w:rPr>
              <w:t>77</w:t>
            </w:r>
          </w:p>
        </w:tc>
        <w:tc>
          <w:tcPr>
            <w:tcW w:w="20" w:type="dxa"/>
            <w:vAlign w:val="bottom"/>
          </w:tcPr>
          <w:p>
            <w:pPr>
              <w:spacing w:after="0"/>
              <w:rPr>
                <w:sz w:val="13"/>
                <w:szCs w:val="13"/>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tcBorders>
              <w:left w:val="single" w:sz="8" w:color="0000FF"/>
            </w:tcBorders>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40" w:type="dxa"/>
            <w:vAlign w:val="bottom"/>
          </w:tcPr>
          <w:p>
            <w:pPr>
              <w:spacing w:after="0"/>
              <w:rPr>
                <w:sz w:val="12"/>
                <w:szCs w:val="12"/>
                <w:color w:val="auto"/>
              </w:rPr>
            </w:pPr>
          </w:p>
        </w:tc>
        <w:tc>
          <w:tcPr>
            <w:tcW w:w="10640" w:type="dxa"/>
            <w:vAlign w:val="bottom"/>
            <w:gridSpan w:val="8"/>
          </w:tcPr>
          <w:p>
            <w:pPr>
              <w:ind w:left="460"/>
              <w:spacing w:after="0" w:line="149" w:lineRule="exact"/>
              <w:rPr>
                <w:sz w:val="20"/>
                <w:szCs w:val="20"/>
                <w:color w:val="auto"/>
              </w:rPr>
            </w:pPr>
            <w:r>
              <w:rPr>
                <w:rFonts w:ascii="Arial" w:cs="Arial" w:eastAsia="Arial" w:hAnsi="Arial"/>
                <w:sz w:val="14"/>
                <w:szCs w:val="14"/>
                <w:color w:val="0000FF"/>
              </w:rPr>
              <w:t>Notes to Consolidated Financial Statements</w:t>
            </w:r>
          </w:p>
        </w:tc>
        <w:tc>
          <w:tcPr>
            <w:tcW w:w="5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0000FF"/>
                <w:w w:val="76"/>
              </w:rPr>
              <w:t>70</w:t>
            </w:r>
          </w:p>
        </w:tc>
        <w:tc>
          <w:tcPr>
            <w:tcW w:w="20" w:type="dxa"/>
            <w:vAlign w:val="bottom"/>
          </w:tcPr>
          <w:p>
            <w:pPr>
              <w:spacing w:after="0"/>
              <w:rPr>
                <w:sz w:val="12"/>
                <w:szCs w:val="12"/>
                <w:color w:val="auto"/>
              </w:rPr>
            </w:pPr>
          </w:p>
        </w:tc>
      </w:tr>
      <w:tr>
        <w:trPr>
          <w:trHeight w:val="701"/>
        </w:trPr>
        <w:tc>
          <w:tcPr>
            <w:tcW w:w="500" w:type="dxa"/>
            <w:vAlign w:val="bottom"/>
            <w:gridSpan w:val="2"/>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2840" w:type="dxa"/>
            <w:vAlign w:val="bottom"/>
            <w:gridSpan w:val="5"/>
          </w:tcPr>
          <w:p>
            <w:pPr>
              <w:jc w:val="center"/>
              <w:ind w:left="2429"/>
              <w:spacing w:after="0"/>
              <w:rPr>
                <w:sz w:val="20"/>
                <w:szCs w:val="20"/>
                <w:color w:val="auto"/>
              </w:rPr>
            </w:pPr>
            <w:r>
              <w:rPr>
                <w:rFonts w:ascii="Arial" w:cs="Arial" w:eastAsia="Arial" w:hAnsi="Arial"/>
                <w:sz w:val="14"/>
                <w:szCs w:val="14"/>
                <w:color w:val="auto"/>
                <w:w w:val="89"/>
              </w:rPr>
              <w:t>70</w:t>
            </w:r>
          </w:p>
        </w:tc>
        <w:tc>
          <w:tcPr>
            <w:tcW w:w="48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 of Lisata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have audited the accompanying consolidated balance sheets of Lisata Therapeutics, Inc., (a Delaware corporation) and subsidiaries (the “Company”) as of December 31, 2022 and 2021, the related consolidated statements of operations, comprehensive loss,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3" w:lineRule="exact"/>
        <w:rPr>
          <w:sz w:val="20"/>
          <w:szCs w:val="20"/>
          <w:color w:val="auto"/>
        </w:rPr>
      </w:pPr>
    </w:p>
    <w:p>
      <w:pPr>
        <w:ind w:right="12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19" w:lineRule="exact"/>
        <w:rPr>
          <w:sz w:val="20"/>
          <w:szCs w:val="20"/>
          <w:color w:val="auto"/>
        </w:rPr>
      </w:pPr>
    </w:p>
    <w:p>
      <w:pPr>
        <w:ind w:right="500"/>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Determination of accounting acquirer and assessment of the accounting treatment</w:t>
      </w:r>
    </w:p>
    <w:p>
      <w:pPr>
        <w:spacing w:after="0" w:line="125"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As described further in note 1 to the financial statements, the Company executed a Merger Agreement and acquired Cend Therapeutics, Inc. ("Cend") on September 15, 2022. We identified the determination of the accounting acquirer and assessment of the accounting treatment in the merger with Cend as a critical audit matter.</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principal considerations for our determination identified the determination of the accounting acquirer and assessment of the accounting treatment in the merger with Cend is a critical audit matter are that the merger was accounted for as an asset acquisition, with the Company being identified as the accounting acquirer. Evaluating the Company's accounting treatment of the merger required especially subjective auditor judgment. Specifically, a high degree of auditor judgment was required to evaluate the Company's determination of the accounting acquirer and assessment of the transaction as an asset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determination of the accounting acquirer and assessment of the accounting treatment included the following, among others.</w:t>
      </w:r>
    </w:p>
    <w:p>
      <w:pPr>
        <w:spacing w:after="0" w:line="125" w:lineRule="exact"/>
        <w:rPr>
          <w:sz w:val="20"/>
          <w:szCs w:val="20"/>
          <w:color w:val="auto"/>
        </w:rPr>
      </w:pPr>
    </w:p>
    <w:p>
      <w:pPr>
        <w:ind w:left="520" w:right="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review of management's accounting memorandum that documented the factors the Company considered in determining the accounting acquirer, including voting interests held by the former shareholder groups and the composition of the board of directors and senior management of the combined Company. In addition, we inspected the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 w:right="359" w:bottom="1440" w:gutter="0" w:footer="0" w:header="0"/>
        </w:sectPr>
      </w:pPr>
    </w:p>
    <w:bookmarkStart w:id="72" w:name="page73"/>
    <w:bookmarkEnd w:id="7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Company's Merger Agreement and assessed the terms in the agreement and compared them to the Company's accounting memorandum.</w:t>
      </w:r>
    </w:p>
    <w:p>
      <w:pPr>
        <w:spacing w:after="0" w:line="115" w:lineRule="exact"/>
        <w:rPr>
          <w:sz w:val="20"/>
          <w:szCs w:val="20"/>
          <w:color w:val="auto"/>
        </w:rPr>
      </w:pPr>
    </w:p>
    <w:p>
      <w:pPr>
        <w:ind w:left="520" w:hanging="260"/>
        <w:spacing w:after="0" w:line="28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tested and consulted with our national office regarding the Company's determination of the accounting acquiror including the assessment of the voting interests of the various shareholder groups held in the Company post transaction and the composition of the board of directors and senior management of the combined entities.</w:t>
      </w:r>
    </w:p>
    <w:p>
      <w:pPr>
        <w:spacing w:after="0" w:line="79"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Additionally, we evaluated the composition and amounts of the assets acquired in the transaction and whether Cend contained processes in place to generate outputs in the assessment of the transaction as an asset acquisition.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2011.</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30, 2023</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0"/>
          <w:szCs w:val="10"/>
          <w:u w:val="single" w:color="auto"/>
          <w:color w:val="0000FF"/>
        </w:rPr>
        <w:t>Index</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Current Assets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Prepaid and other current assets</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and equipment, net</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Acquired license-intangible, net</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assets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LIABILITIES, NON-CONTROLLING INTERESTS AND EQUITY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Liabilities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(In thousands, except share data)</w:t>
      </w:r>
    </w:p>
    <w:tbl>
      <w:tblPr>
        <w:tblLayout w:type="fixed"/>
        <w:tblInd w:w="4620" w:type="dxa"/>
        <w:tblCellMar>
          <w:top w:w="0" w:type="dxa"/>
          <w:left w:w="0" w:type="dxa"/>
          <w:bottom w:w="0" w:type="dxa"/>
          <w:right w:w="0" w:type="dxa"/>
        </w:tblCellMar>
      </w:tblPr>
      <w:tr>
        <w:trPr>
          <w:trHeight w:val="148"/>
        </w:trPr>
        <w:tc>
          <w:tcPr>
            <w:tcW w:w="18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140" w:type="dxa"/>
            <w:vAlign w:val="bottom"/>
          </w:tcPr>
          <w:p>
            <w:pPr>
              <w:jc w:val="right"/>
              <w:ind w:right="216"/>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8"/>
        </w:trPr>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r>
      <w:tr>
        <w:trPr>
          <w:trHeight w:val="498"/>
        </w:trPr>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32,154</w:t>
            </w:r>
          </w:p>
        </w:tc>
        <w:tc>
          <w:tcPr>
            <w:tcW w:w="80" w:type="dxa"/>
            <w:vAlign w:val="bottom"/>
          </w:tcPr>
          <w:p>
            <w:pPr>
              <w:spacing w:after="0"/>
              <w:rPr>
                <w:sz w:val="24"/>
                <w:szCs w:val="2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24,647</w:t>
            </w:r>
          </w:p>
        </w:tc>
      </w:tr>
      <w:tr>
        <w:trPr>
          <w:trHeight w:val="170"/>
        </w:trPr>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37,072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70,323</w:t>
            </w:r>
          </w:p>
        </w:tc>
      </w:tr>
      <w:tr>
        <w:trPr>
          <w:trHeight w:val="172"/>
        </w:trPr>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2,650</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1,212</w:t>
            </w:r>
          </w:p>
        </w:tc>
      </w:tr>
      <w:tr>
        <w:trPr>
          <w:trHeight w:val="158"/>
        </w:trPr>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71,876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96,182</w:t>
            </w:r>
          </w:p>
        </w:tc>
      </w:tr>
      <w:tr>
        <w:trPr>
          <w:trHeight w:val="170"/>
        </w:trPr>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70"/>
        </w:trPr>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w:t>
            </w:r>
          </w:p>
        </w:tc>
      </w:tr>
      <w:tr>
        <w:trPr>
          <w:trHeight w:val="160"/>
        </w:trPr>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73,034</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97,008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9"/>
        </w:trPr>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2,655</w:t>
            </w:r>
          </w:p>
        </w:tc>
        <w:tc>
          <w:tcPr>
            <w:tcW w:w="80" w:type="dxa"/>
            <w:vAlign w:val="bottom"/>
          </w:tcPr>
          <w:p>
            <w:pPr>
              <w:spacing w:after="0"/>
              <w:rPr>
                <w:sz w:val="24"/>
                <w:szCs w:val="2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1,934</w:t>
            </w:r>
          </w:p>
        </w:tc>
      </w:tr>
      <w:tr>
        <w:trPr>
          <w:trHeight w:val="170"/>
        </w:trPr>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-1552575</wp:posOffset>
            </wp:positionV>
            <wp:extent cx="7148195"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-1330325</wp:posOffset>
            </wp:positionV>
            <wp:extent cx="7148195"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-1115060</wp:posOffset>
            </wp:positionV>
            <wp:extent cx="7148195"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-892810</wp:posOffset>
            </wp:positionV>
            <wp:extent cx="7148195"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-676910</wp:posOffset>
            </wp:positionV>
            <wp:extent cx="7148195"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-441325</wp:posOffset>
            </wp:positionV>
            <wp:extent cx="7148195"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-212090</wp:posOffset>
            </wp:positionV>
            <wp:extent cx="7148195"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60" w:space="180"/>
            <w:col w:w="7340"/>
          </w:cols>
          <w:pgMar w:left="30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165"/>
        </w:trPr>
        <w:tc>
          <w:tcPr>
            <w:tcW w:w="8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current liabilities</w:t>
            </w:r>
          </w:p>
        </w:tc>
        <w:tc>
          <w:tcPr>
            <w:tcW w:w="4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6,383</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4,523</w:t>
            </w:r>
          </w:p>
        </w:tc>
        <w:tc>
          <w:tcPr>
            <w:tcW w:w="0" w:type="dxa"/>
            <w:vAlign w:val="bottom"/>
          </w:tcPr>
          <w:p>
            <w:pPr>
              <w:spacing w:after="0"/>
              <w:rPr>
                <w:sz w:val="1"/>
                <w:szCs w:val="1"/>
                <w:color w:val="auto"/>
              </w:rPr>
            </w:pPr>
          </w:p>
        </w:tc>
      </w:tr>
      <w:tr>
        <w:trPr>
          <w:trHeight w:val="168"/>
        </w:trPr>
        <w:tc>
          <w:tcPr>
            <w:tcW w:w="85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Other long-term liabilities</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63"/>
        </w:trPr>
        <w:tc>
          <w:tcPr>
            <w:tcW w:w="8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liabilities</w:t>
            </w: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5,008</w:t>
            </w:r>
          </w:p>
        </w:tc>
        <w:tc>
          <w:tcPr>
            <w:tcW w:w="0" w:type="dxa"/>
            <w:vAlign w:val="bottom"/>
          </w:tcPr>
          <w:p>
            <w:pPr>
              <w:spacing w:after="0"/>
              <w:rPr>
                <w:sz w:val="1"/>
                <w:szCs w:val="1"/>
                <w:color w:val="auto"/>
              </w:rPr>
            </w:pPr>
          </w:p>
        </w:tc>
      </w:tr>
      <w:tr>
        <w:trPr>
          <w:trHeight w:val="148"/>
        </w:trPr>
        <w:tc>
          <w:tcPr>
            <w:tcW w:w="8540" w:type="dxa"/>
            <w:vAlign w:val="bottom"/>
          </w:tcPr>
          <w:p>
            <w:pPr>
              <w:spacing w:after="0" w:line="146" w:lineRule="exact"/>
              <w:rPr>
                <w:sz w:val="20"/>
                <w:szCs w:val="20"/>
                <w:color w:val="auto"/>
              </w:rPr>
            </w:pPr>
            <w:r>
              <w:rPr>
                <w:rFonts w:ascii="Arial" w:cs="Arial" w:eastAsia="Arial" w:hAnsi="Arial"/>
                <w:sz w:val="13"/>
                <w:szCs w:val="13"/>
                <w:b w:val="1"/>
                <w:bCs w:val="1"/>
                <w:color w:val="auto"/>
              </w:rPr>
              <w:t>Commitments and Contingencies (Note 14)</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Stockholders' Equity</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540" w:type="dxa"/>
            <w:vAlign w:val="bottom"/>
          </w:tcPr>
          <w:p>
            <w:pPr>
              <w:ind w:left="400"/>
              <w:spacing w:after="0" w:line="131" w:lineRule="exact"/>
              <w:rPr>
                <w:sz w:val="20"/>
                <w:szCs w:val="20"/>
                <w:color w:val="auto"/>
              </w:rPr>
            </w:pPr>
            <w:r>
              <w:rPr>
                <w:rFonts w:ascii="Arial" w:cs="Arial" w:eastAsia="Arial" w:hAnsi="Arial"/>
                <w:sz w:val="13"/>
                <w:szCs w:val="13"/>
                <w:color w:val="auto"/>
                <w:w w:val="89"/>
              </w:rPr>
              <w:t>Preferred stock; authorized, 20,000,000 shares Series B convertible redeemable preferred stock liquidation value, 0.000067 share of common stock, $0.01 par</w:t>
            </w:r>
          </w:p>
        </w:tc>
        <w:tc>
          <w:tcPr>
            <w:tcW w:w="44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8540" w:type="dxa"/>
            <w:vAlign w:val="bottom"/>
          </w:tcPr>
          <w:p>
            <w:pPr>
              <w:ind w:left="400"/>
              <w:spacing w:after="0"/>
              <w:rPr>
                <w:sz w:val="20"/>
                <w:szCs w:val="20"/>
                <w:color w:val="auto"/>
              </w:rPr>
            </w:pPr>
            <w:r>
              <w:rPr>
                <w:rFonts w:ascii="Arial" w:cs="Arial" w:eastAsia="Arial" w:hAnsi="Arial"/>
                <w:sz w:val="13"/>
                <w:szCs w:val="13"/>
                <w:color w:val="auto"/>
              </w:rPr>
              <w:t>value; 825,000 shares designated; issued and outstanding, 10,000 shares at December 31, 2022 and December 31, 2021, respectively</w:t>
            </w:r>
          </w:p>
        </w:tc>
        <w:tc>
          <w:tcPr>
            <w:tcW w:w="4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540" w:type="dxa"/>
            <w:vAlign w:val="bottom"/>
            <w:shd w:val="clear" w:color="auto" w:fill="CCEEFF"/>
          </w:tcPr>
          <w:p>
            <w:pPr>
              <w:ind w:left="400"/>
              <w:spacing w:after="0" w:line="134" w:lineRule="exact"/>
              <w:rPr>
                <w:sz w:val="20"/>
                <w:szCs w:val="20"/>
                <w:color w:val="auto"/>
              </w:rPr>
            </w:pPr>
            <w:r>
              <w:rPr>
                <w:rFonts w:ascii="Arial" w:cs="Arial" w:eastAsia="Arial" w:hAnsi="Arial"/>
                <w:sz w:val="13"/>
                <w:szCs w:val="13"/>
                <w:color w:val="auto"/>
                <w:w w:val="91"/>
              </w:rPr>
              <w:t>Common stock, $0.001 par value, authorized 33,333,333 shares; issued 7,866,799 and 3,986,719 shares, at December 31, 2022 and December 31, 2021,</w:t>
            </w: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6"/>
        </w:trPr>
        <w:tc>
          <w:tcPr>
            <w:tcW w:w="85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respectively; and outstanding, 7,866,061 and 3,985,981 shares, at December 31, 2022 and December 31, 2021, respectively</w:t>
            </w:r>
          </w:p>
        </w:tc>
        <w:tc>
          <w:tcPr>
            <w:tcW w:w="4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54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574,548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546,044</w:t>
            </w:r>
          </w:p>
        </w:tc>
        <w:tc>
          <w:tcPr>
            <w:tcW w:w="0" w:type="dxa"/>
            <w:vAlign w:val="bottom"/>
          </w:tcPr>
          <w:p>
            <w:pPr>
              <w:spacing w:after="0"/>
              <w:rPr>
                <w:sz w:val="1"/>
                <w:szCs w:val="1"/>
                <w:color w:val="auto"/>
              </w:rPr>
            </w:pPr>
          </w:p>
        </w:tc>
      </w:tr>
      <w:tr>
        <w:trPr>
          <w:trHeight w:val="172"/>
        </w:trPr>
        <w:tc>
          <w:tcPr>
            <w:tcW w:w="8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Treasury stock, at cost; 738 shares at December 31, 2022 and December 31, 2021 respectively</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68"/>
        </w:trPr>
        <w:tc>
          <w:tcPr>
            <w:tcW w:w="8540" w:type="dxa"/>
            <w:vAlign w:val="bottom"/>
          </w:tcPr>
          <w:p>
            <w:pPr>
              <w:ind w:left="160"/>
              <w:spacing w:after="0"/>
              <w:rPr>
                <w:sz w:val="20"/>
                <w:szCs w:val="20"/>
                <w:color w:val="auto"/>
              </w:rPr>
            </w:pPr>
            <w:r>
              <w:rPr>
                <w:rFonts w:ascii="Arial" w:cs="Arial" w:eastAsia="Arial" w:hAnsi="Arial"/>
                <w:sz w:val="13"/>
                <w:szCs w:val="13"/>
                <w:color w:val="auto"/>
              </w:rPr>
              <w:t>Accumulated deficit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(507,241)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(453,016)</w:t>
            </w:r>
          </w:p>
        </w:tc>
        <w:tc>
          <w:tcPr>
            <w:tcW w:w="0" w:type="dxa"/>
            <w:vAlign w:val="bottom"/>
          </w:tcPr>
          <w:p>
            <w:pPr>
              <w:spacing w:after="0"/>
              <w:rPr>
                <w:sz w:val="1"/>
                <w:szCs w:val="1"/>
                <w:color w:val="auto"/>
              </w:rPr>
            </w:pPr>
          </w:p>
        </w:tc>
      </w:tr>
      <w:tr>
        <w:trPr>
          <w:trHeight w:val="172"/>
        </w:trPr>
        <w:tc>
          <w:tcPr>
            <w:tcW w:w="8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Accumulated other comprehensive loss</w:t>
            </w: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8"/>
        </w:trPr>
        <w:tc>
          <w:tcPr>
            <w:tcW w:w="8540" w:type="dxa"/>
            <w:vAlign w:val="bottom"/>
          </w:tcPr>
          <w:p>
            <w:pPr>
              <w:ind w:left="360"/>
              <w:spacing w:after="0"/>
              <w:rPr>
                <w:sz w:val="20"/>
                <w:szCs w:val="20"/>
                <w:color w:val="auto"/>
              </w:rPr>
            </w:pPr>
            <w:r>
              <w:rPr>
                <w:rFonts w:ascii="Arial" w:cs="Arial" w:eastAsia="Arial" w:hAnsi="Arial"/>
                <w:sz w:val="13"/>
                <w:szCs w:val="13"/>
                <w:color w:val="auto"/>
              </w:rPr>
              <w:t>Total Lisata Therapeutics, Inc. stockholders' equity</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66,578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92,254</w:t>
            </w:r>
          </w:p>
        </w:tc>
        <w:tc>
          <w:tcPr>
            <w:tcW w:w="0" w:type="dxa"/>
            <w:vAlign w:val="bottom"/>
          </w:tcPr>
          <w:p>
            <w:pPr>
              <w:spacing w:after="0"/>
              <w:rPr>
                <w:sz w:val="1"/>
                <w:szCs w:val="1"/>
                <w:color w:val="auto"/>
              </w:rPr>
            </w:pPr>
          </w:p>
        </w:tc>
      </w:tr>
      <w:tr>
        <w:trPr>
          <w:trHeight w:val="172"/>
        </w:trPr>
        <w:tc>
          <w:tcPr>
            <w:tcW w:w="8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Non-controlling interests</w:t>
            </w: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58"/>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equity</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66,324</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92,000</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liabilities, non-controlling interests and equity</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73,034</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97,008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thousands, except per share data)</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862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r>
      <w:tr>
        <w:trPr>
          <w:trHeight w:val="158"/>
        </w:trPr>
        <w:tc>
          <w:tcPr>
            <w:tcW w:w="86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r>
      <w:tr>
        <w:trPr>
          <w:trHeight w:val="152"/>
        </w:trPr>
        <w:tc>
          <w:tcPr>
            <w:tcW w:w="86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2"/>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17,576</w:t>
            </w:r>
          </w:p>
        </w:tc>
      </w:tr>
      <w:tr>
        <w:trPr>
          <w:trHeight w:val="168"/>
        </w:trPr>
        <w:tc>
          <w:tcPr>
            <w:tcW w:w="8620" w:type="dxa"/>
            <w:vAlign w:val="bottom"/>
          </w:tcPr>
          <w:p>
            <w:pPr>
              <w:ind w:left="20"/>
              <w:spacing w:after="0"/>
              <w:rPr>
                <w:sz w:val="20"/>
                <w:szCs w:val="20"/>
                <w:color w:val="auto"/>
              </w:rPr>
            </w:pPr>
            <w:r>
              <w:rPr>
                <w:rFonts w:ascii="Arial" w:cs="Arial" w:eastAsia="Arial" w:hAnsi="Arial"/>
                <w:sz w:val="13"/>
                <w:szCs w:val="13"/>
                <w:color w:val="auto"/>
              </w:rPr>
              <w:t>In-process research and development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30,393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14,141</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11,474</w:t>
            </w:r>
          </w:p>
        </w:tc>
      </w:tr>
      <w:tr>
        <w:trPr>
          <w:trHeight w:val="158"/>
        </w:trPr>
        <w:tc>
          <w:tcPr>
            <w:tcW w:w="8620" w:type="dxa"/>
            <w:vAlign w:val="bottom"/>
          </w:tcPr>
          <w:p>
            <w:pPr>
              <w:ind w:left="180"/>
              <w:spacing w:after="0"/>
              <w:rPr>
                <w:sz w:val="20"/>
                <w:szCs w:val="20"/>
                <w:color w:val="auto"/>
              </w:rPr>
            </w:pPr>
            <w:r>
              <w:rPr>
                <w:rFonts w:ascii="Arial" w:cs="Arial" w:eastAsia="Arial" w:hAnsi="Arial"/>
                <w:sz w:val="13"/>
                <w:szCs w:val="13"/>
                <w:color w:val="auto"/>
              </w:rPr>
              <w:t>Operating expenses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57,601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29,050</w:t>
            </w:r>
          </w:p>
        </w:tc>
      </w:tr>
      <w:tr>
        <w:trPr>
          <w:trHeight w:val="204"/>
        </w:trPr>
        <w:tc>
          <w:tcPr>
            <w:tcW w:w="8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68"/>
        </w:trPr>
        <w:tc>
          <w:tcPr>
            <w:tcW w:w="8620" w:type="dxa"/>
            <w:vAlign w:val="bottom"/>
          </w:tcPr>
          <w:p>
            <w:pPr>
              <w:ind w:left="180"/>
              <w:spacing w:after="0"/>
              <w:rPr>
                <w:sz w:val="20"/>
                <w:szCs w:val="20"/>
                <w:color w:val="auto"/>
              </w:rPr>
            </w:pPr>
            <w:r>
              <w:rPr>
                <w:rFonts w:ascii="Arial" w:cs="Arial" w:eastAsia="Arial" w:hAnsi="Arial"/>
                <w:sz w:val="13"/>
                <w:szCs w:val="13"/>
                <w:color w:val="auto"/>
              </w:rPr>
              <w:t>Operating loss</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(57,601)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(29,050)</w:t>
            </w:r>
          </w:p>
        </w:tc>
      </w:tr>
      <w:tr>
        <w:trPr>
          <w:trHeight w:val="204"/>
        </w:trPr>
        <w:tc>
          <w:tcPr>
            <w:tcW w:w="8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68"/>
        </w:trPr>
        <w:tc>
          <w:tcPr>
            <w:tcW w:w="862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8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income, net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8"/>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expense, net</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r>
      <w:tr>
        <w:trPr>
          <w:trHeight w:val="160"/>
        </w:trPr>
        <w:tc>
          <w:tcPr>
            <w:tcW w:w="8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other income</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84"/>
        </w:trPr>
        <w:tc>
          <w:tcPr>
            <w:tcW w:w="8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before benefit from income taxes and noncontrolling interests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(56,704)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(28,974)</w:t>
            </w:r>
          </w:p>
        </w:tc>
      </w:tr>
      <w:tr>
        <w:trPr>
          <w:trHeight w:val="168"/>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Benefit from income taxes</w:t>
            </w: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(2,479)</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w:t>
            </w:r>
          </w:p>
        </w:tc>
      </w:tr>
      <w:tr>
        <w:trPr>
          <w:trHeight w:val="163"/>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(54,225)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(27,466)</w:t>
            </w:r>
          </w:p>
        </w:tc>
      </w:tr>
      <w:tr>
        <w:trPr>
          <w:trHeight w:val="168"/>
        </w:trPr>
        <w:tc>
          <w:tcPr>
            <w:tcW w:w="8620" w:type="dxa"/>
            <w:vAlign w:val="bottom"/>
          </w:tcPr>
          <w:p>
            <w:pPr>
              <w:ind w:left="180"/>
              <w:spacing w:after="0"/>
              <w:rPr>
                <w:sz w:val="20"/>
                <w:szCs w:val="20"/>
                <w:color w:val="auto"/>
              </w:rPr>
            </w:pPr>
            <w:r>
              <w:rPr>
                <w:rFonts w:ascii="Arial" w:cs="Arial" w:eastAsia="Arial" w:hAnsi="Arial"/>
                <w:sz w:val="13"/>
                <w:szCs w:val="13"/>
                <w:color w:val="auto"/>
              </w:rPr>
              <w:t>Less - net income (loss) attributable to noncontrolling interests</w:t>
            </w:r>
          </w:p>
        </w:tc>
        <w:tc>
          <w:tcPr>
            <w:tcW w:w="7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Lisata Therapeutics, Inc. common stockholders</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(54,225)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(27,466)</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02"/>
        </w:trPr>
        <w:tc>
          <w:tcPr>
            <w:tcW w:w="8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68"/>
        </w:trPr>
        <w:tc>
          <w:tcPr>
            <w:tcW w:w="8620" w:type="dxa"/>
            <w:vAlign w:val="bottom"/>
          </w:tcPr>
          <w:p>
            <w:pPr>
              <w:ind w:left="20"/>
              <w:spacing w:after="0"/>
              <w:rPr>
                <w:sz w:val="20"/>
                <w:szCs w:val="20"/>
                <w:color w:val="auto"/>
              </w:rPr>
            </w:pPr>
            <w:r>
              <w:rPr>
                <w:rFonts w:ascii="Arial" w:cs="Arial" w:eastAsia="Arial" w:hAnsi="Arial"/>
                <w:sz w:val="13"/>
                <w:szCs w:val="13"/>
                <w:b w:val="1"/>
                <w:bCs w:val="1"/>
                <w:color w:val="auto"/>
              </w:rPr>
              <w:t>Basic and diluted loss per share:</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Lisata Therapeutics, Inc. common stockholders</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r>
      <w:tr>
        <w:trPr>
          <w:trHeight w:val="202"/>
        </w:trPr>
        <w:tc>
          <w:tcPr>
            <w:tcW w:w="8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70"/>
        </w:trPr>
        <w:tc>
          <w:tcPr>
            <w:tcW w:w="8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Weighted average common shares outstanding:</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5"/>
        </w:trPr>
        <w:tc>
          <w:tcPr>
            <w:tcW w:w="8620" w:type="dxa"/>
            <w:vAlign w:val="bottom"/>
          </w:tcPr>
          <w:p>
            <w:pPr>
              <w:ind w:left="20"/>
              <w:spacing w:after="0"/>
              <w:rPr>
                <w:sz w:val="20"/>
                <w:szCs w:val="20"/>
                <w:color w:val="auto"/>
              </w:rPr>
            </w:pPr>
            <w:r>
              <w:rPr>
                <w:rFonts w:ascii="Arial" w:cs="Arial" w:eastAsia="Arial" w:hAnsi="Arial"/>
                <w:sz w:val="13"/>
                <w:szCs w:val="13"/>
                <w:color w:val="auto"/>
              </w:rPr>
              <w:t>Basic and diluted shares</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5,180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3,688</w:t>
            </w: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r>
      <w:tr>
        <w:trPr>
          <w:trHeight w:val="160"/>
        </w:trPr>
        <w:tc>
          <w:tcPr>
            <w:tcW w:w="86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r>
      <w:tr>
        <w:trPr>
          <w:trHeight w:val="170"/>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(54,225)</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(27,466)</w:t>
            </w:r>
          </w:p>
        </w:tc>
      </w:tr>
      <w:tr>
        <w:trPr>
          <w:trHeight w:val="202"/>
        </w:trPr>
        <w:tc>
          <w:tcPr>
            <w:tcW w:w="8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70"/>
        </w:trPr>
        <w:tc>
          <w:tcPr>
            <w:tcW w:w="8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68"/>
        </w:trPr>
        <w:tc>
          <w:tcPr>
            <w:tcW w:w="8640" w:type="dxa"/>
            <w:vAlign w:val="bottom"/>
          </w:tcPr>
          <w:p>
            <w:pPr>
              <w:ind w:left="180"/>
              <w:spacing w:after="0"/>
              <w:rPr>
                <w:sz w:val="20"/>
                <w:szCs w:val="20"/>
                <w:color w:val="auto"/>
              </w:rPr>
            </w:pPr>
            <w:r>
              <w:rPr>
                <w:rFonts w:ascii="Arial" w:cs="Arial" w:eastAsia="Arial" w:hAnsi="Arial"/>
                <w:sz w:val="13"/>
                <w:szCs w:val="13"/>
                <w:color w:val="auto"/>
              </w:rPr>
              <w:t>Available for sale securities - net unrealized gain (loss)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72"/>
        </w:trPr>
        <w:tc>
          <w:tcPr>
            <w:tcW w:w="8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Cumulative translation adjustment arising during the period</w:t>
            </w: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640" w:type="dxa"/>
            <w:vAlign w:val="bottom"/>
          </w:tcPr>
          <w:p>
            <w:pPr>
              <w:ind w:left="180"/>
              <w:spacing w:after="0"/>
              <w:rPr>
                <w:sz w:val="20"/>
                <w:szCs w:val="20"/>
                <w:color w:val="auto"/>
              </w:rPr>
            </w:pPr>
            <w:r>
              <w:rPr>
                <w:rFonts w:ascii="Arial" w:cs="Arial" w:eastAsia="Arial" w:hAnsi="Arial"/>
                <w:sz w:val="13"/>
                <w:szCs w:val="13"/>
                <w:color w:val="auto"/>
              </w:rPr>
              <w:t>Total other comprehensive income (loss)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04"/>
        </w:trPr>
        <w:tc>
          <w:tcPr>
            <w:tcW w:w="8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68"/>
        </w:trPr>
        <w:tc>
          <w:tcPr>
            <w:tcW w:w="864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(54,184)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0"/>
              </w:rPr>
              <w:t>(27,523)</w:t>
            </w:r>
          </w:p>
        </w:tc>
      </w:tr>
      <w:tr>
        <w:trPr>
          <w:trHeight w:val="204"/>
        </w:trPr>
        <w:tc>
          <w:tcPr>
            <w:tcW w:w="8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68"/>
        </w:trPr>
        <w:tc>
          <w:tcPr>
            <w:tcW w:w="8640" w:type="dxa"/>
            <w:vAlign w:val="bottom"/>
          </w:tcPr>
          <w:p>
            <w:pPr>
              <w:ind w:left="180"/>
              <w:spacing w:after="0"/>
              <w:rPr>
                <w:sz w:val="20"/>
                <w:szCs w:val="20"/>
                <w:color w:val="auto"/>
              </w:rPr>
            </w:pPr>
            <w:r>
              <w:rPr>
                <w:rFonts w:ascii="Arial" w:cs="Arial" w:eastAsia="Arial" w:hAnsi="Arial"/>
                <w:sz w:val="13"/>
                <w:szCs w:val="13"/>
                <w:color w:val="auto"/>
              </w:rPr>
              <w:t>Comprehensive income (loss) attributable to noncontrolling interests</w:t>
            </w:r>
          </w:p>
        </w:tc>
        <w:tc>
          <w:tcPr>
            <w:tcW w:w="7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6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r>
      <w:tr>
        <w:trPr>
          <w:trHeight w:val="170"/>
        </w:trPr>
        <w:tc>
          <w:tcPr>
            <w:tcW w:w="8640" w:type="dxa"/>
            <w:vAlign w:val="bottom"/>
          </w:tcPr>
          <w:p>
            <w:pPr>
              <w:ind w:left="20"/>
              <w:spacing w:after="0"/>
              <w:rPr>
                <w:sz w:val="20"/>
                <w:szCs w:val="20"/>
                <w:color w:val="auto"/>
              </w:rPr>
            </w:pPr>
            <w:r>
              <w:rPr>
                <w:rFonts w:ascii="Arial" w:cs="Arial" w:eastAsia="Arial" w:hAnsi="Arial"/>
                <w:sz w:val="13"/>
                <w:szCs w:val="13"/>
                <w:color w:val="auto"/>
              </w:rPr>
              <w:t>Comprehensive loss attributable to Lisata Therapeutics, Inc. common stockholders</w:t>
            </w:r>
          </w:p>
        </w:tc>
        <w:tc>
          <w:tcPr>
            <w:tcW w:w="760" w:type="dxa"/>
            <w:vAlign w:val="bottom"/>
            <w:tcBorders>
              <w:bottom w:val="single" w:sz="8" w:color="auto"/>
            </w:tcBorders>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(54,184)</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(27,523)</w:t>
            </w:r>
          </w:p>
        </w:tc>
      </w:tr>
      <w:tr>
        <w:trPr>
          <w:trHeight w:val="20"/>
        </w:trPr>
        <w:tc>
          <w:tcPr>
            <w:tcW w:w="8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CONSOLIDATED STATEMENTS OF EQUITY</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3"/>
              </w:rPr>
              <w:t>Total</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6"/>
              </w:rPr>
              <w:t>Lisata</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20" w:type="dxa"/>
            <w:vAlign w:val="bottom"/>
          </w:tcPr>
          <w:p>
            <w:pPr>
              <w:spacing w:after="0"/>
              <w:rPr>
                <w:sz w:val="8"/>
                <w:szCs w:val="8"/>
                <w:color w:val="auto"/>
              </w:rPr>
            </w:pPr>
          </w:p>
        </w:tc>
        <w:tc>
          <w:tcPr>
            <w:tcW w:w="1460" w:type="dxa"/>
            <w:vAlign w:val="bottom"/>
            <w:gridSpan w:val="4"/>
            <w:vMerge w:val="restart"/>
          </w:tcPr>
          <w:p>
            <w:pPr>
              <w:jc w:val="right"/>
              <w:ind w:right="364"/>
              <w:spacing w:after="0"/>
              <w:rPr>
                <w:sz w:val="20"/>
                <w:szCs w:val="20"/>
                <w:color w:val="auto"/>
              </w:rPr>
            </w:pPr>
            <w:r>
              <w:rPr>
                <w:rFonts w:ascii="Arial" w:cs="Arial" w:eastAsia="Arial" w:hAnsi="Arial"/>
                <w:sz w:val="10"/>
                <w:szCs w:val="10"/>
                <w:b w:val="1"/>
                <w:bCs w:val="1"/>
                <w:color w:val="auto"/>
              </w:rPr>
              <w:t>Common Stock</w:t>
            </w:r>
          </w:p>
        </w:tc>
        <w:tc>
          <w:tcPr>
            <w:tcW w:w="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89"/>
              </w:rPr>
              <w:t>Therapeutics,</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87"/>
              </w:rPr>
              <w:t>Non-</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72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tcPr>
          <w:p>
            <w:pPr>
              <w:jc w:val="center"/>
              <w:ind w:right="200"/>
              <w:spacing w:after="0" w:line="76" w:lineRule="exact"/>
              <w:rPr>
                <w:sz w:val="20"/>
                <w:szCs w:val="20"/>
                <w:color w:val="auto"/>
              </w:rPr>
            </w:pPr>
            <w:r>
              <w:rPr>
                <w:rFonts w:ascii="Arial" w:cs="Arial" w:eastAsia="Arial" w:hAnsi="Arial"/>
                <w:sz w:val="7"/>
                <w:szCs w:val="7"/>
                <w:b w:val="1"/>
                <w:bCs w:val="1"/>
                <w:color w:val="auto"/>
              </w:rPr>
              <w:t>Additional</w:t>
            </w:r>
          </w:p>
        </w:tc>
        <w:tc>
          <w:tcPr>
            <w:tcW w:w="100" w:type="dxa"/>
            <w:vAlign w:val="bottom"/>
          </w:tcPr>
          <w:p>
            <w:pPr>
              <w:spacing w:after="0"/>
              <w:rPr>
                <w:sz w:val="6"/>
                <w:szCs w:val="6"/>
                <w:color w:val="auto"/>
              </w:rPr>
            </w:pPr>
          </w:p>
        </w:tc>
        <w:tc>
          <w:tcPr>
            <w:tcW w:w="880" w:type="dxa"/>
            <w:vAlign w:val="bottom"/>
            <w:gridSpan w:val="2"/>
          </w:tcPr>
          <w:p>
            <w:pPr>
              <w:jc w:val="center"/>
              <w:ind w:right="180"/>
              <w:spacing w:after="0" w:line="76" w:lineRule="exact"/>
              <w:rPr>
                <w:sz w:val="20"/>
                <w:szCs w:val="20"/>
                <w:color w:val="auto"/>
              </w:rPr>
            </w:pPr>
            <w:r>
              <w:rPr>
                <w:rFonts w:ascii="Arial" w:cs="Arial" w:eastAsia="Arial" w:hAnsi="Arial"/>
                <w:sz w:val="7"/>
                <w:szCs w:val="7"/>
                <w:b w:val="1"/>
                <w:bCs w:val="1"/>
                <w:color w:val="auto"/>
              </w:rPr>
              <w:t>Other</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tcPr>
          <w:p>
            <w:pPr>
              <w:jc w:val="center"/>
              <w:ind w:right="180"/>
              <w:spacing w:after="0" w:line="76" w:lineRule="exact"/>
              <w:rPr>
                <w:sz w:val="20"/>
                <w:szCs w:val="20"/>
                <w:color w:val="auto"/>
              </w:rPr>
            </w:pPr>
            <w:r>
              <w:rPr>
                <w:rFonts w:ascii="Arial" w:cs="Arial" w:eastAsia="Arial" w:hAnsi="Arial"/>
                <w:sz w:val="7"/>
                <w:szCs w:val="7"/>
                <w:b w:val="1"/>
                <w:bCs w:val="1"/>
                <w:color w:val="auto"/>
              </w:rPr>
              <w:t>Inc.</w:t>
            </w:r>
          </w:p>
        </w:tc>
        <w:tc>
          <w:tcPr>
            <w:tcW w:w="100" w:type="dxa"/>
            <w:vAlign w:val="bottom"/>
          </w:tcPr>
          <w:p>
            <w:pPr>
              <w:spacing w:after="0"/>
              <w:rPr>
                <w:sz w:val="6"/>
                <w:szCs w:val="6"/>
                <w:color w:val="auto"/>
              </w:rPr>
            </w:pPr>
          </w:p>
        </w:tc>
        <w:tc>
          <w:tcPr>
            <w:tcW w:w="760" w:type="dxa"/>
            <w:vAlign w:val="bottom"/>
            <w:gridSpan w:val="2"/>
          </w:tcPr>
          <w:p>
            <w:pPr>
              <w:jc w:val="center"/>
              <w:ind w:right="200"/>
              <w:spacing w:after="0" w:line="76" w:lineRule="exact"/>
              <w:rPr>
                <w:sz w:val="20"/>
                <w:szCs w:val="20"/>
                <w:color w:val="auto"/>
              </w:rPr>
            </w:pPr>
            <w:r>
              <w:rPr>
                <w:rFonts w:ascii="Arial" w:cs="Arial" w:eastAsia="Arial" w:hAnsi="Arial"/>
                <w:sz w:val="7"/>
                <w:szCs w:val="7"/>
                <w:b w:val="1"/>
                <w:bCs w:val="1"/>
                <w:color w:val="auto"/>
              </w:rPr>
              <w:t>Controlling</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720" w:type="dxa"/>
            <w:vAlign w:val="bottom"/>
          </w:tcPr>
          <w:p>
            <w:pPr>
              <w:spacing w:after="0"/>
              <w:rPr>
                <w:sz w:val="9"/>
                <w:szCs w:val="9"/>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9"/>
                <w:szCs w:val="9"/>
                <w:color w:val="auto"/>
              </w:rPr>
            </w:pPr>
          </w:p>
        </w:tc>
        <w:tc>
          <w:tcPr>
            <w:tcW w:w="740" w:type="dxa"/>
            <w:vAlign w:val="bottom"/>
            <w:gridSpan w:val="2"/>
          </w:tcPr>
          <w:p>
            <w:pPr>
              <w:jc w:val="center"/>
              <w:ind w:right="200"/>
              <w:spacing w:after="0" w:line="106" w:lineRule="exact"/>
              <w:rPr>
                <w:sz w:val="20"/>
                <w:szCs w:val="20"/>
                <w:color w:val="auto"/>
              </w:rPr>
            </w:pPr>
            <w:r>
              <w:rPr>
                <w:rFonts w:ascii="Arial" w:cs="Arial" w:eastAsia="Arial" w:hAnsi="Arial"/>
                <w:sz w:val="10"/>
                <w:szCs w:val="10"/>
                <w:b w:val="1"/>
                <w:bCs w:val="1"/>
                <w:color w:val="auto"/>
                <w:w w:val="89"/>
              </w:rPr>
              <w:t>Paid-in</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87"/>
              </w:rPr>
              <w:t>Comprehensive</w:t>
            </w:r>
          </w:p>
        </w:tc>
        <w:tc>
          <w:tcPr>
            <w:tcW w:w="100" w:type="dxa"/>
            <w:vAlign w:val="bottom"/>
          </w:tcPr>
          <w:p>
            <w:pPr>
              <w:spacing w:after="0"/>
              <w:rPr>
                <w:sz w:val="9"/>
                <w:szCs w:val="9"/>
                <w:color w:val="auto"/>
              </w:rPr>
            </w:pPr>
          </w:p>
        </w:tc>
        <w:tc>
          <w:tcPr>
            <w:tcW w:w="760" w:type="dxa"/>
            <w:vAlign w:val="bottom"/>
            <w:gridSpan w:val="2"/>
          </w:tcPr>
          <w:p>
            <w:pPr>
              <w:ind w:left="20"/>
              <w:spacing w:after="0" w:line="106"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9"/>
                <w:szCs w:val="9"/>
                <w:color w:val="auto"/>
              </w:rPr>
            </w:pPr>
          </w:p>
        </w:tc>
        <w:tc>
          <w:tcPr>
            <w:tcW w:w="560" w:type="dxa"/>
            <w:vAlign w:val="bottom"/>
            <w:gridSpan w:val="2"/>
          </w:tcPr>
          <w:p>
            <w:pPr>
              <w:spacing w:after="0" w:line="106" w:lineRule="exact"/>
              <w:rPr>
                <w:sz w:val="20"/>
                <w:szCs w:val="20"/>
                <w:color w:val="auto"/>
              </w:rPr>
            </w:pPr>
            <w:r>
              <w:rPr>
                <w:rFonts w:ascii="Arial" w:cs="Arial" w:eastAsia="Arial" w:hAnsi="Arial"/>
                <w:sz w:val="10"/>
                <w:szCs w:val="10"/>
                <w:b w:val="1"/>
                <w:bCs w:val="1"/>
                <w:color w:val="auto"/>
              </w:rPr>
              <w:t>Treasury</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85"/>
              </w:rPr>
              <w:t>Stockholders'</w:t>
            </w:r>
          </w:p>
        </w:tc>
        <w:tc>
          <w:tcPr>
            <w:tcW w:w="100" w:type="dxa"/>
            <w:vAlign w:val="bottom"/>
          </w:tcPr>
          <w:p>
            <w:pPr>
              <w:spacing w:after="0"/>
              <w:rPr>
                <w:sz w:val="9"/>
                <w:szCs w:val="9"/>
                <w:color w:val="auto"/>
              </w:rPr>
            </w:pPr>
          </w:p>
        </w:tc>
        <w:tc>
          <w:tcPr>
            <w:tcW w:w="760" w:type="dxa"/>
            <w:vAlign w:val="bottom"/>
            <w:gridSpan w:val="2"/>
          </w:tcPr>
          <w:p>
            <w:pPr>
              <w:jc w:val="center"/>
              <w:ind w:right="200"/>
              <w:spacing w:after="0" w:line="106" w:lineRule="exact"/>
              <w:rPr>
                <w:sz w:val="20"/>
                <w:szCs w:val="20"/>
                <w:color w:val="auto"/>
              </w:rPr>
            </w:pPr>
            <w:r>
              <w:rPr>
                <w:rFonts w:ascii="Arial" w:cs="Arial" w:eastAsia="Arial" w:hAnsi="Arial"/>
                <w:sz w:val="10"/>
                <w:szCs w:val="10"/>
                <w:b w:val="1"/>
                <w:bCs w:val="1"/>
                <w:color w:val="auto"/>
                <w:w w:val="91"/>
              </w:rPr>
              <w:t>Interest in</w:t>
            </w:r>
          </w:p>
        </w:tc>
        <w:tc>
          <w:tcPr>
            <w:tcW w:w="140" w:type="dxa"/>
            <w:vAlign w:val="bottom"/>
          </w:tcPr>
          <w:p>
            <w:pPr>
              <w:spacing w:after="0"/>
              <w:rPr>
                <w:sz w:val="9"/>
                <w:szCs w:val="9"/>
                <w:color w:val="auto"/>
              </w:rPr>
            </w:pPr>
          </w:p>
        </w:tc>
        <w:tc>
          <w:tcPr>
            <w:tcW w:w="600" w:type="dxa"/>
            <w:vAlign w:val="bottom"/>
          </w:tcPr>
          <w:p>
            <w:pPr>
              <w:jc w:val="right"/>
              <w:ind w:right="204"/>
              <w:spacing w:after="0" w:line="106"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Capital</w:t>
            </w: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Income (Loss)</w:t>
            </w:r>
          </w:p>
        </w:tc>
        <w:tc>
          <w:tcPr>
            <w:tcW w:w="100" w:type="dxa"/>
            <w:vAlign w:val="bottom"/>
          </w:tcPr>
          <w:p>
            <w:pPr>
              <w:spacing w:after="0"/>
              <w:rPr>
                <w:sz w:val="11"/>
                <w:szCs w:val="11"/>
                <w:color w:val="auto"/>
              </w:rPr>
            </w:pPr>
          </w:p>
        </w:tc>
        <w:tc>
          <w:tcPr>
            <w:tcW w:w="760" w:type="dxa"/>
            <w:vAlign w:val="bottom"/>
            <w:gridSpan w:val="2"/>
          </w:tcPr>
          <w:p>
            <w:pPr>
              <w:ind w:left="160"/>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1"/>
                <w:szCs w:val="11"/>
                <w:color w:val="auto"/>
              </w:rPr>
            </w:pPr>
          </w:p>
        </w:tc>
        <w:tc>
          <w:tcPr>
            <w:tcW w:w="560" w:type="dxa"/>
            <w:vAlign w:val="bottom"/>
            <w:gridSpan w:val="2"/>
          </w:tcPr>
          <w:p>
            <w:pPr>
              <w:ind w:left="80"/>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Equity</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Subsidiary</w:t>
            </w:r>
          </w:p>
        </w:tc>
        <w:tc>
          <w:tcPr>
            <w:tcW w:w="140" w:type="dxa"/>
            <w:vAlign w:val="bottom"/>
          </w:tcPr>
          <w:p>
            <w:pPr>
              <w:spacing w:after="0"/>
              <w:rPr>
                <w:sz w:val="11"/>
                <w:szCs w:val="11"/>
                <w:color w:val="auto"/>
              </w:rPr>
            </w:pPr>
          </w:p>
        </w:tc>
        <w:tc>
          <w:tcPr>
            <w:tcW w:w="600" w:type="dxa"/>
            <w:vAlign w:val="bottom"/>
          </w:tcPr>
          <w:p>
            <w:pPr>
              <w:jc w:val="right"/>
              <w:ind w:right="18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458,766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center"/>
              <w:ind w:left="526"/>
              <w:spacing w:after="0"/>
              <w:rPr>
                <w:sz w:val="20"/>
                <w:szCs w:val="20"/>
                <w:color w:val="auto"/>
              </w:rPr>
            </w:pPr>
            <w:r>
              <w:rPr>
                <w:rFonts w:ascii="Arial" w:cs="Arial" w:eastAsia="Arial" w:hAnsi="Arial"/>
                <w:sz w:val="11"/>
                <w:szCs w:val="11"/>
                <w:color w:val="auto"/>
              </w:rPr>
              <w:t>(13)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(425,550)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1"/>
                <w:szCs w:val="11"/>
                <w:color w:val="auto"/>
                <w:w w:val="93"/>
              </w:rPr>
              <w:t>(708)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32,496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3"/>
              </w:rPr>
              <w:t>(254)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32,242</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(27,466)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(27,466)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(27,466)</w:t>
            </w: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1,757</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w w:val="92"/>
              </w:rPr>
              <w:t>Net proceeds from issuance of common stock and warrants</w:t>
            </w:r>
          </w:p>
        </w:tc>
        <w:tc>
          <w:tcPr>
            <w:tcW w:w="740" w:type="dxa"/>
            <w:vAlign w:val="bottom"/>
          </w:tcPr>
          <w:p>
            <w:pPr>
              <w:jc w:val="right"/>
              <w:spacing w:after="0"/>
              <w:rPr>
                <w:sz w:val="20"/>
                <w:szCs w:val="20"/>
                <w:color w:val="auto"/>
              </w:rPr>
            </w:pPr>
            <w:r>
              <w:rPr>
                <w:rFonts w:ascii="Arial" w:cs="Arial" w:eastAsia="Arial" w:hAnsi="Arial"/>
                <w:sz w:val="11"/>
                <w:szCs w:val="11"/>
                <w:color w:val="auto"/>
              </w:rPr>
              <w:t>2,659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85,497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85,500</w:t>
            </w: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option exercises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tcPr>
          <w:p>
            <w:pPr>
              <w:jc w:val="center"/>
              <w:ind w:left="526"/>
              <w:spacing w:after="0"/>
              <w:rPr>
                <w:sz w:val="20"/>
                <w:szCs w:val="20"/>
                <w:color w:val="auto"/>
              </w:rPr>
            </w:pPr>
            <w:r>
              <w:rPr>
                <w:rFonts w:ascii="Arial" w:cs="Arial" w:eastAsia="Arial" w:hAnsi="Arial"/>
                <w:sz w:val="11"/>
                <w:szCs w:val="11"/>
                <w:color w:val="auto"/>
              </w:rPr>
              <w:t>(57)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57"/>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3,986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546,044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center"/>
              <w:ind w:left="526"/>
              <w:spacing w:after="0"/>
              <w:rPr>
                <w:sz w:val="20"/>
                <w:szCs w:val="20"/>
                <w:color w:val="auto"/>
              </w:rPr>
            </w:pPr>
            <w:r>
              <w:rPr>
                <w:rFonts w:ascii="Arial" w:cs="Arial" w:eastAsia="Arial" w:hAnsi="Arial"/>
                <w:sz w:val="11"/>
                <w:szCs w:val="11"/>
                <w:color w:val="auto"/>
              </w:rPr>
              <w:t>(70)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(453,016)</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1"/>
                <w:szCs w:val="11"/>
                <w:color w:val="auto"/>
                <w:w w:val="93"/>
              </w:rPr>
              <w:t>(708)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92,254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w w:val="93"/>
              </w:rPr>
              <w:t>(254)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92,000</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(54,225)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(54,225)</w:t>
            </w: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2,367</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rPr>
              <w:t>Net proceeds from issuance of common stock</w:t>
            </w:r>
          </w:p>
        </w:tc>
        <w:tc>
          <w:tcPr>
            <w:tcW w:w="74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in connection with Merger</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26,098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26,098</w:t>
            </w:r>
          </w:p>
        </w:tc>
        <w:tc>
          <w:tcPr>
            <w:tcW w:w="0" w:type="dxa"/>
            <w:vAlign w:val="bottom"/>
          </w:tcPr>
          <w:p>
            <w:pPr>
              <w:spacing w:after="0"/>
              <w:rPr>
                <w:sz w:val="1"/>
                <w:szCs w:val="1"/>
                <w:color w:val="auto"/>
              </w:rPr>
            </w:pPr>
          </w:p>
        </w:tc>
      </w:tr>
      <w:tr>
        <w:trPr>
          <w:trHeight w:val="152"/>
        </w:trPr>
        <w:tc>
          <w:tcPr>
            <w:tcW w:w="2720" w:type="dxa"/>
            <w:vAlign w:val="bottom"/>
          </w:tcPr>
          <w:p>
            <w:pPr>
              <w:ind w:left="20"/>
              <w:spacing w:after="0"/>
              <w:rPr>
                <w:sz w:val="20"/>
                <w:szCs w:val="20"/>
                <w:color w:val="auto"/>
              </w:rPr>
            </w:pPr>
            <w:r>
              <w:rPr>
                <w:rFonts w:ascii="Arial" w:cs="Arial" w:eastAsia="Arial" w:hAnsi="Arial"/>
                <w:sz w:val="11"/>
                <w:szCs w:val="11"/>
                <w:color w:val="auto"/>
              </w:rPr>
              <w:t>Unrealized gain on marketable securities</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tcPr>
          <w:p>
            <w:pPr>
              <w:jc w:val="center"/>
              <w:ind w:left="526"/>
              <w:spacing w:after="0"/>
              <w:rPr>
                <w:sz w:val="20"/>
                <w:szCs w:val="20"/>
                <w:color w:val="auto"/>
              </w:rPr>
            </w:pPr>
            <w:r>
              <w:rPr>
                <w:rFonts w:ascii="Arial" w:cs="Arial" w:eastAsia="Arial" w:hAnsi="Arial"/>
                <w:sz w:val="11"/>
                <w:szCs w:val="11"/>
                <w:color w:val="auto"/>
                <w:w w:val="97"/>
              </w:rPr>
              <w:t>52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6"/>
        </w:trPr>
        <w:tc>
          <w:tcPr>
            <w:tcW w:w="2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left="526"/>
              <w:spacing w:after="0"/>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0"/>
        </w:trPr>
        <w:tc>
          <w:tcPr>
            <w:tcW w:w="272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7,867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574,548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center"/>
              <w:ind w:left="526"/>
              <w:spacing w:after="0"/>
              <w:rPr>
                <w:sz w:val="20"/>
                <w:szCs w:val="20"/>
                <w:color w:val="auto"/>
              </w:rPr>
            </w:pPr>
            <w:r>
              <w:rPr>
                <w:rFonts w:ascii="Arial" w:cs="Arial" w:eastAsia="Arial" w:hAnsi="Arial"/>
                <w:sz w:val="11"/>
                <w:szCs w:val="11"/>
                <w:color w:val="auto"/>
              </w:rPr>
              <w:t>(29)</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(507,241)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1"/>
                <w:szCs w:val="11"/>
                <w:color w:val="auto"/>
                <w:w w:val="93"/>
              </w:rPr>
              <w:t>(708)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66,578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1"/>
                <w:szCs w:val="11"/>
                <w:color w:val="auto"/>
                <w:w w:val="93"/>
              </w:rPr>
              <w:t>(254)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66,324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90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7" w:name="page78"/>
    <w:bookmarkEnd w:id="7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(In thousands)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8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w w:val="98"/>
              </w:rPr>
              <w:t>Year Ended December 31,</w:t>
            </w:r>
          </w:p>
        </w:tc>
      </w:tr>
      <w:tr>
        <w:trPr>
          <w:trHeight w:val="171"/>
        </w:trPr>
        <w:tc>
          <w:tcPr>
            <w:tcW w:w="8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r>
      <w:tr>
        <w:trPr>
          <w:trHeight w:val="171"/>
        </w:trPr>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620" w:type="dxa"/>
            <w:vAlign w:val="bottom"/>
          </w:tcPr>
          <w:p>
            <w:pPr>
              <w:ind w:left="16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(54,225)</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(27,466)</w:t>
            </w:r>
          </w:p>
        </w:tc>
      </w:tr>
      <w:tr>
        <w:trPr>
          <w:trHeight w:val="181"/>
        </w:trPr>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620" w:type="dxa"/>
            <w:vAlign w:val="bottom"/>
          </w:tcPr>
          <w:p>
            <w:pPr>
              <w:ind w:left="360"/>
              <w:spacing w:after="0"/>
              <w:rPr>
                <w:sz w:val="20"/>
                <w:szCs w:val="20"/>
                <w:color w:val="auto"/>
              </w:rPr>
            </w:pPr>
            <w:r>
              <w:rPr>
                <w:rFonts w:ascii="Arial" w:cs="Arial" w:eastAsia="Arial" w:hAnsi="Arial"/>
                <w:sz w:val="14"/>
                <w:szCs w:val="14"/>
                <w:color w:val="auto"/>
              </w:rPr>
              <w:t>Equity-based compensation expense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2,005</w:t>
            </w:r>
          </w:p>
        </w:tc>
      </w:tr>
      <w:tr>
        <w:trPr>
          <w:trHeight w:val="181"/>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0"/>
        </w:trPr>
        <w:tc>
          <w:tcPr>
            <w:tcW w:w="8620" w:type="dxa"/>
            <w:vAlign w:val="bottom"/>
          </w:tcPr>
          <w:p>
            <w:pPr>
              <w:ind w:left="360"/>
              <w:spacing w:after="0"/>
              <w:rPr>
                <w:sz w:val="20"/>
                <w:szCs w:val="20"/>
                <w:color w:val="auto"/>
              </w:rPr>
            </w:pPr>
            <w:r>
              <w:rPr>
                <w:rFonts w:ascii="Arial" w:cs="Arial" w:eastAsia="Arial" w:hAnsi="Arial"/>
                <w:sz w:val="14"/>
                <w:szCs w:val="14"/>
                <w:color w:val="auto"/>
              </w:rPr>
              <w:t>In process research and development expenses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Amortization/accretion on marketable securities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r>
      <w:tr>
        <w:trPr>
          <w:trHeight w:val="180"/>
        </w:trPr>
        <w:tc>
          <w:tcPr>
            <w:tcW w:w="862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1"/>
        </w:trPr>
        <w:tc>
          <w:tcPr>
            <w:tcW w:w="86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80"/>
        </w:trPr>
        <w:tc>
          <w:tcPr>
            <w:tcW w:w="862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81"/>
        </w:trPr>
        <w:tc>
          <w:tcPr>
            <w:tcW w:w="86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payable, accrued liabilities and 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w:t>
            </w:r>
          </w:p>
        </w:tc>
      </w:tr>
      <w:tr>
        <w:trPr>
          <w:trHeight w:val="171"/>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(22,245)</w:t>
            </w:r>
          </w:p>
        </w:tc>
      </w:tr>
      <w:tr>
        <w:trPr>
          <w:trHeight w:val="171"/>
        </w:trPr>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620" w:type="dxa"/>
            <w:vAlign w:val="bottom"/>
          </w:tcPr>
          <w:p>
            <w:pPr>
              <w:ind w:left="160"/>
              <w:spacing w:after="0"/>
              <w:rPr>
                <w:sz w:val="20"/>
                <w:szCs w:val="20"/>
                <w:color w:val="auto"/>
              </w:rPr>
            </w:pPr>
            <w:r>
              <w:rPr>
                <w:rFonts w:ascii="Arial" w:cs="Arial" w:eastAsia="Arial" w:hAnsi="Arial"/>
                <w:sz w:val="14"/>
                <w:szCs w:val="14"/>
                <w:color w:val="auto"/>
              </w:rPr>
              <w:t>Purchase of marketable securities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(179,775)</w:t>
            </w:r>
          </w:p>
        </w:tc>
      </w:tr>
      <w:tr>
        <w:trPr>
          <w:trHeight w:val="181"/>
        </w:trPr>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Sales of marketable securities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124,939</w:t>
            </w:r>
          </w:p>
        </w:tc>
      </w:tr>
      <w:tr>
        <w:trPr>
          <w:trHeight w:val="180"/>
        </w:trPr>
        <w:tc>
          <w:tcPr>
            <w:tcW w:w="8620" w:type="dxa"/>
            <w:vAlign w:val="bottom"/>
          </w:tcPr>
          <w:p>
            <w:pPr>
              <w:ind w:left="160"/>
              <w:spacing w:after="0"/>
              <w:rPr>
                <w:sz w:val="20"/>
                <w:szCs w:val="20"/>
                <w:color w:val="auto"/>
              </w:rPr>
            </w:pPr>
            <w:r>
              <w:rPr>
                <w:rFonts w:ascii="Arial" w:cs="Arial" w:eastAsia="Arial" w:hAnsi="Arial"/>
                <w:sz w:val="14"/>
                <w:szCs w:val="14"/>
                <w:color w:val="auto"/>
              </w:rPr>
              <w:t>Asset acquisition costs, net of cash acquired related to Merger</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71"/>
        </w:trPr>
        <w:tc>
          <w:tcPr>
            <w:tcW w:w="8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(54,896)</w:t>
            </w:r>
          </w:p>
        </w:tc>
      </w:tr>
      <w:tr>
        <w:trPr>
          <w:trHeight w:val="171"/>
        </w:trPr>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620" w:type="dxa"/>
            <w:vAlign w:val="bottom"/>
          </w:tcPr>
          <w:p>
            <w:pPr>
              <w:ind w:left="160"/>
              <w:spacing w:after="0"/>
              <w:rPr>
                <w:sz w:val="20"/>
                <w:szCs w:val="20"/>
                <w:color w:val="auto"/>
              </w:rPr>
            </w:pPr>
            <w:r>
              <w:rPr>
                <w:rFonts w:ascii="Arial" w:cs="Arial" w:eastAsia="Arial" w:hAnsi="Arial"/>
                <w:sz w:val="14"/>
                <w:szCs w:val="14"/>
                <w:color w:val="auto"/>
              </w:rPr>
              <w:t>Proceeds from exercise of options</w:t>
            </w:r>
          </w:p>
        </w:tc>
        <w:tc>
          <w:tcPr>
            <w:tcW w:w="2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withholding payments on net share settlement equity awards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0"/>
        </w:trPr>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proceeds from issuance of capital stock</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85,500</w:t>
            </w:r>
          </w:p>
        </w:tc>
      </w:tr>
      <w:tr>
        <w:trPr>
          <w:trHeight w:val="171"/>
        </w:trPr>
        <w:tc>
          <w:tcPr>
            <w:tcW w:w="8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85,276</w:t>
            </w:r>
          </w:p>
        </w:tc>
      </w:tr>
      <w:tr>
        <w:trPr>
          <w:trHeight w:val="171"/>
        </w:trPr>
        <w:tc>
          <w:tcPr>
            <w:tcW w:w="8620" w:type="dxa"/>
            <w:vAlign w:val="bottom"/>
          </w:tcPr>
          <w:p>
            <w:pPr>
              <w:ind w:left="160"/>
              <w:spacing w:after="0"/>
              <w:rPr>
                <w:sz w:val="20"/>
                <w:szCs w:val="20"/>
                <w:color w:val="auto"/>
              </w:rPr>
            </w:pPr>
            <w:r>
              <w:rPr>
                <w:rFonts w:ascii="Arial" w:cs="Arial" w:eastAsia="Arial" w:hAnsi="Arial"/>
                <w:sz w:val="14"/>
                <w:szCs w:val="14"/>
                <w:color w:val="auto"/>
              </w:rPr>
              <w:t>Effect of exchange rate changes on cash</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w:t>
            </w:r>
          </w:p>
        </w:tc>
      </w:tr>
      <w:tr>
        <w:trPr>
          <w:trHeight w:val="180"/>
        </w:trPr>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year</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16,512</w:t>
            </w:r>
          </w:p>
        </w:tc>
      </w:tr>
      <w:tr>
        <w:trPr>
          <w:trHeight w:val="19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24,647</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80"/>
        </w:trPr>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Issuance of common stock in connection with Merger</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Incremental fair value of Cend's fully vested stock options assumed</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78" w:name="page79"/>
    <w:bookmarkEnd w:id="7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LISATA THERAPEUTICS,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 – The Business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2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Lisata Therapeutics, Inc. (together with its subsidiaries, the “Company”) is a clinical-stage pharmaceutical company dedicated to the discovery, development and commercialization of innovative therapies for the treatment of solid tumors and other major diseases. The Company's lead investigational product candidate, LSTA1 (formerly known as CEND-1), is designed to activate a novel uptake pathway that allows co-administered or tethered anti-cancer drugs to penetrate solid tumors more effectively. LSTA1 actuates this active transport system in a tumor-specific manner, resulting in systemically co-administered anti-cancer drugs more efficiently penetrating and accumulating in the tumor, while normal tissues are not affected. LSTA1 also has the potential to modify the tumor microenvironment (“TME”), with the objective of making tumors more susceptible to immunotherapies. The Company and its collaborators have amassed significant non-clinical data demonstrating enhanced delivery of a range of emerging anti-cancer therapies, including immunotherapies and RNA-based therapeutics. To date, LSTA1 has also demonstrated favorable safety, tolerability, and activity in completed and ongoing clinical trials designed to enhance delivery of standard-of-care chemotherapy for pancreatic cancer. The Company is exploring the potential of LSTA1 to enable a variety of treatment modalities to treat a range of solid tumors more effectively. In addition, the Company has clinical development programs based on its autologous CD34+ cell therapy technology platform that are advancing toward their next development milestone while incurring no capital outlay.</w:t>
      </w:r>
    </w:p>
    <w:p>
      <w:pPr>
        <w:spacing w:after="0" w:line="8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Company's leadership team has decades of collective biopharmaceutical and pharmaceutical product development experience across a variety of therapeutic categories and at all stages of development from preclinical through to product registration and launch. Its goal is to develop and commercialize products that address important unmet medical needs based on a broad and versatile portfolio of candidates. The Company’s current development pipeline includes:</w:t>
      </w:r>
    </w:p>
    <w:p>
      <w:pPr>
        <w:spacing w:after="0" w:line="78" w:lineRule="exact"/>
        <w:rPr>
          <w:sz w:val="20"/>
          <w:szCs w:val="20"/>
          <w:color w:val="auto"/>
        </w:rPr>
      </w:pPr>
    </w:p>
    <w:p>
      <w:pPr>
        <w:ind w:firstLine="260"/>
        <w:spacing w:after="0" w:line="281" w:lineRule="auto"/>
        <w:tabs>
          <w:tab w:leader="none" w:pos="5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LSTA1, the subject of Phase 1b/2a and 2b clinical studies being conducted globally in a variety of solid tumor types, including metastatic pancreatic ductal adenocarcinoma (mPDAC), in combination with a variety of anti-cancer regimens;</w:t>
      </w:r>
    </w:p>
    <w:p>
      <w:pPr>
        <w:spacing w:after="0" w:line="74" w:lineRule="exact"/>
        <w:rPr>
          <w:rFonts w:ascii="Arial" w:cs="Arial" w:eastAsia="Arial" w:hAnsi="Arial"/>
          <w:sz w:val="14"/>
          <w:szCs w:val="14"/>
          <w:color w:val="auto"/>
        </w:rPr>
      </w:pPr>
    </w:p>
    <w:p>
      <w:pPr>
        <w:jc w:val="both"/>
        <w:ind w:firstLine="260"/>
        <w:spacing w:after="0" w:line="218" w:lineRule="auto"/>
        <w:tabs>
          <w:tab w:leader="none" w:pos="5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(LSTA12, formerly CLBS12), recipient of SAKIGAKE designation, pursuant to which early conditional approval in Japan for the treatment of critical limb ischemia (“CLI”) and Buerger’s disease is being sought based on the current results of a clinical trial executed in Japan. HONEDRA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was the recipient of orphan drug designation in March 2021 from the U.S. Food and Drug Administration (“FDA”) for Buerger's disease; and</w:t>
      </w:r>
    </w:p>
    <w:p>
      <w:pPr>
        <w:spacing w:after="0" w:line="108" w:lineRule="exact"/>
        <w:rPr>
          <w:rFonts w:ascii="Arial" w:cs="Arial" w:eastAsia="Arial" w:hAnsi="Arial"/>
          <w:sz w:val="14"/>
          <w:szCs w:val="14"/>
          <w:color w:val="auto"/>
        </w:rPr>
      </w:pPr>
    </w:p>
    <w:p>
      <w:pPr>
        <w:ind w:firstLine="260"/>
        <w:spacing w:after="0" w:line="281" w:lineRule="auto"/>
        <w:tabs>
          <w:tab w:leader="none" w:pos="5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LSTA201 (formerly, CLBS201), the subject of a recently completed study designed to assess the safety and efficacy of CD34+ cell therapy as a regenerative treatment for patients with chronic kidney disease related to type 2 diabetes (diabetic kidney disease or “DKD”).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Merger with Cend Therapeutics, Inc. and Name Change</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spacing w:after="0" w:line="8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Pursuant to the terms set forth in the Merger Agreement and effective September 15, 2022 (the “Effective Time”): (i) Merger Sub merged with and into Cend, with Cend surviving as a wholly owned subsidiary of Caladrius, (ii) Caladrius changed its name to Lisata Therapeutics, Inc.,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after taking into account the Reverse Stock Split (the “Exchange Ratio”). 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7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Pursuant to the Merger Agreement, Lisata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the Company assumed Cend's stock options to purchase an aggregate of 1,227,776 shares of the Company's common stock.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had more individuals on the management team and holds the chief executive officer (“CEO”), chief medical officer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as reported in the consolidated statement of operations. Operating results presented in the consolidated statements of operations and comprehensive loss prior to the Merger are solely related to Caladrius Biosciences, Inc. and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Coronavirus Considerations</w:t>
      </w:r>
    </w:p>
    <w:p>
      <w:pPr>
        <w:spacing w:after="0" w:line="125" w:lineRule="exact"/>
        <w:rPr>
          <w:sz w:val="20"/>
          <w:szCs w:val="20"/>
          <w:color w:val="auto"/>
        </w:rPr>
      </w:pPr>
    </w:p>
    <w:p>
      <w:pPr>
        <w:jc w:val="both"/>
        <w:ind w:firstLine="255"/>
        <w:spacing w:after="0" w:line="243" w:lineRule="auto"/>
        <w:rPr>
          <w:sz w:val="20"/>
          <w:szCs w:val="20"/>
          <w:color w:val="auto"/>
        </w:rPr>
      </w:pPr>
      <w:r>
        <w:rPr>
          <w:rFonts w:ascii="Arial" w:cs="Arial" w:eastAsia="Arial" w:hAnsi="Arial"/>
          <w:sz w:val="13"/>
          <w:szCs w:val="13"/>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reasonably be estimated at this time. In response to the COVID-19 pandemic, the Company implemented a universal work from home policy as well as stringent social distancing and other hygiene policies for employees when they must be in the office. The Company's clinical study of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Japan experienced significant delays in enrollment due to the States of Emergency in effect in Japan for most of 2020, 2021 and 2022 covering Tokyo and other regions in response to an increased number of COVID-19 infections. With the Company's expectation that COVID-19 in Japan would continue to negatively impact clinical site operations and enrollment of patients in the HONEDRA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clinical trial, it elected to suspend trial enrollment, seek a development partner and consult with the Japanese regulatory authorities regarding the submission of patient data already accrued. Lisata's Phase 2b FREEDOM Trial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the U.S. also experienced delays in enrolling patients as a result of COVID-19. While early enrollment proceeded to plan with the first patient treated in January 2021, the impact of the COVID-19 pandemic contributed to a general slowing of enrollment, including supply chain disruptions affecting the availability of qualified catheters used in the diagnosis of CMD and/or administration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as well as with a contrast agent typically used in many catheter laboratories. In May 2022, the Company announced that enrollment in the FREEDOM Trial was suspended and that it intended to conduct an interim analysis of the data from not less than the first 20 patients enrolled using the 6-month follow-up data to evaluate the efficacy and safety of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 subjects with CMD. Following this analysis along with Key Opinion Leaders’ input, the Company determined that execution of a redesigned FREEDOM-like trial would be the appropriate next step, but the cost of such a trial would be prohibitively expensive to undergo without a strategic partner. Accordingly, the Company’s board of directors concluded that XOWNA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development will only be continued if a strategic partner that can contribute the necessary capital for a redesigned trial is identified and secured. There can be no assurance that we will be able to identify such a partner and enter into an agreement with such partner on acceptable terms or at all.</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1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On September 14, 2022, in connection with the Merger, the Company implemented the Reverse Stock Split, as authorized at the annual meeting of stockholders on September 13, 2022. The Reverse Stock Split became effective on September 14, 2022 at 5:00 pm and the Company's common stock began trading on The Nasdaq Capital Market on a post-split basis at the open of business on September 15, 2022. As of September 14, 2022, every fifteen shares of the Company’s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Company’s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 increase the per share trading price of our common stock to satisfy the $1.00 minimum bid price requirement for continued listing on The Nasdaq Capital Market.</w:t>
      </w:r>
    </w:p>
    <w:p>
      <w:pPr>
        <w:spacing w:after="0" w:line="8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All share and per share amounts of common stock, options and warrants in the accompanying financial statements have been restated for all periods presented to give retroactive effect to the Reverse Stock Split. Accordingly, the consolidated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statements of equity reflect the impact of the Reverse Stock Split by reclassifying from “common stock” to “additional paid-in capital” in an amount equal to the par value of the decreased shares resulting from the Reverse Stock Split.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accompanying consolidated financial statements and accompanying notes have been prepared in accordance with accounting principles generally accepted in the United States of America (“U.S. GAAP”).</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1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and the valuation of the Merger, which was accounted for as an asset acquisition as substantially all of the fair value is concentrated in in-process research and development (“IPR&amp;D”). Accordingly, actual results could differ from those estimates and assumptions.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Consolidated Financial Statements include the accounts of Lisata Therapeutics, Inc. and its wholly owned and majority owned subsidiaries and affiliates. All intercompany activities have been eliminated in consolidation.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Remeasurement</w:t>
      </w:r>
    </w:p>
    <w:p>
      <w:pPr>
        <w:spacing w:after="0" w:line="12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Cash and cash equivalents include short-term, highly liquid, investments with maturities of ninety days or less when purchased.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Risks</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1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Company determines that the decline in fair value of an investment is below its accounting basis and this decline is other-than-temporary, it reduces the carrying value of the security it holds and records a loss for the amount of such decline.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5620" w:type="dxa"/>
            <w:vAlign w:val="bottom"/>
            <w:shd w:val="clear" w:color="auto" w:fill="CCEEFF"/>
          </w:tcPr>
          <w:p>
            <w:pPr>
              <w:jc w:val="center"/>
              <w:ind w:left="3369"/>
              <w:spacing w:after="0"/>
              <w:rPr>
                <w:sz w:val="20"/>
                <w:szCs w:val="20"/>
                <w:color w:val="auto"/>
              </w:rPr>
            </w:pPr>
            <w:r>
              <w:rPr>
                <w:rFonts w:ascii="Arial" w:cs="Arial" w:eastAsia="Arial" w:hAnsi="Arial"/>
                <w:sz w:val="14"/>
                <w:szCs w:val="14"/>
                <w:color w:val="auto"/>
                <w:w w:val="85"/>
              </w:rPr>
              <w:t>10 years</w:t>
            </w: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Computer equipment</w:t>
            </w:r>
          </w:p>
        </w:tc>
        <w:tc>
          <w:tcPr>
            <w:tcW w:w="5620" w:type="dxa"/>
            <w:vAlign w:val="bottom"/>
          </w:tcPr>
          <w:p>
            <w:pPr>
              <w:jc w:val="center"/>
              <w:ind w:left="3369"/>
              <w:spacing w:after="0"/>
              <w:rPr>
                <w:sz w:val="20"/>
                <w:szCs w:val="20"/>
                <w:color w:val="auto"/>
              </w:rPr>
            </w:pPr>
            <w:r>
              <w:rPr>
                <w:rFonts w:ascii="Arial" w:cs="Arial" w:eastAsia="Arial" w:hAnsi="Arial"/>
                <w:sz w:val="14"/>
                <w:szCs w:val="14"/>
                <w:color w:val="auto"/>
                <w:w w:val="91"/>
              </w:rPr>
              <w:t>3 years</w:t>
            </w: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5620" w:type="dxa"/>
            <w:vAlign w:val="bottom"/>
            <w:shd w:val="clear" w:color="auto" w:fill="CCEEFF"/>
          </w:tcPr>
          <w:p>
            <w:pPr>
              <w:jc w:val="center"/>
              <w:ind w:left="3369"/>
              <w:spacing w:after="0"/>
              <w:rPr>
                <w:sz w:val="20"/>
                <w:szCs w:val="20"/>
                <w:color w:val="auto"/>
              </w:rPr>
            </w:pPr>
            <w:r>
              <w:rPr>
                <w:rFonts w:ascii="Arial" w:cs="Arial" w:eastAsia="Arial" w:hAnsi="Arial"/>
                <w:sz w:val="14"/>
                <w:szCs w:val="14"/>
                <w:color w:val="auto"/>
                <w:w w:val="91"/>
              </w:rPr>
              <w:t>3 years</w:t>
            </w: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5620" w:type="dxa"/>
            <w:vAlign w:val="bottom"/>
          </w:tcPr>
          <w:p>
            <w:pPr>
              <w:jc w:val="center"/>
              <w:ind w:left="3369"/>
              <w:spacing w:after="0"/>
              <w:rPr>
                <w:sz w:val="20"/>
                <w:szCs w:val="20"/>
                <w:color w:val="auto"/>
              </w:rPr>
            </w:pPr>
            <w:r>
              <w:rPr>
                <w:rFonts w:ascii="Arial" w:cs="Arial" w:eastAsia="Arial" w:hAnsi="Arial"/>
                <w:sz w:val="14"/>
                <w:szCs w:val="14"/>
                <w:color w:val="auto"/>
                <w:w w:val="92"/>
              </w:rPr>
              <w:t>Life of lease</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12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2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Share</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Treasury Stock</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2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5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To further drive the Company’s cell therapy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In-process Research and Development Expense</w:t>
      </w:r>
    </w:p>
    <w:p>
      <w:pPr>
        <w:spacing w:after="0" w:line="11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Company’s intangible asset consists of a single asset, Cend’s license agreement with Qilu Pharmaceutical, Co., Ltd. (“Qilu”) acquired in the Merger, with a value of $0.4 million. The intangible asset is stated at fair value and is amortized using the straight-line method over its estimated useful life of 5 years. Amortization expense was $18 thousand and $21 thousand for the three and twelve months ended December 31, 2022. The intangible asset is reviewed for potential impairment when events or circumstances indicate that carrying amounts may not be recoverable. The projected amortization expense is $71 thousand per year for the next five years.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spacing w:after="0" w:line="8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years ended December 31, 2022 and 2021.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Milestones</w:t>
      </w:r>
    </w:p>
    <w:p>
      <w:pPr>
        <w:spacing w:after="0" w:line="125"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years ended December 31, 2022 and 2021 the Company has not recognized revenue related to milestones.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Royalties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3 – Merger</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Merger was accounted for as an asset acquisition as substantially all of the fair value was concentrated in IPR&amp;D. Cend’s assets (except for cash and working capital) were measured and recognized as an allocation of the transaction price based on their relative fair values as of the transaction date with any value associated with IPR&amp;D being expensed. The fair value of total consideration was $36.1 million. The following table is a summary of the purchase price calculation (in thousands except per share data).</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202"/>
        </w:trPr>
        <w:tc>
          <w:tcPr>
            <w:tcW w:w="1760" w:type="dxa"/>
            <w:vAlign w:val="bottom"/>
          </w:tcPr>
          <w:p>
            <w:pPr>
              <w:spacing w:after="0"/>
              <w:rPr>
                <w:sz w:val="17"/>
                <w:szCs w:val="17"/>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Number of common shares of the combined company owned by Cend stockholders</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3,772,768</w:t>
            </w:r>
          </w:p>
        </w:tc>
        <w:tc>
          <w:tcPr>
            <w:tcW w:w="0" w:type="dxa"/>
            <w:vAlign w:val="bottom"/>
          </w:tcPr>
          <w:p>
            <w:pPr>
              <w:spacing w:after="0"/>
              <w:rPr>
                <w:sz w:val="1"/>
                <w:szCs w:val="1"/>
                <w:color w:val="auto"/>
              </w:rPr>
            </w:pPr>
          </w:p>
        </w:tc>
      </w:tr>
      <w:tr>
        <w:trPr>
          <w:trHeight w:val="201"/>
        </w:trPr>
        <w:tc>
          <w:tcPr>
            <w:tcW w:w="1760" w:type="dxa"/>
            <w:vAlign w:val="bottom"/>
          </w:tcPr>
          <w:p>
            <w:pPr>
              <w:spacing w:after="0"/>
              <w:rPr>
                <w:sz w:val="17"/>
                <w:szCs w:val="17"/>
                <w:color w:val="auto"/>
              </w:rPr>
            </w:pPr>
          </w:p>
        </w:tc>
        <w:tc>
          <w:tcPr>
            <w:tcW w:w="63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Multiplied by the fair value per share of Lisata common stock on September 15, 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$23,580</w:t>
            </w: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Carrying value of Lisata's cost method investment in Cend</w:t>
            </w:r>
          </w:p>
        </w:tc>
        <w:tc>
          <w:tcPr>
            <w:tcW w:w="9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Incremental fair value of Cend's fully vested stock options</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201"/>
        </w:trPr>
        <w:tc>
          <w:tcPr>
            <w:tcW w:w="1760" w:type="dxa"/>
            <w:vAlign w:val="bottom"/>
          </w:tcPr>
          <w:p>
            <w:pPr>
              <w:spacing w:after="0"/>
              <w:rPr>
                <w:sz w:val="17"/>
                <w:szCs w:val="17"/>
                <w:color w:val="auto"/>
              </w:rPr>
            </w:pPr>
          </w:p>
        </w:tc>
        <w:tc>
          <w:tcPr>
            <w:tcW w:w="63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Lisata transaction costs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Total purchase price</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$36,098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320" w:type="dxa"/>
            <w:vAlign w:val="bottom"/>
            <w:shd w:val="clear" w:color="auto" w:fill="BFE4FF"/>
          </w:tcPr>
          <w:p>
            <w:pPr>
              <w:spacing w:after="0" w:line="20" w:lineRule="exact"/>
              <w:rPr>
                <w:sz w:val="1"/>
                <w:szCs w:val="1"/>
                <w:color w:val="auto"/>
              </w:rPr>
            </w:pPr>
          </w:p>
        </w:tc>
        <w:tc>
          <w:tcPr>
            <w:tcW w:w="920" w:type="dxa"/>
            <w:vAlign w:val="bottom"/>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The allocation of the purchase price was as follows (amounts in thousands):</w:t>
            </w: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0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$7,062</w:t>
            </w:r>
          </w:p>
        </w:tc>
        <w:tc>
          <w:tcPr>
            <w:tcW w:w="0" w:type="dxa"/>
            <w:vAlign w:val="bottom"/>
          </w:tcPr>
          <w:p>
            <w:pPr>
              <w:spacing w:after="0"/>
              <w:rPr>
                <w:sz w:val="1"/>
                <w:szCs w:val="1"/>
                <w:color w:val="auto"/>
              </w:rPr>
            </w:pPr>
          </w:p>
        </w:tc>
      </w:tr>
      <w:tr>
        <w:trPr>
          <w:trHeight w:val="201"/>
        </w:trPr>
        <w:tc>
          <w:tcPr>
            <w:tcW w:w="1760" w:type="dxa"/>
            <w:vAlign w:val="bottom"/>
          </w:tcPr>
          <w:p>
            <w:pPr>
              <w:spacing w:after="0"/>
              <w:rPr>
                <w:sz w:val="17"/>
                <w:szCs w:val="17"/>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Net working capital (excluding cash)</w:t>
            </w:r>
          </w:p>
        </w:tc>
        <w:tc>
          <w:tcPr>
            <w:tcW w:w="920" w:type="dxa"/>
            <w:vAlign w:val="bottom"/>
          </w:tcPr>
          <w:p>
            <w:pPr>
              <w:jc w:val="right"/>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liabilities</w:t>
            </w: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1"/>
        </w:trPr>
        <w:tc>
          <w:tcPr>
            <w:tcW w:w="1760" w:type="dxa"/>
            <w:vAlign w:val="bottom"/>
          </w:tcPr>
          <w:p>
            <w:pPr>
              <w:spacing w:after="0"/>
              <w:rPr>
                <w:sz w:val="17"/>
                <w:szCs w:val="17"/>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920" w:type="dxa"/>
            <w:vAlign w:val="bottom"/>
          </w:tcPr>
          <w:p>
            <w:pPr>
              <w:jc w:val="right"/>
              <w:spacing w:after="0"/>
              <w:rPr>
                <w:sz w:val="20"/>
                <w:szCs w:val="20"/>
                <w:color w:val="auto"/>
              </w:rPr>
            </w:pPr>
            <w:r>
              <w:rPr>
                <w:rFonts w:ascii="Arial" w:cs="Arial" w:eastAsia="Arial" w:hAnsi="Arial"/>
                <w:sz w:val="14"/>
                <w:szCs w:val="14"/>
                <w:color w:val="auto"/>
              </w:rPr>
              <w:t>30,393</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6320" w:type="dxa"/>
            <w:vAlign w:val="bottom"/>
            <w:shd w:val="clear" w:color="auto" w:fill="BFE4FF"/>
          </w:tcPr>
          <w:p>
            <w:pPr>
              <w:ind w:left="20"/>
              <w:spacing w:after="0"/>
              <w:rPr>
                <w:sz w:val="20"/>
                <w:szCs w:val="20"/>
                <w:color w:val="auto"/>
              </w:rPr>
            </w:pPr>
            <w:r>
              <w:rPr>
                <w:rFonts w:ascii="Arial" w:cs="Arial" w:eastAsia="Arial" w:hAnsi="Arial"/>
                <w:sz w:val="14"/>
                <w:szCs w:val="14"/>
                <w:color w:val="auto"/>
              </w:rPr>
              <w:t>License</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Net assets acquired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4 – Available-for-Sale-Securities</w:t>
      </w:r>
    </w:p>
    <w:p>
      <w:pPr>
        <w:spacing w:after="0" w:line="11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following table is a summary of available-for-sale securities recorded in cash and cash equivalents or debt marketable securities in the Company's Consolidated Balance Sheets (in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December 31, 2021</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9"/>
                <w:szCs w:val="9"/>
                <w:color w:val="auto"/>
              </w:rPr>
            </w:pPr>
          </w:p>
        </w:tc>
        <w:tc>
          <w:tcPr>
            <w:tcW w:w="102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2"/>
              </w:rPr>
              <w:t>Gross Unrealized</w:t>
            </w:r>
          </w:p>
        </w:tc>
        <w:tc>
          <w:tcPr>
            <w:tcW w:w="120" w:type="dxa"/>
            <w:vAlign w:val="bottom"/>
          </w:tcPr>
          <w:p>
            <w:pPr>
              <w:spacing w:after="0"/>
              <w:rPr>
                <w:sz w:val="9"/>
                <w:szCs w:val="9"/>
                <w:color w:val="auto"/>
              </w:rPr>
            </w:pPr>
          </w:p>
        </w:tc>
        <w:tc>
          <w:tcPr>
            <w:tcW w:w="900" w:type="dxa"/>
            <w:vAlign w:val="bottom"/>
          </w:tcPr>
          <w:p>
            <w:pPr>
              <w:jc w:val="center"/>
              <w:ind w:right="53"/>
              <w:spacing w:after="0" w:line="110" w:lineRule="exact"/>
              <w:rPr>
                <w:sz w:val="20"/>
                <w:szCs w:val="20"/>
                <w:color w:val="auto"/>
              </w:rPr>
            </w:pPr>
            <w:r>
              <w:rPr>
                <w:rFonts w:ascii="Arial" w:cs="Arial" w:eastAsia="Arial" w:hAnsi="Arial"/>
                <w:sz w:val="11"/>
                <w:szCs w:val="11"/>
                <w:b w:val="1"/>
                <w:bCs w:val="1"/>
                <w:color w:val="auto"/>
                <w:w w:val="97"/>
              </w:rPr>
              <w:t>Estimated Fair</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9"/>
                <w:szCs w:val="9"/>
                <w:color w:val="auto"/>
              </w:rPr>
            </w:pPr>
          </w:p>
        </w:tc>
        <w:tc>
          <w:tcPr>
            <w:tcW w:w="104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10" w:lineRule="exact"/>
              <w:rPr>
                <w:sz w:val="20"/>
                <w:szCs w:val="20"/>
                <w:color w:val="auto"/>
              </w:rPr>
            </w:pPr>
            <w:r>
              <w:rPr>
                <w:rFonts w:ascii="Arial" w:cs="Arial" w:eastAsia="Arial" w:hAnsi="Arial"/>
                <w:sz w:val="11"/>
                <w:szCs w:val="11"/>
                <w:b w:val="1"/>
                <w:bCs w:val="1"/>
                <w:color w:val="auto"/>
                <w:w w:val="92"/>
              </w:rPr>
              <w:t>Gross Unrealized</w:t>
            </w:r>
          </w:p>
        </w:tc>
        <w:tc>
          <w:tcPr>
            <w:tcW w:w="120" w:type="dxa"/>
            <w:vAlign w:val="bottom"/>
          </w:tcPr>
          <w:p>
            <w:pPr>
              <w:spacing w:after="0"/>
              <w:rPr>
                <w:sz w:val="9"/>
                <w:szCs w:val="9"/>
                <w:color w:val="auto"/>
              </w:rPr>
            </w:pPr>
          </w:p>
        </w:tc>
        <w:tc>
          <w:tcPr>
            <w:tcW w:w="920" w:type="dxa"/>
            <w:vAlign w:val="bottom"/>
          </w:tcPr>
          <w:p>
            <w:pPr>
              <w:jc w:val="right"/>
              <w:ind w:right="93"/>
              <w:spacing w:after="0" w:line="110" w:lineRule="exact"/>
              <w:rPr>
                <w:sz w:val="20"/>
                <w:szCs w:val="20"/>
                <w:color w:val="auto"/>
              </w:rPr>
            </w:pPr>
            <w:r>
              <w:rPr>
                <w:rFonts w:ascii="Arial" w:cs="Arial" w:eastAsia="Arial" w:hAnsi="Arial"/>
                <w:sz w:val="11"/>
                <w:szCs w:val="11"/>
                <w:b w:val="1"/>
                <w:bCs w:val="1"/>
                <w:color w:val="auto"/>
                <w:w w:val="97"/>
              </w:rPr>
              <w:t>Estimated Fair</w:t>
            </w:r>
          </w:p>
        </w:tc>
        <w:tc>
          <w:tcPr>
            <w:tcW w:w="0" w:type="dxa"/>
            <w:vAlign w:val="bottom"/>
          </w:tcPr>
          <w:p>
            <w:pPr>
              <w:spacing w:after="0"/>
              <w:rPr>
                <w:sz w:val="1"/>
                <w:szCs w:val="1"/>
                <w:color w:val="auto"/>
              </w:rPr>
            </w:pPr>
          </w:p>
        </w:tc>
      </w:tr>
      <w:tr>
        <w:trPr>
          <w:trHeight w:val="151"/>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80"/>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Losses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Value</w:t>
            </w:r>
          </w:p>
        </w:tc>
        <w:tc>
          <w:tcPr>
            <w:tcW w:w="2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80"/>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Losses</w:t>
            </w:r>
          </w:p>
        </w:tc>
        <w:tc>
          <w:tcPr>
            <w:tcW w:w="120" w:type="dxa"/>
            <w:vAlign w:val="bottom"/>
          </w:tcPr>
          <w:p>
            <w:pPr>
              <w:spacing w:after="0"/>
              <w:rPr>
                <w:sz w:val="13"/>
                <w:szCs w:val="13"/>
                <w:color w:val="auto"/>
              </w:rPr>
            </w:pPr>
          </w:p>
        </w:tc>
        <w:tc>
          <w:tcPr>
            <w:tcW w:w="920" w:type="dxa"/>
            <w:vAlign w:val="bottom"/>
          </w:tcPr>
          <w:p>
            <w:pPr>
              <w:jc w:val="right"/>
              <w:ind w:right="333"/>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53,070</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4"/>
                <w:szCs w:val="14"/>
                <w:color w:val="auto"/>
              </w:rPr>
              <w:t>Commercial Paper</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18,124</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4"/>
                <w:szCs w:val="14"/>
                <w:color w:val="auto"/>
              </w:rPr>
              <w:t>Municipal debt securities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20,258</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91,452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Estimated fair values of available-for-sale securities are generally based on prices obtained from commercial pricing services. The following table summarizes the classification of the available-for-sale debt securities on the Company's Consolidated Balance Sheets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December 31, 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1"/>
                <w:szCs w:val="11"/>
                <w:b w:val="1"/>
                <w:bCs w:val="1"/>
                <w:color w:val="auto"/>
                <w:w w:val="94"/>
              </w:rPr>
              <w:t>December 31, 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ind w:left="1100"/>
              <w:spacing w:after="0"/>
              <w:rPr>
                <w:sz w:val="20"/>
                <w:szCs w:val="20"/>
                <w:color w:val="auto"/>
              </w:rPr>
            </w:pPr>
            <w:r>
              <w:rPr>
                <w:rFonts w:ascii="Arial" w:cs="Arial" w:eastAsia="Arial" w:hAnsi="Arial"/>
                <w:sz w:val="14"/>
                <w:szCs w:val="14"/>
                <w:color w:val="auto"/>
                <w:w w:val="93"/>
              </w:rPr>
              <w:t>27,668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Marketable securities</w:t>
            </w:r>
          </w:p>
        </w:tc>
        <w:tc>
          <w:tcPr>
            <w:tcW w:w="13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color w:val="auto"/>
                <w:w w:val="93"/>
              </w:rPr>
              <w:t>37,072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gridSpan w:val="3"/>
            <w:shd w:val="clear" w:color="auto" w:fill="CCEEFF"/>
          </w:tcPr>
          <w:p>
            <w:pPr>
              <w:ind w:left="1100"/>
              <w:spacing w:after="0"/>
              <w:rPr>
                <w:sz w:val="20"/>
                <w:szCs w:val="20"/>
                <w:color w:val="auto"/>
              </w:rPr>
            </w:pPr>
            <w:r>
              <w:rPr>
                <w:rFonts w:ascii="Arial" w:cs="Arial" w:eastAsia="Arial" w:hAnsi="Arial"/>
                <w:sz w:val="14"/>
                <w:szCs w:val="14"/>
                <w:color w:val="auto"/>
                <w:w w:val="93"/>
              </w:rPr>
              <w:t>64,740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8"/>
            <w:vMerge w:val="restart"/>
          </w:tcPr>
          <w:p>
            <w:pPr>
              <w:ind w:left="240"/>
              <w:spacing w:after="0"/>
              <w:rPr>
                <w:sz w:val="20"/>
                <w:szCs w:val="20"/>
                <w:color w:val="auto"/>
              </w:rPr>
            </w:pPr>
            <w:r>
              <w:rPr>
                <w:rFonts w:ascii="Arial" w:cs="Arial" w:eastAsia="Arial" w:hAnsi="Arial"/>
                <w:sz w:val="14"/>
                <w:szCs w:val="14"/>
                <w:color w:val="auto"/>
                <w:w w:val="92"/>
              </w:rPr>
              <w:t>The following table summarizes the Company's portfolio of available-for-sale securities by contractual maturity (in thousands):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7460" w:type="dxa"/>
            <w:vAlign w:val="bottom"/>
            <w:gridSpan w:val="8"/>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1"/>
                <w:szCs w:val="11"/>
                <w:b w:val="1"/>
                <w:bCs w:val="1"/>
                <w:color w:val="auto"/>
                <w:w w:val="98"/>
              </w:rPr>
              <w:t>December 31, 2022</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500"/>
              <w:spacing w:after="0"/>
              <w:rPr>
                <w:sz w:val="20"/>
                <w:szCs w:val="20"/>
                <w:color w:val="auto"/>
              </w:rPr>
            </w:pPr>
            <w:r>
              <w:rPr>
                <w:rFonts w:ascii="Arial" w:cs="Arial" w:eastAsia="Arial" w:hAnsi="Arial"/>
                <w:sz w:val="11"/>
                <w:szCs w:val="11"/>
                <w:b w:val="1"/>
                <w:bCs w:val="1"/>
                <w:color w:val="auto"/>
                <w:w w:val="88"/>
              </w:rPr>
              <w:t>December 31, 2021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Amortized Cost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right"/>
              <w:ind w:right="349"/>
              <w:spacing w:after="0"/>
              <w:rPr>
                <w:sz w:val="20"/>
                <w:szCs w:val="20"/>
                <w:color w:val="auto"/>
              </w:rPr>
            </w:pPr>
            <w:r>
              <w:rPr>
                <w:rFonts w:ascii="Arial" w:cs="Arial" w:eastAsia="Arial" w:hAnsi="Arial"/>
                <w:sz w:val="11"/>
                <w:szCs w:val="11"/>
                <w:b w:val="1"/>
                <w:bCs w:val="1"/>
                <w:color w:val="auto"/>
              </w:rPr>
              <w:t>Estimated Fair Value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Amortized Cost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right"/>
              <w:ind w:right="330"/>
              <w:spacing w:after="0"/>
              <w:rPr>
                <w:sz w:val="20"/>
                <w:szCs w:val="20"/>
                <w:color w:val="auto"/>
              </w:rPr>
            </w:pPr>
            <w:r>
              <w:rPr>
                <w:rFonts w:ascii="Arial" w:cs="Arial" w:eastAsia="Arial" w:hAnsi="Arial"/>
                <w:sz w:val="11"/>
                <w:szCs w:val="11"/>
                <w:b w:val="1"/>
                <w:bCs w:val="1"/>
                <w:color w:val="auto"/>
                <w:w w:val="94"/>
              </w:rPr>
              <w:t>Estimated 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1340" w:type="dxa"/>
            <w:vAlign w:val="bottom"/>
            <w:tcBorders>
              <w:top w:val="single" w:sz="8" w:color="auto"/>
            </w:tcBorders>
            <w:shd w:val="clear" w:color="auto" w:fill="CCEEFF"/>
          </w:tcPr>
          <w:p>
            <w:pPr>
              <w:jc w:val="right"/>
              <w:ind w:right="119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64,758</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64,740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91,522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Arial" w:cs="Arial" w:eastAsia="Arial" w:hAnsi="Arial"/>
                <w:sz w:val="14"/>
                <w:szCs w:val="14"/>
                <w:color w:val="auto"/>
              </w:rPr>
              <w:t>Greater than one year</w:t>
            </w:r>
          </w:p>
        </w:tc>
        <w:tc>
          <w:tcPr>
            <w:tcW w:w="13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top w:val="single" w:sz="8" w:color="auto"/>
              <w:bottom w:val="single" w:sz="8" w:color="auto"/>
            </w:tcBorders>
            <w:shd w:val="clear" w:color="auto" w:fill="CCEEFF"/>
          </w:tcPr>
          <w:p>
            <w:pPr>
              <w:jc w:val="right"/>
              <w:ind w:right="119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64,758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91,522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5 – Property and Equipment</w:t>
            </w: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60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4920" w:type="dxa"/>
            <w:vAlign w:val="bottom"/>
            <w:gridSpan w:val="3"/>
          </w:tcPr>
          <w:p>
            <w:pPr>
              <w:ind w:left="240"/>
              <w:spacing w:after="0"/>
              <w:rPr>
                <w:sz w:val="20"/>
                <w:szCs w:val="20"/>
                <w:color w:val="auto"/>
              </w:rPr>
            </w:pPr>
            <w:r>
              <w:rPr>
                <w:rFonts w:ascii="Arial" w:cs="Arial" w:eastAsia="Arial" w:hAnsi="Arial"/>
                <w:sz w:val="14"/>
                <w:szCs w:val="14"/>
                <w:color w:val="auto"/>
              </w:rPr>
              <w:t>Property and equipment consisted of the following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1"/>
                <w:szCs w:val="11"/>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2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color w:val="auto"/>
              </w:rPr>
              <w:t>Computer equipment</w:t>
            </w: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589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gross</w:t>
            </w: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713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w:t>
            </w: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results included depreciation expense of approximately $0.1 million and $0.1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6 – Income (Loss) Per Share</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For the years ended December 31, 2022 and 2021, the Company incurred net losses and therefore no common stock equivalents were utilized in the calculation of loss per share as they are anti-dilutive in the periods presented. At December 31, 2022 and 2021, the Company excluded the following potentially dilutive securities (in thousands):</w:t>
      </w:r>
    </w:p>
    <w:p>
      <w:pPr>
        <w:spacing w:after="0" w:line="126" w:lineRule="exact"/>
        <w:rPr>
          <w:sz w:val="20"/>
          <w:szCs w:val="20"/>
          <w:color w:val="auto"/>
        </w:rPr>
      </w:pPr>
    </w:p>
    <w:p>
      <w:pPr>
        <w:ind w:left="92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2021</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80"/>
        </w:trPr>
        <w:tc>
          <w:tcPr>
            <w:tcW w:w="902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1,424</w:t>
            </w: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1,424</w:t>
            </w:r>
          </w:p>
        </w:tc>
      </w:tr>
      <w:tr>
        <w:trPr>
          <w:trHeight w:val="181"/>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7 – Fair Value Measurements</w:t>
      </w:r>
    </w:p>
    <w:p>
      <w:pPr>
        <w:spacing w:after="0" w:line="129"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1 inputs are defined as quoted prices (unadjusted) in active markets for identical assets or liabilities that the reporting entity has the ability to access at the measurement date.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2 inputs are defined as inputs other than quoted prices included within Level 1 that are observable for the assets or liabilities, either directly or indirectly.</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financial assets and liabilities that were accounted for at fair value on a recurring basis as of December 31, 2022 and December 31, 2021 were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6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1"/>
                <w:szCs w:val="11"/>
                <w:b w:val="1"/>
                <w:bCs w:val="1"/>
                <w:color w:val="auto"/>
              </w:rPr>
              <w:t>December 31, 2022</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rPr>
              <w:t>December 31, 2021</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3"/>
        </w:trPr>
        <w:tc>
          <w:tcPr>
            <w:tcW w:w="26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99"/>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1</w:t>
            </w: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19"/>
              <w:spacing w:after="0"/>
              <w:rPr>
                <w:sz w:val="20"/>
                <w:szCs w:val="20"/>
                <w:color w:val="auto"/>
              </w:rPr>
            </w:pPr>
            <w:r>
              <w:rPr>
                <w:rFonts w:ascii="Arial" w:cs="Arial" w:eastAsia="Arial" w:hAnsi="Arial"/>
                <w:sz w:val="11"/>
                <w:szCs w:val="11"/>
                <w:b w:val="1"/>
                <w:bCs w:val="1"/>
                <w:color w:val="auto"/>
              </w:rPr>
              <w:t>Total</w:t>
            </w:r>
          </w:p>
        </w:tc>
      </w:tr>
      <w:tr>
        <w:trPr>
          <w:trHeight w:val="15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Assets:</w:t>
            </w: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8"/>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Marketable securities - available for sale</w:t>
            </w:r>
          </w:p>
        </w:tc>
        <w:tc>
          <w:tcPr>
            <w:tcW w:w="7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95"/>
              </w:rPr>
              <w:t>37,072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37,072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w w:val="95"/>
              </w:rPr>
              <w:t>70,323</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70,323</w:t>
            </w:r>
          </w:p>
        </w:tc>
      </w:tr>
      <w:tr>
        <w:trPr>
          <w:trHeight w:val="180"/>
        </w:trPr>
        <w:tc>
          <w:tcPr>
            <w:tcW w:w="26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5"/>
              </w:rPr>
              <w:t>37,072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37,072</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5"/>
              </w:rPr>
              <w:t>70,323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9"/>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70,323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carrying values of cash, cash equivalents, accounts payable and accrued expenses approximate fair value at December 31, 2022 and December 31, 2021, due to the short maturity nature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8 – Accrued Liabilities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Accrued liabilities were as follow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3"/>
        </w:trPr>
        <w:tc>
          <w:tcPr>
            <w:tcW w:w="82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Salaries, employee benefits and related taxes</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r>
      <w:tr>
        <w:trPr>
          <w:trHeight w:val="180"/>
        </w:trPr>
        <w:tc>
          <w:tcPr>
            <w:tcW w:w="8240" w:type="dxa"/>
            <w:vAlign w:val="bottom"/>
          </w:tcPr>
          <w:p>
            <w:pPr>
              <w:ind w:left="20"/>
              <w:spacing w:after="0"/>
              <w:rPr>
                <w:sz w:val="20"/>
                <w:szCs w:val="20"/>
                <w:color w:val="auto"/>
              </w:rPr>
            </w:pPr>
            <w:r>
              <w:rPr>
                <w:rFonts w:ascii="Arial" w:cs="Arial" w:eastAsia="Arial" w:hAnsi="Arial"/>
                <w:sz w:val="14"/>
                <w:szCs w:val="14"/>
                <w:color w:val="auto"/>
              </w:rPr>
              <w:t>Operating lease liabilities - current</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Clinical and R&amp;D related liabilities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196"/>
        </w:trPr>
        <w:tc>
          <w:tcPr>
            <w:tcW w:w="8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9 – Operating Leases</w:t>
      </w:r>
    </w:p>
    <w:p>
      <w:pPr>
        <w:spacing w:after="0" w:line="12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The Company adopted ASU No. 2016-02, Leases (Topic 842) on January 1, 2019 and recognized leases with duration greater than 12 months on the balance sheet using the modified retrospective approach. The Company has operating leases for two offices with terms that expire in 2023 and 2025, respectively.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Operating lease liabilities and right-of-use assets were recorded in the following captions of our balance sheet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60" w:type="dxa"/>
            <w:vAlign w:val="bottom"/>
            <w:tcBorders>
              <w:bottom w:val="single" w:sz="8" w:color="BFE4FF"/>
            </w:tcBorders>
          </w:tcPr>
          <w:p>
            <w:pPr>
              <w:spacing w:after="0"/>
              <w:rPr>
                <w:sz w:val="13"/>
                <w:szCs w:val="13"/>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December 31, 2022</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7560" w:type="dxa"/>
            <w:vAlign w:val="bottom"/>
            <w:shd w:val="clear" w:color="auto" w:fill="BFE4FF"/>
          </w:tcPr>
          <w:p>
            <w:pPr>
              <w:ind w:left="20"/>
              <w:spacing w:after="0"/>
              <w:rPr>
                <w:sz w:val="20"/>
                <w:szCs w:val="20"/>
                <w:color w:val="auto"/>
              </w:rPr>
            </w:pPr>
            <w:r>
              <w:rPr>
                <w:rFonts w:ascii="Arial" w:cs="Arial" w:eastAsia="Arial" w:hAnsi="Arial"/>
                <w:sz w:val="14"/>
                <w:szCs w:val="14"/>
                <w:color w:val="auto"/>
              </w:rPr>
              <w:t>Right-of Use Assets:</w:t>
            </w:r>
          </w:p>
        </w:tc>
        <w:tc>
          <w:tcPr>
            <w:tcW w:w="14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300" w:type="dxa"/>
            <w:vAlign w:val="bottom"/>
            <w:shd w:val="clear" w:color="auto" w:fill="BFE4FF"/>
          </w:tcPr>
          <w:p>
            <w:pPr>
              <w:spacing w:after="0"/>
              <w:rPr>
                <w:sz w:val="14"/>
                <w:szCs w:val="14"/>
                <w:color w:val="auto"/>
              </w:rPr>
            </w:pPr>
          </w:p>
        </w:tc>
        <w:tc>
          <w:tcPr>
            <w:tcW w:w="1580" w:type="dxa"/>
            <w:vAlign w:val="bottom"/>
            <w:shd w:val="clear" w:color="auto" w:fill="BFE4FF"/>
          </w:tcPr>
          <w:p>
            <w:pPr>
              <w:spacing w:after="0"/>
              <w:rPr>
                <w:sz w:val="14"/>
                <w:szCs w:val="14"/>
                <w:color w:val="auto"/>
              </w:rPr>
            </w:pPr>
          </w:p>
        </w:tc>
      </w:tr>
      <w:tr>
        <w:trPr>
          <w:trHeight w:val="180"/>
        </w:trPr>
        <w:tc>
          <w:tcPr>
            <w:tcW w:w="756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Other assets</w:t>
            </w:r>
          </w:p>
        </w:tc>
        <w:tc>
          <w:tcPr>
            <w:tcW w:w="1480" w:type="dxa"/>
            <w:vAlign w:val="bottom"/>
            <w:tcBorders>
              <w:bottom w:val="single" w:sz="8" w:color="auto"/>
            </w:tcBorders>
          </w:tcPr>
          <w:p>
            <w:pPr>
              <w:jc w:val="right"/>
              <w:ind w:right="133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r>
      <w:tr>
        <w:trPr>
          <w:trHeight w:val="196"/>
        </w:trPr>
        <w:tc>
          <w:tcPr>
            <w:tcW w:w="75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Total Right-of-Use Asset</w:t>
            </w:r>
          </w:p>
        </w:tc>
        <w:tc>
          <w:tcPr>
            <w:tcW w:w="1480" w:type="dxa"/>
            <w:vAlign w:val="bottom"/>
            <w:tcBorders>
              <w:bottom w:val="single" w:sz="8" w:color="auto"/>
            </w:tcBorders>
            <w:shd w:val="clear" w:color="auto" w:fill="BFE4FF"/>
          </w:tcPr>
          <w:p>
            <w:pPr>
              <w:jc w:val="right"/>
              <w:ind w:right="133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487</w:t>
            </w:r>
          </w:p>
        </w:tc>
        <w:tc>
          <w:tcPr>
            <w:tcW w:w="300" w:type="dxa"/>
            <w:vAlign w:val="bottom"/>
            <w:tcBorders>
              <w:bottom w:val="single" w:sz="8" w:color="auto"/>
            </w:tcBorders>
            <w:shd w:val="clear" w:color="auto" w:fill="BFE4FF"/>
          </w:tcPr>
          <w:p>
            <w:pPr>
              <w:jc w:val="right"/>
              <w:ind w:right="12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724</w:t>
            </w:r>
          </w:p>
        </w:tc>
      </w:tr>
      <w:tr>
        <w:trPr>
          <w:trHeight w:val="20"/>
        </w:trPr>
        <w:tc>
          <w:tcPr>
            <w:tcW w:w="7560" w:type="dxa"/>
            <w:vAlign w:val="bottom"/>
            <w:tcBorders>
              <w:top w:val="single" w:sz="8" w:color="BFE4FF"/>
            </w:tcBorders>
          </w:tcPr>
          <w:p>
            <w:pPr>
              <w:spacing w:after="0" w:line="20" w:lineRule="exact"/>
              <w:rPr>
                <w:sz w:val="1"/>
                <w:szCs w:val="1"/>
                <w:color w:val="auto"/>
              </w:rPr>
            </w:pPr>
          </w:p>
        </w:tc>
        <w:tc>
          <w:tcPr>
            <w:tcW w:w="1480" w:type="dxa"/>
            <w:vAlign w:val="bottom"/>
            <w:tcBorders>
              <w:top w:val="single" w:sz="8" w:color="BFE4FF"/>
              <w:bottom w:val="single" w:sz="8" w:color="auto"/>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580" w:type="dxa"/>
            <w:vAlign w:val="bottom"/>
            <w:tcBorders>
              <w:top w:val="single" w:sz="8" w:color="BFE4FF"/>
              <w:bottom w:val="single" w:sz="8" w:color="auto"/>
            </w:tcBorders>
          </w:tcPr>
          <w:p>
            <w:pPr>
              <w:spacing w:after="0" w:line="20" w:lineRule="exact"/>
              <w:rPr>
                <w:sz w:val="1"/>
                <w:szCs w:val="1"/>
                <w:color w:val="auto"/>
              </w:rPr>
            </w:pPr>
          </w:p>
        </w:tc>
      </w:tr>
      <w:tr>
        <w:trPr>
          <w:trHeight w:val="143"/>
        </w:trPr>
        <w:tc>
          <w:tcPr>
            <w:tcW w:w="7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0"/>
        </w:trPr>
        <w:tc>
          <w:tcPr>
            <w:tcW w:w="7560" w:type="dxa"/>
            <w:vAlign w:val="bottom"/>
            <w:shd w:val="clear" w:color="auto" w:fill="BFE4FF"/>
          </w:tcPr>
          <w:p>
            <w:pPr>
              <w:ind w:left="20"/>
              <w:spacing w:after="0"/>
              <w:rPr>
                <w:sz w:val="20"/>
                <w:szCs w:val="20"/>
                <w:color w:val="auto"/>
              </w:rPr>
            </w:pPr>
            <w:r>
              <w:rPr>
                <w:rFonts w:ascii="Arial" w:cs="Arial" w:eastAsia="Arial" w:hAnsi="Arial"/>
                <w:sz w:val="14"/>
                <w:szCs w:val="14"/>
                <w:color w:val="auto"/>
              </w:rPr>
              <w:t>Operating Lease Liabilities:</w:t>
            </w:r>
          </w:p>
        </w:tc>
        <w:tc>
          <w:tcPr>
            <w:tcW w:w="1480" w:type="dxa"/>
            <w:vAlign w:val="bottom"/>
            <w:shd w:val="clear" w:color="auto" w:fill="BFE4FF"/>
          </w:tcPr>
          <w:p>
            <w:pPr>
              <w:spacing w:after="0"/>
              <w:rPr>
                <w:sz w:val="15"/>
                <w:szCs w:val="15"/>
                <w:color w:val="auto"/>
              </w:rPr>
            </w:pPr>
          </w:p>
        </w:tc>
        <w:tc>
          <w:tcPr>
            <w:tcW w:w="36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1580" w:type="dxa"/>
            <w:vAlign w:val="bottom"/>
            <w:shd w:val="clear" w:color="auto" w:fill="BFE4FF"/>
          </w:tcPr>
          <w:p>
            <w:pPr>
              <w:spacing w:after="0"/>
              <w:rPr>
                <w:sz w:val="15"/>
                <w:szCs w:val="15"/>
                <w:color w:val="auto"/>
              </w:rPr>
            </w:pP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Accrued liabilities</w:t>
            </w:r>
          </w:p>
        </w:tc>
        <w:tc>
          <w:tcPr>
            <w:tcW w:w="1480" w:type="dxa"/>
            <w:vAlign w:val="bottom"/>
          </w:tcPr>
          <w:p>
            <w:pPr>
              <w:jc w:val="right"/>
              <w:ind w:right="133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180</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80"/>
        </w:trPr>
        <w:tc>
          <w:tcPr>
            <w:tcW w:w="756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long-term liabilities</w:t>
            </w:r>
          </w:p>
        </w:tc>
        <w:tc>
          <w:tcPr>
            <w:tcW w:w="1480" w:type="dxa"/>
            <w:vAlign w:val="bottom"/>
            <w:tcBorders>
              <w:bottom w:val="single" w:sz="8" w:color="auto"/>
            </w:tcBorders>
            <w:shd w:val="clear" w:color="auto" w:fill="BFE4FF"/>
          </w:tcPr>
          <w:p>
            <w:pPr>
              <w:spacing w:after="0"/>
              <w:rPr>
                <w:sz w:val="15"/>
                <w:szCs w:val="15"/>
                <w:color w:val="auto"/>
              </w:rPr>
            </w:pPr>
          </w:p>
        </w:tc>
        <w:tc>
          <w:tcPr>
            <w:tcW w:w="3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305</w:t>
            </w:r>
          </w:p>
        </w:tc>
        <w:tc>
          <w:tcPr>
            <w:tcW w:w="300" w:type="dxa"/>
            <w:vAlign w:val="bottom"/>
            <w:tcBorders>
              <w:bottom w:val="single" w:sz="8" w:color="auto"/>
            </w:tcBorders>
            <w:shd w:val="clear" w:color="auto" w:fill="BFE4FF"/>
          </w:tcPr>
          <w:p>
            <w:pPr>
              <w:spacing w:after="0"/>
              <w:rPr>
                <w:sz w:val="15"/>
                <w:szCs w:val="15"/>
                <w:color w:val="auto"/>
              </w:rPr>
            </w:pPr>
          </w:p>
        </w:tc>
        <w:tc>
          <w:tcPr>
            <w:tcW w:w="1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485</w:t>
            </w:r>
          </w:p>
        </w:tc>
      </w:tr>
      <w:tr>
        <w:trPr>
          <w:trHeight w:val="171"/>
        </w:trPr>
        <w:tc>
          <w:tcPr>
            <w:tcW w:w="756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1480" w:type="dxa"/>
            <w:vAlign w:val="bottom"/>
            <w:tcBorders>
              <w:bottom w:val="single" w:sz="8" w:color="auto"/>
            </w:tcBorders>
          </w:tcPr>
          <w:p>
            <w:pPr>
              <w:jc w:val="right"/>
              <w:ind w:right="133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r>
      <w:tr>
        <w:trPr>
          <w:trHeight w:val="20"/>
        </w:trPr>
        <w:tc>
          <w:tcPr>
            <w:tcW w:w="7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December 31, 2022, the weighted average remaining lease term for our operating leases was 1.50 years, and the weighted average discount rate for our operating leases was 9.625%. Future minimum lease payments under the lease agreements as of December 31, 2022 were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00" w:type="dxa"/>
            <w:vAlign w:val="bottom"/>
            <w:tcBorders>
              <w:bottom w:val="single" w:sz="8" w:color="BFE4FF"/>
            </w:tcBorders>
          </w:tcPr>
          <w:p>
            <w:pPr>
              <w:ind w:left="20"/>
              <w:spacing w:after="0"/>
              <w:rPr>
                <w:sz w:val="20"/>
                <w:szCs w:val="20"/>
                <w:color w:val="auto"/>
              </w:rPr>
            </w:pPr>
            <w:r>
              <w:rPr>
                <w:rFonts w:ascii="Arial" w:cs="Arial" w:eastAsia="Arial" w:hAnsi="Arial"/>
                <w:sz w:val="13"/>
                <w:szCs w:val="13"/>
                <w:b w:val="1"/>
                <w:bCs w:val="1"/>
                <w:color w:val="auto"/>
              </w:rPr>
              <w:t>Years ended</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Operating Leases</w:t>
            </w:r>
          </w:p>
        </w:tc>
      </w:tr>
      <w:tr>
        <w:trPr>
          <w:trHeight w:val="173"/>
        </w:trPr>
        <w:tc>
          <w:tcPr>
            <w:tcW w:w="9900" w:type="dxa"/>
            <w:vAlign w:val="bottom"/>
            <w:shd w:val="clear" w:color="auto" w:fill="BFE4FF"/>
          </w:tcPr>
          <w:p>
            <w:pPr>
              <w:ind w:left="20"/>
              <w:spacing w:after="0"/>
              <w:rPr>
                <w:sz w:val="20"/>
                <w:szCs w:val="20"/>
                <w:color w:val="auto"/>
              </w:rPr>
            </w:pPr>
            <w:r>
              <w:rPr>
                <w:rFonts w:ascii="Arial" w:cs="Arial" w:eastAsia="Arial" w:hAnsi="Arial"/>
                <w:sz w:val="14"/>
                <w:szCs w:val="14"/>
                <w:color w:val="auto"/>
              </w:rPr>
              <w:t>2023</w:t>
            </w:r>
          </w:p>
        </w:tc>
        <w:tc>
          <w:tcPr>
            <w:tcW w:w="16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BFE4FF"/>
          </w:tcPr>
          <w:p>
            <w:pPr>
              <w:ind w:left="960"/>
              <w:spacing w:after="0"/>
              <w:rPr>
                <w:sz w:val="20"/>
                <w:szCs w:val="20"/>
                <w:color w:val="auto"/>
              </w:rPr>
            </w:pPr>
            <w:r>
              <w:rPr>
                <w:rFonts w:ascii="Arial" w:cs="Arial" w:eastAsia="Arial" w:hAnsi="Arial"/>
                <w:sz w:val="14"/>
                <w:szCs w:val="14"/>
                <w:color w:val="auto"/>
              </w:rPr>
              <w:t>217</w:t>
            </w:r>
          </w:p>
        </w:tc>
      </w:tr>
      <w:tr>
        <w:trPr>
          <w:trHeight w:val="180"/>
        </w:trPr>
        <w:tc>
          <w:tcPr>
            <w:tcW w:w="9900" w:type="dxa"/>
            <w:vAlign w:val="bottom"/>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5"/>
                <w:szCs w:val="15"/>
                <w:color w:val="auto"/>
              </w:rPr>
            </w:pPr>
          </w:p>
        </w:tc>
        <w:tc>
          <w:tcPr>
            <w:tcW w:w="1220" w:type="dxa"/>
            <w:vAlign w:val="bottom"/>
          </w:tcPr>
          <w:p>
            <w:pPr>
              <w:ind w:left="960"/>
              <w:spacing w:after="0"/>
              <w:rPr>
                <w:sz w:val="20"/>
                <w:szCs w:val="20"/>
                <w:color w:val="auto"/>
              </w:rPr>
            </w:pPr>
            <w:r>
              <w:rPr>
                <w:rFonts w:ascii="Arial" w:cs="Arial" w:eastAsia="Arial" w:hAnsi="Arial"/>
                <w:sz w:val="14"/>
                <w:szCs w:val="14"/>
                <w:color w:val="auto"/>
              </w:rPr>
              <w:t>190</w:t>
            </w:r>
          </w:p>
        </w:tc>
      </w:tr>
      <w:tr>
        <w:trPr>
          <w:trHeight w:val="181"/>
        </w:trPr>
        <w:tc>
          <w:tcPr>
            <w:tcW w:w="9900" w:type="dxa"/>
            <w:vAlign w:val="bottom"/>
            <w:shd w:val="clear" w:color="auto" w:fill="BFE4FF"/>
          </w:tcPr>
          <w:p>
            <w:pPr>
              <w:ind w:left="20"/>
              <w:spacing w:after="0"/>
              <w:rPr>
                <w:sz w:val="20"/>
                <w:szCs w:val="20"/>
                <w:color w:val="auto"/>
              </w:rPr>
            </w:pPr>
            <w:r>
              <w:rPr>
                <w:rFonts w:ascii="Arial" w:cs="Arial" w:eastAsia="Arial" w:hAnsi="Arial"/>
                <w:sz w:val="14"/>
                <w:szCs w:val="14"/>
                <w:color w:val="auto"/>
              </w:rPr>
              <w:t>2025</w:t>
            </w:r>
          </w:p>
        </w:tc>
        <w:tc>
          <w:tcPr>
            <w:tcW w:w="160" w:type="dxa"/>
            <w:vAlign w:val="bottom"/>
            <w:tcBorders>
              <w:bottom w:val="single" w:sz="8" w:color="auto"/>
            </w:tcBorders>
            <w:shd w:val="clear" w:color="auto" w:fill="BFE4FF"/>
          </w:tcPr>
          <w:p>
            <w:pPr>
              <w:spacing w:after="0"/>
              <w:rPr>
                <w:sz w:val="15"/>
                <w:szCs w:val="15"/>
                <w:color w:val="auto"/>
              </w:rPr>
            </w:pPr>
          </w:p>
        </w:tc>
        <w:tc>
          <w:tcPr>
            <w:tcW w:w="1220" w:type="dxa"/>
            <w:vAlign w:val="bottom"/>
            <w:tcBorders>
              <w:bottom w:val="single" w:sz="8" w:color="auto"/>
            </w:tcBorders>
            <w:shd w:val="clear" w:color="auto" w:fill="BFE4FF"/>
          </w:tcPr>
          <w:p>
            <w:pPr>
              <w:ind w:left="960"/>
              <w:spacing w:after="0"/>
              <w:rPr>
                <w:sz w:val="20"/>
                <w:szCs w:val="20"/>
                <w:color w:val="auto"/>
              </w:rPr>
            </w:pPr>
            <w:r>
              <w:rPr>
                <w:rFonts w:ascii="Arial" w:cs="Arial" w:eastAsia="Arial" w:hAnsi="Arial"/>
                <w:sz w:val="14"/>
                <w:szCs w:val="14"/>
                <w:color w:val="auto"/>
              </w:rPr>
              <w:t>143</w:t>
            </w:r>
          </w:p>
        </w:tc>
      </w:tr>
      <w:tr>
        <w:trPr>
          <w:trHeight w:val="171"/>
        </w:trPr>
        <w:tc>
          <w:tcPr>
            <w:tcW w:w="9900" w:type="dxa"/>
            <w:vAlign w:val="bottom"/>
          </w:tcPr>
          <w:p>
            <w:pPr>
              <w:ind w:left="20"/>
              <w:spacing w:after="0"/>
              <w:rPr>
                <w:sz w:val="20"/>
                <w:szCs w:val="20"/>
                <w:color w:val="auto"/>
              </w:rPr>
            </w:pPr>
            <w:r>
              <w:rPr>
                <w:rFonts w:ascii="Arial" w:cs="Arial" w:eastAsia="Arial" w:hAnsi="Arial"/>
                <w:sz w:val="14"/>
                <w:szCs w:val="14"/>
                <w:color w:val="auto"/>
              </w:rPr>
              <w:t>Total lease payments</w:t>
            </w:r>
          </w:p>
        </w:tc>
        <w:tc>
          <w:tcPr>
            <w:tcW w:w="160" w:type="dxa"/>
            <w:vAlign w:val="bottom"/>
          </w:tcPr>
          <w:p>
            <w:pPr>
              <w:spacing w:after="0"/>
              <w:rPr>
                <w:sz w:val="14"/>
                <w:szCs w:val="14"/>
                <w:color w:val="auto"/>
              </w:rPr>
            </w:pPr>
          </w:p>
        </w:tc>
        <w:tc>
          <w:tcPr>
            <w:tcW w:w="1220" w:type="dxa"/>
            <w:vAlign w:val="bottom"/>
          </w:tcPr>
          <w:p>
            <w:pPr>
              <w:ind w:left="960"/>
              <w:spacing w:after="0"/>
              <w:rPr>
                <w:sz w:val="20"/>
                <w:szCs w:val="20"/>
                <w:color w:val="auto"/>
              </w:rPr>
            </w:pPr>
            <w:r>
              <w:rPr>
                <w:rFonts w:ascii="Arial" w:cs="Arial" w:eastAsia="Arial" w:hAnsi="Arial"/>
                <w:sz w:val="14"/>
                <w:szCs w:val="14"/>
                <w:color w:val="auto"/>
              </w:rPr>
              <w:t>550</w:t>
            </w:r>
          </w:p>
        </w:tc>
      </w:tr>
      <w:tr>
        <w:trPr>
          <w:trHeight w:val="180"/>
        </w:trPr>
        <w:tc>
          <w:tcPr>
            <w:tcW w:w="9900" w:type="dxa"/>
            <w:vAlign w:val="bottom"/>
            <w:shd w:val="clear" w:color="auto" w:fill="BFE4FF"/>
          </w:tcPr>
          <w:p>
            <w:pPr>
              <w:ind w:left="20"/>
              <w:spacing w:after="0"/>
              <w:rPr>
                <w:sz w:val="20"/>
                <w:szCs w:val="20"/>
                <w:color w:val="auto"/>
              </w:rPr>
            </w:pPr>
            <w:r>
              <w:rPr>
                <w:rFonts w:ascii="Arial" w:cs="Arial" w:eastAsia="Arial" w:hAnsi="Arial"/>
                <w:sz w:val="14"/>
                <w:szCs w:val="14"/>
                <w:color w:val="auto"/>
              </w:rPr>
              <w:t>Less: Amounts representing interest</w:t>
            </w:r>
          </w:p>
        </w:tc>
        <w:tc>
          <w:tcPr>
            <w:tcW w:w="160" w:type="dxa"/>
            <w:vAlign w:val="bottom"/>
            <w:tcBorders>
              <w:bottom w:val="single" w:sz="8" w:color="auto"/>
            </w:tcBorders>
            <w:shd w:val="clear" w:color="auto" w:fill="BFE4FF"/>
          </w:tcPr>
          <w:p>
            <w:pPr>
              <w:spacing w:after="0"/>
              <w:rPr>
                <w:sz w:val="15"/>
                <w:szCs w:val="15"/>
                <w:color w:val="auto"/>
              </w:rPr>
            </w:pPr>
          </w:p>
        </w:tc>
        <w:tc>
          <w:tcPr>
            <w:tcW w:w="1220" w:type="dxa"/>
            <w:vAlign w:val="bottom"/>
            <w:tcBorders>
              <w:bottom w:val="single" w:sz="8" w:color="auto"/>
            </w:tcBorders>
            <w:shd w:val="clear" w:color="auto" w:fill="BFE4FF"/>
          </w:tcPr>
          <w:p>
            <w:pPr>
              <w:ind w:left="960"/>
              <w:spacing w:after="0"/>
              <w:rPr>
                <w:sz w:val="20"/>
                <w:szCs w:val="20"/>
                <w:color w:val="auto"/>
              </w:rPr>
            </w:pPr>
            <w:r>
              <w:rPr>
                <w:rFonts w:ascii="Arial" w:cs="Arial" w:eastAsia="Arial" w:hAnsi="Arial"/>
                <w:sz w:val="14"/>
                <w:szCs w:val="14"/>
                <w:color w:val="auto"/>
                <w:w w:val="96"/>
              </w:rPr>
              <w:t>(65)</w:t>
            </w:r>
          </w:p>
        </w:tc>
      </w:tr>
      <w:tr>
        <w:trPr>
          <w:trHeight w:val="171"/>
        </w:trPr>
        <w:tc>
          <w:tcPr>
            <w:tcW w:w="9900" w:type="dxa"/>
            <w:vAlign w:val="bottom"/>
          </w:tcPr>
          <w:p>
            <w:pPr>
              <w:ind w:left="20"/>
              <w:spacing w:after="0"/>
              <w:rPr>
                <w:sz w:val="20"/>
                <w:szCs w:val="20"/>
                <w:color w:val="auto"/>
              </w:rPr>
            </w:pPr>
            <w:r>
              <w:rPr>
                <w:rFonts w:ascii="Arial" w:cs="Arial" w:eastAsia="Arial" w:hAnsi="Arial"/>
                <w:sz w:val="14"/>
                <w:szCs w:val="14"/>
                <w:color w:val="auto"/>
              </w:rPr>
              <w:t>Present value of lease liabilities</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485</w:t>
            </w:r>
          </w:p>
        </w:tc>
      </w:tr>
      <w:tr>
        <w:trPr>
          <w:trHeight w:val="20"/>
        </w:trPr>
        <w:tc>
          <w:tcPr>
            <w:tcW w:w="9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10 –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On September 14, 2022, in connection with the Merger, the Company implemented the Reverse Stock Split, as described in Note 1. All share and per share amounts of common stock, options and warrants in the accompanying financial statements have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Plans</w:t>
      </w:r>
    </w:p>
    <w:p>
      <w:pPr>
        <w:spacing w:after="0" w:line="125"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2"/>
          <w:szCs w:val="12"/>
          <w:color w:val="auto"/>
        </w:rPr>
        <w:t>The Company has used long-term incentive plans for the purpose of granting equity awards to employees of the Company, including officers, and nonemployees, including consultants and nonemployee members of the Company's board of directors (collectively, the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2018 Equity Incentive Compensation Plan (the “2018 Plan”), as adopted by the stockholders of the Company in June 2018, and subsequently increased by the stockholders of the Company in September 2022 with 333,333 shares authorized for issuance thereunder and in June 2021 with 400,000 shares authorized for issuance thereunder and in June of 2020 with 166,667 shares authorized for issuance thereunder, plus any shares awarded under the 2015 Equity Compensation Plan (the “2015 Plan”) or the Amended and Restated 2009 Equity Compensation Plan (the “2009 Plan”) that are not issued due to their subsequent forfeiture, cancellation, or other settlement thereof. Concurrent with the adoption of the 2018 Plan, no future awards will occur under the 2015 Plan or the 2009 Plan. The awards that may be made under the 2018 Plan include: (a) incentive stock options and nonqualified stock options, (b) shares of restricted stock,</w:t>
      </w:r>
    </w:p>
    <w:p>
      <w:pPr>
        <w:spacing w:after="0" w:line="2" w:lineRule="exact"/>
        <w:rPr>
          <w:sz w:val="20"/>
          <w:szCs w:val="20"/>
          <w:color w:val="auto"/>
        </w:rPr>
      </w:pPr>
    </w:p>
    <w:p>
      <w:pPr>
        <w:jc w:val="both"/>
        <w:ind w:firstLine="5"/>
        <w:spacing w:after="0" w:line="313" w:lineRule="auto"/>
        <w:tabs>
          <w:tab w:leader="none" w:pos="194"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restricted stock units, and (d) other kinds of equity-based compensation awards. All stock options under the 2015 Plan and 2009 Plan were granted and the 2018 Plan are granted at the fair market value of the common stock at the grant date. Stock options vest either on the date of grant, ratably over a period determined at time of grant, or upon the accomplishment of specified business milestones, and generally expire 2, 3, or 10 years from the grant date depending on the status of the recipient as a nonemployee, employee or director of the Company. As of December 31, 2022 and 2021 there were 578,097 shares and 372,377 shares, respectively available for future grants under the 2018 Plan. No additional awards may be made under the 2015 Plan or the 2009 Plan.</w:t>
      </w:r>
    </w:p>
    <w:p>
      <w:pPr>
        <w:spacing w:after="0" w:line="6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adopted an employee stock purchase plan effective January 1, 2013 and authorized 3,333 shares under the plan (the “2012 ESPP”). The plan has two six-month offering periods per year under which eligible employees may contribute up to 15% of their compensation toward the purchase of the Company's common stock per offering period (with a $25,000 fair market value cap per calendar year). The employee's purchase price is equal to (i) 85% of the closing price of a share of the Company's common stock on the enrollment date of such offering period or (ii) 85% of the closing price of a share of the Company's common stock on the Exercise Date of such Offering Period, whichever is lower. In May 2017, the Company's stockholders approved an amendment and restatement to the 2012 ESPP (the “2017 ESPP”) in order to effect an increase of authorized shares from 3,333 to 6,667. In June 2018, the Company's stockholders approved an amendment to the 2017 ESPP (the “Amended 2017 ESPP”) in order to effect an increase of authorized shares from 6,667 to 33,333. During the year ended December 31, 2022, 10,695 shares were issued under the Amended 2017 ESPP. At December 31, 2022 and 2021, the Company had 9,352 shares and 20,038 shares, respectively of the Company's common stock available for future grant in connection with this plan.</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Issuances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Purchase Agreement</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12,101 shares of common stock as commitment shares.</w:t>
      </w:r>
    </w:p>
    <w:p>
      <w:pPr>
        <w:spacing w:after="0" w:line="82" w:lineRule="exact"/>
        <w:rPr>
          <w:sz w:val="20"/>
          <w:szCs w:val="20"/>
          <w:color w:val="auto"/>
        </w:rPr>
      </w:pPr>
    </w:p>
    <w:p>
      <w:pPr>
        <w:jc w:val="both"/>
        <w:ind w:firstLine="255"/>
        <w:spacing w:after="0" w:line="307" w:lineRule="auto"/>
        <w:rPr>
          <w:sz w:val="20"/>
          <w:szCs w:val="20"/>
          <w:color w:val="auto"/>
        </w:rPr>
      </w:pPr>
      <w:r>
        <w:rPr>
          <w:rFonts w:ascii="Arial" w:cs="Arial" w:eastAsia="Arial" w:hAnsi="Arial"/>
          <w:sz w:val="12"/>
          <w:szCs w:val="12"/>
          <w:color w:val="auto"/>
        </w:rPr>
        <w:t>Pursuant to the Purchase Agreement, upon commencement Lincoln Park purchased 16,667 shares of common stock, at a price of $60.00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6,667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pursuant to the corresponding Regular Purchase or (ii) 30% of the total number of shares of the Company’s common stock traded during a specified period on the applicable purchase date as set forth in the Purchase Agreement (each, an "Accelerated Purchase"). Under certain circumstances and in accordance with the Purchase Agreement, the Company may direct Lincoln Park to purchase shares in multiple accelerated purchases on the same trading day.</w:t>
      </w:r>
    </w:p>
    <w:p>
      <w:pPr>
        <w:spacing w:after="0" w:line="78"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71"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7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December 31, 2022, the Company had not made any sales of common stock to Lincoln Park under the Purchase Agreement other than the Initial Purchase. The agreement expired on April 1, 2022.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At The Market Offering Agreement</w:t>
      </w:r>
    </w:p>
    <w:p>
      <w:pPr>
        <w:spacing w:after="0" w:line="125"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During the years ended December 31, 2022 and 2021, the Company had not issued any shares under the ATM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 and Warrants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connection with the Merger and after giving effect to the Reverse Stock Split, the Company assumed 1,227,776 options outstanding from Cend. The options granted from the Cend Plan are exercisable at various dates as determined upon grant and will expire no more than ten years from their original date of grant. The Cend Plan stock options generally vest over a four-year term. The following table summarizes the activity for stock options and warrants for the year ended December 31, 2022:</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ind w:left="580"/>
              <w:spacing w:after="0"/>
              <w:rPr>
                <w:sz w:val="20"/>
                <w:szCs w:val="20"/>
                <w:color w:val="auto"/>
              </w:rPr>
            </w:pPr>
            <w:r>
              <w:rPr>
                <w:rFonts w:ascii="Arial" w:cs="Arial" w:eastAsia="Arial" w:hAnsi="Arial"/>
                <w:sz w:val="11"/>
                <w:szCs w:val="11"/>
                <w:color w:val="auto"/>
              </w:rPr>
              <w:t>Stock Options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760"/>
              <w:spacing w:after="0"/>
              <w:rPr>
                <w:sz w:val="20"/>
                <w:szCs w:val="20"/>
                <w:color w:val="auto"/>
              </w:rPr>
            </w:pPr>
            <w:r>
              <w:rPr>
                <w:rFonts w:ascii="Arial" w:cs="Arial" w:eastAsia="Arial" w:hAnsi="Arial"/>
                <w:sz w:val="11"/>
                <w:szCs w:val="11"/>
                <w:color w:val="auto"/>
              </w:rPr>
              <w:t>Warrants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560" w:type="dxa"/>
            <w:vAlign w:val="bottom"/>
          </w:tcPr>
          <w:p>
            <w:pPr>
              <w:spacing w:after="0"/>
              <w:rPr>
                <w:sz w:val="9"/>
                <w:szCs w:val="9"/>
                <w:color w:val="auto"/>
              </w:rPr>
            </w:pPr>
          </w:p>
        </w:tc>
        <w:tc>
          <w:tcPr>
            <w:tcW w:w="120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Shares</w:t>
            </w:r>
          </w:p>
        </w:tc>
        <w:tc>
          <w:tcPr>
            <w:tcW w:w="60" w:type="dxa"/>
            <w:vAlign w:val="bottom"/>
          </w:tcPr>
          <w:p>
            <w:pPr>
              <w:spacing w:after="0"/>
              <w:rPr>
                <w:sz w:val="9"/>
                <w:szCs w:val="9"/>
                <w:color w:val="auto"/>
              </w:rPr>
            </w:pPr>
          </w:p>
        </w:tc>
        <w:tc>
          <w:tcPr>
            <w:tcW w:w="1000" w:type="dxa"/>
            <w:vAlign w:val="bottom"/>
            <w:gridSpan w:val="2"/>
          </w:tcPr>
          <w:p>
            <w:pPr>
              <w:jc w:val="center"/>
              <w:ind w:right="160"/>
              <w:spacing w:after="0" w:line="112" w:lineRule="exact"/>
              <w:rPr>
                <w:sz w:val="20"/>
                <w:szCs w:val="20"/>
                <w:color w:val="auto"/>
              </w:rPr>
            </w:pPr>
            <w:r>
              <w:rPr>
                <w:rFonts w:ascii="Arial" w:cs="Arial" w:eastAsia="Arial" w:hAnsi="Arial"/>
                <w:sz w:val="11"/>
                <w:szCs w:val="11"/>
                <w:color w:val="auto"/>
                <w:w w:val="92"/>
              </w:rPr>
              <w:t>Weighted Average</w:t>
            </w: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0"/>
              </w:rPr>
              <w:t>Weighted Average</w:t>
            </w:r>
          </w:p>
        </w:tc>
        <w:tc>
          <w:tcPr>
            <w:tcW w:w="1000" w:type="dxa"/>
            <w:vAlign w:val="bottom"/>
            <w:gridSpan w:val="2"/>
          </w:tcPr>
          <w:p>
            <w:pPr>
              <w:jc w:val="center"/>
              <w:spacing w:after="0" w:line="112" w:lineRule="exact"/>
              <w:rPr>
                <w:sz w:val="20"/>
                <w:szCs w:val="20"/>
                <w:color w:val="auto"/>
              </w:rPr>
            </w:pPr>
            <w:r>
              <w:rPr>
                <w:rFonts w:ascii="Arial" w:cs="Arial" w:eastAsia="Arial" w:hAnsi="Arial"/>
                <w:sz w:val="11"/>
                <w:szCs w:val="11"/>
                <w:color w:val="auto"/>
                <w:w w:val="95"/>
              </w:rPr>
              <w:t>Aggregate Intrinsic</w:t>
            </w:r>
          </w:p>
        </w:tc>
        <w:tc>
          <w:tcPr>
            <w:tcW w:w="80" w:type="dxa"/>
            <w:vAlign w:val="bottom"/>
          </w:tcPr>
          <w:p>
            <w:pPr>
              <w:spacing w:after="0"/>
              <w:rPr>
                <w:sz w:val="9"/>
                <w:szCs w:val="9"/>
                <w:color w:val="auto"/>
              </w:rPr>
            </w:pPr>
          </w:p>
        </w:tc>
        <w:tc>
          <w:tcPr>
            <w:tcW w:w="1100" w:type="dxa"/>
            <w:vAlign w:val="bottom"/>
            <w:gridSpan w:val="2"/>
          </w:tcPr>
          <w:p>
            <w:pPr>
              <w:ind w:left="340"/>
              <w:spacing w:after="0" w:line="112" w:lineRule="exact"/>
              <w:rPr>
                <w:sz w:val="20"/>
                <w:szCs w:val="20"/>
                <w:color w:val="auto"/>
              </w:rPr>
            </w:pPr>
            <w:r>
              <w:rPr>
                <w:rFonts w:ascii="Arial" w:cs="Arial" w:eastAsia="Arial" w:hAnsi="Arial"/>
                <w:sz w:val="11"/>
                <w:szCs w:val="11"/>
                <w:color w:val="auto"/>
              </w:rPr>
              <w:t>Shares</w:t>
            </w:r>
          </w:p>
        </w:tc>
        <w:tc>
          <w:tcPr>
            <w:tcW w:w="60" w:type="dxa"/>
            <w:vAlign w:val="bottom"/>
          </w:tcPr>
          <w:p>
            <w:pPr>
              <w:spacing w:after="0"/>
              <w:rPr>
                <w:sz w:val="9"/>
                <w:szCs w:val="9"/>
                <w:color w:val="auto"/>
              </w:rPr>
            </w:pPr>
          </w:p>
        </w:tc>
        <w:tc>
          <w:tcPr>
            <w:tcW w:w="1020" w:type="dxa"/>
            <w:vAlign w:val="bottom"/>
            <w:gridSpan w:val="2"/>
          </w:tcPr>
          <w:p>
            <w:pPr>
              <w:jc w:val="center"/>
              <w:ind w:right="180"/>
              <w:spacing w:after="0" w:line="112" w:lineRule="exact"/>
              <w:rPr>
                <w:sz w:val="20"/>
                <w:szCs w:val="20"/>
                <w:color w:val="auto"/>
              </w:rPr>
            </w:pPr>
            <w:r>
              <w:rPr>
                <w:rFonts w:ascii="Arial" w:cs="Arial" w:eastAsia="Arial" w:hAnsi="Arial"/>
                <w:sz w:val="11"/>
                <w:szCs w:val="11"/>
                <w:color w:val="auto"/>
                <w:w w:val="92"/>
              </w:rPr>
              <w:t>Weighted Average</w:t>
            </w:r>
          </w:p>
        </w:tc>
        <w:tc>
          <w:tcPr>
            <w:tcW w:w="10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2"/>
              </w:rPr>
              <w:t>Weighted Average</w:t>
            </w:r>
          </w:p>
        </w:tc>
        <w:tc>
          <w:tcPr>
            <w:tcW w:w="980" w:type="dxa"/>
            <w:vAlign w:val="bottom"/>
            <w:gridSpan w:val="2"/>
          </w:tcPr>
          <w:p>
            <w:pPr>
              <w:jc w:val="center"/>
              <w:spacing w:after="0" w:line="112" w:lineRule="exact"/>
              <w:rPr>
                <w:sz w:val="20"/>
                <w:szCs w:val="20"/>
                <w:color w:val="auto"/>
              </w:rPr>
            </w:pPr>
            <w:r>
              <w:rPr>
                <w:rFonts w:ascii="Arial" w:cs="Arial" w:eastAsia="Arial" w:hAnsi="Arial"/>
                <w:sz w:val="11"/>
                <w:szCs w:val="11"/>
                <w:color w:val="auto"/>
                <w:w w:val="95"/>
              </w:rPr>
              <w:t>Aggregate Intrinsic</w:t>
            </w:r>
          </w:p>
        </w:tc>
        <w:tc>
          <w:tcPr>
            <w:tcW w:w="0" w:type="dxa"/>
            <w:vAlign w:val="bottom"/>
          </w:tcPr>
          <w:p>
            <w:pPr>
              <w:spacing w:after="0"/>
              <w:rPr>
                <w:sz w:val="1"/>
                <w:szCs w:val="1"/>
                <w:color w:val="auto"/>
              </w:rPr>
            </w:pPr>
          </w:p>
        </w:tc>
      </w:tr>
      <w:tr>
        <w:trPr>
          <w:trHeight w:val="111"/>
        </w:trPr>
        <w:tc>
          <w:tcPr>
            <w:tcW w:w="2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tcPr>
          <w:p>
            <w:pPr>
              <w:jc w:val="center"/>
              <w:ind w:right="160"/>
              <w:spacing w:after="0" w:line="111" w:lineRule="exact"/>
              <w:rPr>
                <w:sz w:val="20"/>
                <w:szCs w:val="20"/>
                <w:color w:val="auto"/>
              </w:rPr>
            </w:pPr>
            <w:r>
              <w:rPr>
                <w:rFonts w:ascii="Arial" w:cs="Arial" w:eastAsia="Arial" w:hAnsi="Arial"/>
                <w:sz w:val="11"/>
                <w:szCs w:val="11"/>
                <w:color w:val="auto"/>
                <w:w w:val="90"/>
              </w:rPr>
              <w:t>Exercise Price</w:t>
            </w:r>
          </w:p>
        </w:tc>
        <w:tc>
          <w:tcPr>
            <w:tcW w:w="1080" w:type="dxa"/>
            <w:vAlign w:val="bottom"/>
            <w:gridSpan w:val="2"/>
          </w:tcPr>
          <w:p>
            <w:pPr>
              <w:jc w:val="center"/>
              <w:ind w:right="100"/>
              <w:spacing w:after="0" w:line="111" w:lineRule="exact"/>
              <w:rPr>
                <w:sz w:val="20"/>
                <w:szCs w:val="20"/>
                <w:color w:val="auto"/>
              </w:rPr>
            </w:pPr>
            <w:r>
              <w:rPr>
                <w:rFonts w:ascii="Arial" w:cs="Arial" w:eastAsia="Arial" w:hAnsi="Arial"/>
                <w:sz w:val="11"/>
                <w:szCs w:val="11"/>
                <w:color w:val="auto"/>
                <w:w w:val="95"/>
              </w:rPr>
              <w:t>Remaining</w:t>
            </w: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11" w:lineRule="exact"/>
              <w:rPr>
                <w:sz w:val="20"/>
                <w:szCs w:val="20"/>
                <w:color w:val="auto"/>
              </w:rPr>
            </w:pPr>
            <w:r>
              <w:rPr>
                <w:rFonts w:ascii="Arial" w:cs="Arial" w:eastAsia="Arial" w:hAnsi="Arial"/>
                <w:sz w:val="11"/>
                <w:szCs w:val="11"/>
                <w:color w:val="auto"/>
                <w:w w:val="95"/>
              </w:rPr>
              <w:t>Value (In</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180"/>
              <w:spacing w:after="0" w:line="111" w:lineRule="exact"/>
              <w:rPr>
                <w:sz w:val="20"/>
                <w:szCs w:val="20"/>
                <w:color w:val="auto"/>
              </w:rPr>
            </w:pPr>
            <w:r>
              <w:rPr>
                <w:rFonts w:ascii="Arial" w:cs="Arial" w:eastAsia="Arial" w:hAnsi="Arial"/>
                <w:sz w:val="11"/>
                <w:szCs w:val="11"/>
                <w:color w:val="auto"/>
                <w:w w:val="90"/>
              </w:rPr>
              <w:t>Exercise Price</w:t>
            </w:r>
          </w:p>
        </w:tc>
        <w:tc>
          <w:tcPr>
            <w:tcW w:w="1080" w:type="dxa"/>
            <w:vAlign w:val="bottom"/>
            <w:gridSpan w:val="2"/>
          </w:tcPr>
          <w:p>
            <w:pPr>
              <w:jc w:val="center"/>
              <w:ind w:right="120"/>
              <w:spacing w:after="0" w:line="111" w:lineRule="exact"/>
              <w:rPr>
                <w:sz w:val="20"/>
                <w:szCs w:val="20"/>
                <w:color w:val="auto"/>
              </w:rPr>
            </w:pPr>
            <w:r>
              <w:rPr>
                <w:rFonts w:ascii="Arial" w:cs="Arial" w:eastAsia="Arial" w:hAnsi="Arial"/>
                <w:sz w:val="11"/>
                <w:szCs w:val="11"/>
                <w:color w:val="auto"/>
                <w:w w:val="91"/>
              </w:rPr>
              <w:t>Remaining</w:t>
            </w:r>
          </w:p>
        </w:tc>
        <w:tc>
          <w:tcPr>
            <w:tcW w:w="140" w:type="dxa"/>
            <w:vAlign w:val="bottom"/>
          </w:tcPr>
          <w:p>
            <w:pPr>
              <w:spacing w:after="0"/>
              <w:rPr>
                <w:sz w:val="9"/>
                <w:szCs w:val="9"/>
                <w:color w:val="auto"/>
              </w:rPr>
            </w:pPr>
          </w:p>
        </w:tc>
        <w:tc>
          <w:tcPr>
            <w:tcW w:w="840" w:type="dxa"/>
            <w:vAlign w:val="bottom"/>
          </w:tcPr>
          <w:p>
            <w:pPr>
              <w:jc w:val="center"/>
              <w:ind w:right="83"/>
              <w:spacing w:after="0" w:line="111" w:lineRule="exact"/>
              <w:rPr>
                <w:sz w:val="20"/>
                <w:szCs w:val="20"/>
                <w:color w:val="auto"/>
              </w:rPr>
            </w:pPr>
            <w:r>
              <w:rPr>
                <w:rFonts w:ascii="Arial" w:cs="Arial" w:eastAsia="Arial" w:hAnsi="Arial"/>
                <w:sz w:val="11"/>
                <w:szCs w:val="11"/>
                <w:color w:val="auto"/>
                <w:w w:val="95"/>
              </w:rPr>
              <w:t>Value (In</w:t>
            </w:r>
          </w:p>
        </w:tc>
        <w:tc>
          <w:tcPr>
            <w:tcW w:w="0" w:type="dxa"/>
            <w:vAlign w:val="bottom"/>
          </w:tcPr>
          <w:p>
            <w:pPr>
              <w:spacing w:after="0"/>
              <w:rPr>
                <w:sz w:val="1"/>
                <w:szCs w:val="1"/>
                <w:color w:val="auto"/>
              </w:rPr>
            </w:pPr>
          </w:p>
        </w:tc>
      </w:tr>
      <w:tr>
        <w:trPr>
          <w:trHeight w:val="112"/>
        </w:trPr>
        <w:tc>
          <w:tcPr>
            <w:tcW w:w="2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1"/>
              </w:rPr>
              <w:t>Contractual Term</w:t>
            </w:r>
          </w:p>
        </w:tc>
        <w:tc>
          <w:tcPr>
            <w:tcW w:w="160" w:type="dxa"/>
            <w:vAlign w:val="bottom"/>
          </w:tcPr>
          <w:p>
            <w:pPr>
              <w:spacing w:after="0"/>
              <w:rPr>
                <w:sz w:val="9"/>
                <w:szCs w:val="9"/>
                <w:color w:val="auto"/>
              </w:rPr>
            </w:pPr>
          </w:p>
        </w:tc>
        <w:tc>
          <w:tcPr>
            <w:tcW w:w="920" w:type="dxa"/>
            <w:vAlign w:val="bottom"/>
            <w:gridSpan w:val="2"/>
          </w:tcPr>
          <w:p>
            <w:pPr>
              <w:jc w:val="center"/>
              <w:ind w:right="240"/>
              <w:spacing w:after="0" w:line="112" w:lineRule="exact"/>
              <w:rPr>
                <w:sz w:val="20"/>
                <w:szCs w:val="20"/>
                <w:color w:val="auto"/>
              </w:rPr>
            </w:pPr>
            <w:r>
              <w:rPr>
                <w:rFonts w:ascii="Arial" w:cs="Arial" w:eastAsia="Arial" w:hAnsi="Arial"/>
                <w:sz w:val="11"/>
                <w:szCs w:val="11"/>
                <w:color w:val="auto"/>
                <w:w w:val="89"/>
              </w:rPr>
              <w:t>Thousands)</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12" w:lineRule="exact"/>
              <w:rPr>
                <w:sz w:val="20"/>
                <w:szCs w:val="20"/>
                <w:color w:val="auto"/>
              </w:rPr>
            </w:pPr>
            <w:r>
              <w:rPr>
                <w:rFonts w:ascii="Arial" w:cs="Arial" w:eastAsia="Arial" w:hAnsi="Arial"/>
                <w:sz w:val="11"/>
                <w:szCs w:val="11"/>
                <w:color w:val="auto"/>
                <w:w w:val="94"/>
              </w:rPr>
              <w:t>Contractual Term</w:t>
            </w:r>
          </w:p>
        </w:tc>
        <w:tc>
          <w:tcPr>
            <w:tcW w:w="140" w:type="dxa"/>
            <w:vAlign w:val="bottom"/>
          </w:tcPr>
          <w:p>
            <w:pPr>
              <w:spacing w:after="0"/>
              <w:rPr>
                <w:sz w:val="9"/>
                <w:szCs w:val="9"/>
                <w:color w:val="auto"/>
              </w:rPr>
            </w:pPr>
          </w:p>
        </w:tc>
        <w:tc>
          <w:tcPr>
            <w:tcW w:w="840" w:type="dxa"/>
            <w:vAlign w:val="bottom"/>
          </w:tcPr>
          <w:p>
            <w:pPr>
              <w:jc w:val="center"/>
              <w:ind w:right="103"/>
              <w:spacing w:after="0" w:line="112" w:lineRule="exact"/>
              <w:rPr>
                <w:sz w:val="20"/>
                <w:szCs w:val="20"/>
                <w:color w:val="auto"/>
              </w:rPr>
            </w:pPr>
            <w:r>
              <w:rPr>
                <w:rFonts w:ascii="Arial" w:cs="Arial" w:eastAsia="Arial" w:hAnsi="Arial"/>
                <w:sz w:val="11"/>
                <w:szCs w:val="11"/>
                <w:color w:val="auto"/>
                <w:w w:val="89"/>
              </w:rPr>
              <w:t>Thousands)</w:t>
            </w: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(Years)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(Years)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Outstanding at December 31, 2021</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142,041</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84.60</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1,423,774</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42.57</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20"/>
                <w:szCs w:val="20"/>
                <w:color w:val="auto"/>
              </w:rPr>
            </w:pPr>
            <w:r>
              <w:rPr>
                <w:rFonts w:ascii="Arial" w:cs="Arial" w:eastAsia="Arial" w:hAnsi="Arial"/>
                <w:sz w:val="11"/>
                <w:szCs w:val="11"/>
                <w:color w:val="auto"/>
              </w:rPr>
              <w:t>Changes during the Year:</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20"/>
                <w:szCs w:val="20"/>
                <w:color w:val="auto"/>
              </w:rPr>
            </w:pPr>
            <w:r>
              <w:rPr>
                <w:rFonts w:ascii="Arial" w:cs="Arial" w:eastAsia="Arial" w:hAnsi="Arial"/>
                <w:sz w:val="11"/>
                <w:szCs w:val="11"/>
                <w:color w:val="auto"/>
              </w:rPr>
              <w:t>Granted</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37,458</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13.49</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560" w:type="dxa"/>
            <w:vAlign w:val="bottom"/>
            <w:shd w:val="clear" w:color="auto" w:fill="CCEEFF"/>
          </w:tcPr>
          <w:p>
            <w:pPr>
              <w:spacing w:after="0"/>
              <w:rPr>
                <w:sz w:val="20"/>
                <w:szCs w:val="20"/>
                <w:color w:val="auto"/>
              </w:rPr>
            </w:pPr>
            <w:r>
              <w:rPr>
                <w:rFonts w:ascii="Arial" w:cs="Arial" w:eastAsia="Arial" w:hAnsi="Arial"/>
                <w:sz w:val="11"/>
                <w:szCs w:val="11"/>
                <w:color w:val="auto"/>
              </w:rPr>
              <w:t>Assumed through merger</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1,227,776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20"/>
                <w:szCs w:val="20"/>
                <w:color w:val="auto"/>
              </w:rPr>
            </w:pPr>
            <w:r>
              <w:rPr>
                <w:rFonts w:ascii="Arial" w:cs="Arial" w:eastAsia="Arial" w:hAnsi="Arial"/>
                <w:sz w:val="11"/>
                <w:szCs w:val="11"/>
                <w:color w:val="auto"/>
              </w:rPr>
              <w:t>Exercised</w:t>
            </w: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560" w:type="dxa"/>
            <w:vAlign w:val="bottom"/>
            <w:shd w:val="clear" w:color="auto" w:fill="CCEEFF"/>
          </w:tcPr>
          <w:p>
            <w:pPr>
              <w:spacing w:after="0"/>
              <w:rPr>
                <w:sz w:val="20"/>
                <w:szCs w:val="20"/>
                <w:color w:val="auto"/>
              </w:rPr>
            </w:pPr>
            <w:r>
              <w:rPr>
                <w:rFonts w:ascii="Arial" w:cs="Arial" w:eastAsia="Arial" w:hAnsi="Arial"/>
                <w:sz w:val="11"/>
                <w:szCs w:val="11"/>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20"/>
                <w:szCs w:val="20"/>
                <w:color w:val="auto"/>
              </w:rPr>
            </w:pPr>
            <w:r>
              <w:rPr>
                <w:rFonts w:ascii="Arial" w:cs="Arial" w:eastAsia="Arial" w:hAnsi="Arial"/>
                <w:sz w:val="11"/>
                <w:szCs w:val="11"/>
                <w:color w:val="auto"/>
              </w:rPr>
              <w:t>Expired</w:t>
            </w:r>
          </w:p>
        </w:tc>
        <w:tc>
          <w:tcPr>
            <w:tcW w:w="1100" w:type="dxa"/>
            <w:vAlign w:val="bottom"/>
          </w:tcPr>
          <w:p>
            <w:pPr>
              <w:jc w:val="right"/>
              <w:spacing w:after="0"/>
              <w:rPr>
                <w:sz w:val="20"/>
                <w:szCs w:val="20"/>
                <w:color w:val="auto"/>
              </w:rPr>
            </w:pPr>
            <w:r>
              <w:rPr>
                <w:rFonts w:ascii="Arial" w:cs="Arial" w:eastAsia="Arial" w:hAnsi="Arial"/>
                <w:sz w:val="11"/>
                <w:szCs w:val="11"/>
                <w:color w:val="auto"/>
              </w:rPr>
              <w:t>(10,079)</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192.41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Outstanding at December 31, 2022</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1,391,352</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7.03</w:t>
            </w: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187.6</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1,423,744</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42.57</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2560" w:type="dxa"/>
            <w:vAlign w:val="bottom"/>
          </w:tcPr>
          <w:p>
            <w:pPr>
              <w:spacing w:after="0" w:line="92" w:lineRule="exact"/>
              <w:rPr>
                <w:sz w:val="20"/>
                <w:szCs w:val="20"/>
                <w:color w:val="auto"/>
              </w:rPr>
            </w:pPr>
            <w:r>
              <w:rPr>
                <w:rFonts w:ascii="Arial" w:cs="Arial" w:eastAsia="Arial" w:hAnsi="Arial"/>
                <w:sz w:val="10"/>
                <w:szCs w:val="10"/>
                <w:color w:val="auto"/>
              </w:rPr>
              <w:t>Vested at December 31, 2022 or expected to vest in the</w:t>
            </w:r>
          </w:p>
        </w:tc>
        <w:tc>
          <w:tcPr>
            <w:tcW w:w="1100" w:type="dxa"/>
            <w:vAlign w:val="bottom"/>
            <w:vMerge w:val="restart"/>
          </w:tcPr>
          <w:p>
            <w:pPr>
              <w:jc w:val="right"/>
              <w:ind w:right="3"/>
              <w:spacing w:after="0"/>
              <w:rPr>
                <w:sz w:val="20"/>
                <w:szCs w:val="20"/>
                <w:color w:val="auto"/>
              </w:rPr>
            </w:pPr>
            <w:r>
              <w:rPr>
                <w:rFonts w:ascii="Arial" w:cs="Arial" w:eastAsia="Arial" w:hAnsi="Arial"/>
                <w:sz w:val="11"/>
                <w:szCs w:val="11"/>
                <w:color w:val="auto"/>
              </w:rPr>
              <w:t>1,389,844</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7.03</w:t>
            </w:r>
          </w:p>
        </w:tc>
        <w:tc>
          <w:tcPr>
            <w:tcW w:w="80" w:type="dxa"/>
            <w:vAlign w:val="bottom"/>
          </w:tcPr>
          <w:p>
            <w:pPr>
              <w:spacing w:after="0"/>
              <w:rPr>
                <w:sz w:val="8"/>
                <w:szCs w:val="8"/>
                <w:color w:val="auto"/>
              </w:rPr>
            </w:pPr>
          </w:p>
        </w:tc>
        <w:tc>
          <w:tcPr>
            <w:tcW w:w="160" w:type="dxa"/>
            <w:vAlign w:val="bottom"/>
            <w:vMerge w:val="restart"/>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vMerge w:val="restart"/>
          </w:tcPr>
          <w:p>
            <w:pPr>
              <w:jc w:val="right"/>
              <w:ind w:right="3"/>
              <w:spacing w:after="0"/>
              <w:rPr>
                <w:sz w:val="20"/>
                <w:szCs w:val="20"/>
                <w:color w:val="auto"/>
              </w:rPr>
            </w:pPr>
            <w:r>
              <w:rPr>
                <w:rFonts w:ascii="Arial" w:cs="Arial" w:eastAsia="Arial" w:hAnsi="Arial"/>
                <w:sz w:val="11"/>
                <w:szCs w:val="11"/>
                <w:color w:val="auto"/>
              </w:rPr>
              <w:t>187.6</w:t>
            </w:r>
          </w:p>
        </w:tc>
        <w:tc>
          <w:tcPr>
            <w:tcW w:w="80" w:type="dxa"/>
            <w:vAlign w:val="bottom"/>
          </w:tcPr>
          <w:p>
            <w:pPr>
              <w:spacing w:after="0"/>
              <w:rPr>
                <w:sz w:val="8"/>
                <w:szCs w:val="8"/>
                <w:color w:val="auto"/>
              </w:rPr>
            </w:pPr>
          </w:p>
        </w:tc>
        <w:tc>
          <w:tcPr>
            <w:tcW w:w="1000" w:type="dxa"/>
            <w:vAlign w:val="bottom"/>
            <w:vMerge w:val="restart"/>
          </w:tcPr>
          <w:p>
            <w:pPr>
              <w:jc w:val="right"/>
              <w:ind w:right="3"/>
              <w:spacing w:after="0"/>
              <w:rPr>
                <w:sz w:val="20"/>
                <w:szCs w:val="20"/>
                <w:color w:val="auto"/>
              </w:rPr>
            </w:pPr>
            <w:r>
              <w:rPr>
                <w:rFonts w:ascii="Arial" w:cs="Arial" w:eastAsia="Arial" w:hAnsi="Arial"/>
                <w:sz w:val="11"/>
                <w:szCs w:val="11"/>
                <w:color w:val="auto"/>
              </w:rPr>
              <w:t>1,423,744</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vMerge w:val="restart"/>
          </w:tcPr>
          <w:p>
            <w:pPr>
              <w:jc w:val="right"/>
              <w:ind w:right="3"/>
              <w:spacing w:after="0"/>
              <w:rPr>
                <w:sz w:val="20"/>
                <w:szCs w:val="20"/>
                <w:color w:val="auto"/>
              </w:rPr>
            </w:pPr>
            <w:r>
              <w:rPr>
                <w:rFonts w:ascii="Arial" w:cs="Arial" w:eastAsia="Arial" w:hAnsi="Arial"/>
                <w:sz w:val="11"/>
                <w:szCs w:val="11"/>
                <w:color w:val="auto"/>
              </w:rPr>
              <w:t>42.57</w:t>
            </w:r>
          </w:p>
        </w:tc>
        <w:tc>
          <w:tcPr>
            <w:tcW w:w="10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8"/>
                <w:szCs w:val="8"/>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ind w:left="6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7"/>
        </w:trPr>
        <w:tc>
          <w:tcPr>
            <w:tcW w:w="2560" w:type="dxa"/>
            <w:vAlign w:val="bottom"/>
          </w:tcPr>
          <w:p>
            <w:pPr>
              <w:spacing w:after="0"/>
              <w:rPr>
                <w:sz w:val="20"/>
                <w:szCs w:val="20"/>
                <w:color w:val="auto"/>
              </w:rPr>
            </w:pPr>
            <w:r>
              <w:rPr>
                <w:rFonts w:ascii="Arial" w:cs="Arial" w:eastAsia="Arial" w:hAnsi="Arial"/>
                <w:sz w:val="11"/>
                <w:szCs w:val="11"/>
                <w:color w:val="auto"/>
              </w:rPr>
              <w:t>future</w:t>
            </w:r>
          </w:p>
        </w:tc>
        <w:tc>
          <w:tcPr>
            <w:tcW w:w="11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Exercisable at December 31, 2022</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1,145,342</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11.60</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187.6</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1,423,744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42.57</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years ended December 31, 2022 and 2021, the Company issued restricted stock for services as follows ($ in thousands, except share data):</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8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96"/>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Number of Restricted Stock Issued</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70,740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Value of Restricted Stock Issued</w:t>
            </w:r>
          </w:p>
        </w:tc>
        <w:tc>
          <w:tcPr>
            <w:tcW w:w="1020" w:type="dxa"/>
            <w:vAlign w:val="bottom"/>
            <w:tcBorders>
              <w:bottom w:val="single" w:sz="8" w:color="auto"/>
            </w:tcBorders>
          </w:tcPr>
          <w:p>
            <w:pPr>
              <w:jc w:val="right"/>
              <w:ind w:right="869"/>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973.4</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877.7</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The weighted average estimated fair value of restricted stock issued for services in the years ended December 31, 2022 and 2021 was $13.76 and $21.48 per share, respectively. The fair value of the restricted stock was determined using the Company’s closing stock price on the date of issuance. The vesting terms of restricted stock issuances are generally between one to four years.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years ended December 31, 2022 and 2021, the Company issued restricted stock units for services as follows ($ in thousands, except share data):</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82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96"/>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Number of Restricted Stock Units Issued</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8"/>
              </w:rPr>
              <w:t>111,170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30,549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Value of Restricted Stock Units Issued</w:t>
            </w:r>
          </w:p>
        </w:tc>
        <w:tc>
          <w:tcPr>
            <w:tcW w:w="980" w:type="dxa"/>
            <w:vAlign w:val="bottom"/>
            <w:tcBorders>
              <w:bottom w:val="single" w:sz="8" w:color="auto"/>
            </w:tcBorders>
          </w:tcPr>
          <w:p>
            <w:pPr>
              <w:jc w:val="right"/>
              <w:ind w:right="829"/>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rPr>
              <w:t>1,385.5</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728.6</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weighted average estimated fair value of restricted stock units issued for services in the years ended December 31, 2022 and 2021 was $12.46 and $23.85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11 – Share-Based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2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Company utilizes share-based compensation in the form of stock options, restricted stock, and restricted stock units. The following table summarizes the components of share-based compensation expense for the years ended December 31, 2022 and 2021 ($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870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r>
      <w:tr>
        <w:trPr>
          <w:trHeight w:val="160"/>
        </w:trPr>
        <w:tc>
          <w:tcPr>
            <w:tcW w:w="87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3"/>
                <w:szCs w:val="13"/>
                <w:color w:val="auto"/>
              </w:rPr>
            </w:pPr>
          </w:p>
        </w:tc>
      </w:tr>
      <w:tr>
        <w:trPr>
          <w:trHeight w:val="173"/>
        </w:trPr>
        <w:tc>
          <w:tcPr>
            <w:tcW w:w="87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800" w:type="dxa"/>
            <w:vAlign w:val="bottom"/>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r>
      <w:tr>
        <w:trPr>
          <w:trHeight w:val="180"/>
        </w:trPr>
        <w:tc>
          <w:tcPr>
            <w:tcW w:w="8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1,860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w:t>
            </w:r>
          </w:p>
        </w:tc>
      </w:tr>
      <w:tr>
        <w:trPr>
          <w:trHeight w:val="19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share-based compensation expense</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2,636</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Total compensation cost related to unvested awards not yet recognized and the weighted-average periods over which the awards are expected to be recognized at December 31, 2022 were as follows ($ in thousands):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Arial" w:cs="Arial" w:eastAsia="Arial" w:hAnsi="Arial"/>
                <w:sz w:val="13"/>
                <w:szCs w:val="13"/>
                <w:b w:val="1"/>
                <w:bCs w:val="1"/>
                <w:color w:val="auto"/>
                <w:w w:val="87"/>
              </w:rPr>
              <w:t>Restricted Stock</w:t>
            </w:r>
          </w:p>
        </w:tc>
        <w:tc>
          <w:tcPr>
            <w:tcW w:w="160" w:type="dxa"/>
            <w:vAlign w:val="bottom"/>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Restricted Stock</w:t>
            </w: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Unrecognized compensation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113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80"/>
        </w:trPr>
        <w:tc>
          <w:tcPr>
            <w:tcW w:w="7360" w:type="dxa"/>
            <w:vAlign w:val="bottom"/>
          </w:tcPr>
          <w:p>
            <w:pPr>
              <w:spacing w:after="0"/>
              <w:rPr>
                <w:sz w:val="20"/>
                <w:szCs w:val="20"/>
                <w:color w:val="auto"/>
              </w:rPr>
            </w:pPr>
            <w:r>
              <w:rPr>
                <w:rFonts w:ascii="Arial" w:cs="Arial" w:eastAsia="Arial" w:hAnsi="Arial"/>
                <w:sz w:val="14"/>
                <w:szCs w:val="14"/>
                <w:color w:val="auto"/>
              </w:rPr>
              <w:t>Expected weighted-average period in years of compensation cost to be recognized</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ind w:left="840"/>
              <w:spacing w:after="0"/>
              <w:rPr>
                <w:sz w:val="20"/>
                <w:szCs w:val="20"/>
                <w:color w:val="auto"/>
              </w:rPr>
            </w:pPr>
            <w:r>
              <w:rPr>
                <w:rFonts w:ascii="Arial" w:cs="Arial" w:eastAsia="Arial" w:hAnsi="Arial"/>
                <w:sz w:val="14"/>
                <w:szCs w:val="14"/>
                <w:color w:val="auto"/>
              </w:rPr>
              <w:t>2.59</w:t>
            </w:r>
          </w:p>
        </w:tc>
        <w:tc>
          <w:tcPr>
            <w:tcW w:w="160" w:type="dxa"/>
            <w:vAlign w:val="bottom"/>
          </w:tcPr>
          <w:p>
            <w:pPr>
              <w:spacing w:after="0"/>
              <w:rPr>
                <w:sz w:val="15"/>
                <w:szCs w:val="15"/>
                <w:color w:val="auto"/>
              </w:rPr>
            </w:pPr>
          </w:p>
        </w:tc>
        <w:tc>
          <w:tcPr>
            <w:tcW w:w="1120" w:type="dxa"/>
            <w:vAlign w:val="bottom"/>
          </w:tcPr>
          <w:p>
            <w:pPr>
              <w:ind w:left="860"/>
              <w:spacing w:after="0"/>
              <w:rPr>
                <w:sz w:val="20"/>
                <w:szCs w:val="20"/>
                <w:color w:val="auto"/>
              </w:rPr>
            </w:pPr>
            <w:r>
              <w:rPr>
                <w:rFonts w:ascii="Arial" w:cs="Arial" w:eastAsia="Arial" w:hAnsi="Arial"/>
                <w:sz w:val="14"/>
                <w:szCs w:val="14"/>
                <w:color w:val="auto"/>
                <w:w w:val="87"/>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Total fair value of shares vested and the weighted average estimated fair values of shares granted for the years ended December 31, 2022 and 2021 were as follows ($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8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33"/>
              <w:spacing w:after="0"/>
              <w:rPr>
                <w:sz w:val="20"/>
                <w:szCs w:val="20"/>
                <w:color w:val="auto"/>
              </w:rPr>
            </w:pPr>
            <w:r>
              <w:rPr>
                <w:rFonts w:ascii="Arial" w:cs="Arial" w:eastAsia="Arial" w:hAnsi="Arial"/>
                <w:sz w:val="13"/>
                <w:szCs w:val="13"/>
                <w:b w:val="1"/>
                <w:bCs w:val="1"/>
                <w:color w:val="auto"/>
                <w:w w:val="86"/>
              </w:rPr>
              <w:t>Stock Options</w:t>
            </w:r>
          </w:p>
        </w:tc>
        <w:tc>
          <w:tcPr>
            <w:tcW w:w="400" w:type="dxa"/>
            <w:vAlign w:val="bottom"/>
            <w:tcBorders>
              <w:bottom w:val="single" w:sz="8" w:color="auto"/>
            </w:tcBorders>
          </w:tcPr>
          <w:p>
            <w:pPr>
              <w:spacing w:after="0"/>
              <w:rPr>
                <w:sz w:val="14"/>
                <w:szCs w:val="14"/>
                <w:color w:val="auto"/>
              </w:rPr>
            </w:pPr>
          </w:p>
        </w:tc>
      </w:tr>
      <w:tr>
        <w:trPr>
          <w:trHeight w:val="160"/>
        </w:trPr>
        <w:tc>
          <w:tcPr>
            <w:tcW w:w="870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3"/>
                <w:szCs w:val="13"/>
                <w:b w:val="1"/>
                <w:bCs w:val="1"/>
                <w:color w:val="auto"/>
                <w:w w:val="88"/>
              </w:rPr>
              <w:t>Year Ended December 31,</w:t>
            </w:r>
          </w:p>
        </w:tc>
        <w:tc>
          <w:tcPr>
            <w:tcW w:w="400" w:type="dxa"/>
            <w:vAlign w:val="bottom"/>
            <w:tcBorders>
              <w:bottom w:val="single" w:sz="8" w:color="auto"/>
            </w:tcBorders>
          </w:tcPr>
          <w:p>
            <w:pPr>
              <w:spacing w:after="0"/>
              <w:rPr>
                <w:sz w:val="13"/>
                <w:szCs w:val="13"/>
                <w:color w:val="auto"/>
              </w:rPr>
            </w:pPr>
          </w:p>
        </w:tc>
      </w:tr>
      <w:tr>
        <w:trPr>
          <w:trHeight w:val="160"/>
        </w:trPr>
        <w:tc>
          <w:tcPr>
            <w:tcW w:w="87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3"/>
                <w:szCs w:val="13"/>
                <w:color w:val="auto"/>
              </w:rPr>
            </w:pPr>
          </w:p>
        </w:tc>
      </w:tr>
      <w:tr>
        <w:trPr>
          <w:trHeight w:val="173"/>
        </w:trPr>
        <w:tc>
          <w:tcPr>
            <w:tcW w:w="8700" w:type="dxa"/>
            <w:vAlign w:val="bottom"/>
            <w:shd w:val="clear" w:color="auto" w:fill="CCEEFF"/>
          </w:tcPr>
          <w:p>
            <w:pPr>
              <w:spacing w:after="0"/>
              <w:rPr>
                <w:sz w:val="20"/>
                <w:szCs w:val="20"/>
                <w:color w:val="auto"/>
              </w:rPr>
            </w:pPr>
            <w:r>
              <w:rPr>
                <w:rFonts w:ascii="Arial" w:cs="Arial" w:eastAsia="Arial" w:hAnsi="Arial"/>
                <w:sz w:val="14"/>
                <w:szCs w:val="14"/>
                <w:color w:val="auto"/>
              </w:rPr>
              <w:t>Total fair value of shares vested</w:t>
            </w:r>
          </w:p>
        </w:tc>
        <w:tc>
          <w:tcPr>
            <w:tcW w:w="80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1,045</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80"/>
        </w:trPr>
        <w:tc>
          <w:tcPr>
            <w:tcW w:w="8700" w:type="dxa"/>
            <w:vAlign w:val="bottom"/>
          </w:tcPr>
          <w:p>
            <w:pPr>
              <w:spacing w:after="0"/>
              <w:rPr>
                <w:sz w:val="20"/>
                <w:szCs w:val="20"/>
                <w:color w:val="auto"/>
              </w:rPr>
            </w:pPr>
            <w:r>
              <w:rPr>
                <w:rFonts w:ascii="Arial" w:cs="Arial" w:eastAsia="Arial" w:hAnsi="Arial"/>
                <w:sz w:val="14"/>
                <w:szCs w:val="14"/>
                <w:color w:val="auto"/>
              </w:rPr>
              <w:t>Weighted average estimated fair value of shares granted</w:t>
            </w:r>
          </w:p>
        </w:tc>
        <w:tc>
          <w:tcPr>
            <w:tcW w:w="8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1.23</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0.91</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Assumptions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fair value of stock options at the date of grant was estimated using the Black-Scholes option pricing model. The expected volatility is based upon historical volatility of the Company’s stock.</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expected term for the options is based upon observation of actual time elapsed between date of grant and exercise of options for all employees.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range of assumptions made in calculating the fair values of stock options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809"/>
              <w:spacing w:after="0"/>
              <w:rPr>
                <w:sz w:val="20"/>
                <w:szCs w:val="20"/>
                <w:color w:val="auto"/>
              </w:rPr>
            </w:pPr>
            <w:r>
              <w:rPr>
                <w:rFonts w:ascii="Arial" w:cs="Arial" w:eastAsia="Arial" w:hAnsi="Arial"/>
                <w:sz w:val="13"/>
                <w:szCs w:val="13"/>
                <w:b w:val="1"/>
                <w:bCs w:val="1"/>
                <w:color w:val="auto"/>
                <w:w w:val="88"/>
              </w:rPr>
              <w:t>Stock Options</w:t>
            </w:r>
          </w:p>
        </w:tc>
      </w:tr>
      <w:tr>
        <w:trPr>
          <w:trHeight w:val="160"/>
        </w:trPr>
        <w:tc>
          <w:tcPr>
            <w:tcW w:w="8620" w:type="dxa"/>
            <w:vAlign w:val="bottom"/>
          </w:tcPr>
          <w:p>
            <w:pPr>
              <w:spacing w:after="0"/>
              <w:rPr>
                <w:sz w:val="13"/>
                <w:szCs w:val="13"/>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r>
      <w:tr>
        <w:trPr>
          <w:trHeight w:val="160"/>
        </w:trPr>
        <w:tc>
          <w:tcPr>
            <w:tcW w:w="8620" w:type="dxa"/>
            <w:vAlign w:val="bottom"/>
          </w:tcPr>
          <w:p>
            <w:pPr>
              <w:spacing w:after="0"/>
              <w:rPr>
                <w:sz w:val="13"/>
                <w:szCs w:val="13"/>
                <w:color w:val="auto"/>
              </w:rPr>
            </w:pPr>
          </w:p>
        </w:tc>
        <w:tc>
          <w:tcPr>
            <w:tcW w:w="880" w:type="dxa"/>
            <w:vAlign w:val="bottom"/>
          </w:tcPr>
          <w:p>
            <w:pPr>
              <w:jc w:val="center"/>
              <w:ind w:left="311"/>
              <w:spacing w:after="0"/>
              <w:rPr>
                <w:sz w:val="20"/>
                <w:szCs w:val="20"/>
                <w:color w:val="auto"/>
              </w:rPr>
            </w:pPr>
            <w:r>
              <w:rPr>
                <w:rFonts w:ascii="Arial" w:cs="Arial" w:eastAsia="Arial" w:hAnsi="Arial"/>
                <w:sz w:val="13"/>
                <w:szCs w:val="13"/>
                <w:b w:val="1"/>
                <w:bCs w:val="1"/>
                <w:color w:val="auto"/>
                <w:w w:val="89"/>
              </w:rPr>
              <w:t>2022</w:t>
            </w:r>
          </w:p>
        </w:tc>
        <w:tc>
          <w:tcPr>
            <w:tcW w:w="1740" w:type="dxa"/>
            <w:vAlign w:val="bottom"/>
            <w:gridSpan w:val="3"/>
          </w:tcPr>
          <w:p>
            <w:pPr>
              <w:jc w:val="center"/>
              <w:ind w:left="411"/>
              <w:spacing w:after="0"/>
              <w:rPr>
                <w:sz w:val="20"/>
                <w:szCs w:val="20"/>
                <w:color w:val="auto"/>
              </w:rPr>
            </w:pPr>
            <w:r>
              <w:rPr>
                <w:rFonts w:ascii="Arial" w:cs="Arial" w:eastAsia="Arial" w:hAnsi="Arial"/>
                <w:sz w:val="13"/>
                <w:szCs w:val="13"/>
                <w:b w:val="1"/>
                <w:bCs w:val="1"/>
                <w:color w:val="auto"/>
                <w:w w:val="89"/>
              </w:rPr>
              <w:t>2021</w:t>
            </w:r>
          </w:p>
        </w:tc>
      </w:tr>
      <w:tr>
        <w:trPr>
          <w:trHeight w:val="173"/>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 minimum (in years)</w:t>
            </w:r>
          </w:p>
        </w:tc>
        <w:tc>
          <w:tcPr>
            <w:tcW w:w="880" w:type="dxa"/>
            <w:vAlign w:val="bottom"/>
            <w:tcBorders>
              <w:top w:val="single" w:sz="8" w:color="auto"/>
            </w:tcBorders>
            <w:shd w:val="clear" w:color="auto" w:fill="CCEEFF"/>
          </w:tcPr>
          <w:p>
            <w:pPr>
              <w:jc w:val="center"/>
              <w:ind w:left="311"/>
              <w:spacing w:after="0"/>
              <w:rPr>
                <w:sz w:val="20"/>
                <w:szCs w:val="20"/>
                <w:color w:val="auto"/>
              </w:rPr>
            </w:pPr>
            <w:r>
              <w:rPr>
                <w:rFonts w:ascii="Arial" w:cs="Arial" w:eastAsia="Arial" w:hAnsi="Arial"/>
                <w:sz w:val="14"/>
                <w:szCs w:val="14"/>
                <w:color w:val="auto"/>
                <w:w w:val="76"/>
              </w:rPr>
              <w:t>6</w:t>
            </w: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6</w:t>
            </w:r>
          </w:p>
        </w:tc>
      </w:tr>
      <w:tr>
        <w:trPr>
          <w:trHeight w:val="180"/>
        </w:trPr>
        <w:tc>
          <w:tcPr>
            <w:tcW w:w="8620" w:type="dxa"/>
            <w:vAlign w:val="bottom"/>
          </w:tcPr>
          <w:p>
            <w:pPr>
              <w:ind w:left="20"/>
              <w:spacing w:after="0"/>
              <w:rPr>
                <w:sz w:val="20"/>
                <w:szCs w:val="20"/>
                <w:color w:val="auto"/>
              </w:rPr>
            </w:pPr>
            <w:r>
              <w:rPr>
                <w:rFonts w:ascii="Arial" w:cs="Arial" w:eastAsia="Arial" w:hAnsi="Arial"/>
                <w:sz w:val="14"/>
                <w:szCs w:val="14"/>
                <w:color w:val="auto"/>
              </w:rPr>
              <w:t>Expected term - maximum (in years)</w:t>
            </w:r>
          </w:p>
        </w:tc>
        <w:tc>
          <w:tcPr>
            <w:tcW w:w="880" w:type="dxa"/>
            <w:vAlign w:val="bottom"/>
          </w:tcPr>
          <w:p>
            <w:pPr>
              <w:jc w:val="center"/>
              <w:ind w:left="311"/>
              <w:spacing w:after="0"/>
              <w:rPr>
                <w:sz w:val="20"/>
                <w:szCs w:val="20"/>
                <w:color w:val="auto"/>
              </w:rPr>
            </w:pPr>
            <w:r>
              <w:rPr>
                <w:rFonts w:ascii="Arial" w:cs="Arial" w:eastAsia="Arial" w:hAnsi="Arial"/>
                <w:sz w:val="14"/>
                <w:szCs w:val="14"/>
                <w:color w:val="auto"/>
                <w:w w:val="76"/>
              </w:rPr>
              <w:t>6</w:t>
            </w:r>
          </w:p>
        </w:tc>
        <w:tc>
          <w:tcPr>
            <w:tcW w:w="1740" w:type="dxa"/>
            <w:vAlign w:val="bottom"/>
            <w:gridSpan w:val="3"/>
          </w:tcPr>
          <w:p>
            <w:pPr>
              <w:jc w:val="center"/>
              <w:ind w:left="411"/>
              <w:spacing w:after="0"/>
              <w:rPr>
                <w:sz w:val="20"/>
                <w:szCs w:val="20"/>
                <w:color w:val="auto"/>
              </w:rPr>
            </w:pPr>
            <w:r>
              <w:rPr>
                <w:rFonts w:ascii="Arial" w:cs="Arial" w:eastAsia="Arial" w:hAnsi="Arial"/>
                <w:sz w:val="14"/>
                <w:szCs w:val="14"/>
                <w:color w:val="auto"/>
                <w:w w:val="76"/>
              </w:rPr>
              <w:t>6</w:t>
            </w:r>
          </w:p>
        </w:tc>
      </w:tr>
      <w:tr>
        <w:trPr>
          <w:trHeight w:val="181"/>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 - minimum</w:t>
            </w:r>
          </w:p>
        </w:tc>
        <w:tc>
          <w:tcPr>
            <w:tcW w:w="880" w:type="dxa"/>
            <w:vAlign w:val="bottom"/>
            <w:shd w:val="clear" w:color="auto" w:fill="CCEEFF"/>
          </w:tcPr>
          <w:p>
            <w:pPr>
              <w:jc w:val="center"/>
              <w:ind w:left="311"/>
              <w:spacing w:after="0"/>
              <w:rPr>
                <w:sz w:val="20"/>
                <w:szCs w:val="20"/>
                <w:color w:val="auto"/>
              </w:rPr>
            </w:pPr>
            <w:r>
              <w:rPr>
                <w:rFonts w:ascii="Arial" w:cs="Arial" w:eastAsia="Arial" w:hAnsi="Arial"/>
                <w:sz w:val="14"/>
                <w:szCs w:val="14"/>
                <w:color w:val="auto"/>
                <w:w w:val="92"/>
              </w:rPr>
              <w:t>76%</w:t>
            </w:r>
          </w:p>
        </w:tc>
        <w:tc>
          <w:tcPr>
            <w:tcW w:w="1740" w:type="dxa"/>
            <w:vAlign w:val="bottom"/>
            <w:gridSpan w:val="3"/>
            <w:shd w:val="clear" w:color="auto" w:fill="CCEEFF"/>
          </w:tcPr>
          <w:p>
            <w:pPr>
              <w:jc w:val="center"/>
              <w:ind w:left="411"/>
              <w:spacing w:after="0"/>
              <w:rPr>
                <w:sz w:val="20"/>
                <w:szCs w:val="20"/>
                <w:color w:val="auto"/>
              </w:rPr>
            </w:pPr>
            <w:r>
              <w:rPr>
                <w:rFonts w:ascii="Arial" w:cs="Arial" w:eastAsia="Arial" w:hAnsi="Arial"/>
                <w:sz w:val="14"/>
                <w:szCs w:val="14"/>
                <w:color w:val="auto"/>
                <w:w w:val="92"/>
              </w:rPr>
              <w:t>79%</w:t>
            </w:r>
          </w:p>
        </w:tc>
      </w:tr>
      <w:tr>
        <w:trPr>
          <w:trHeight w:val="180"/>
        </w:trPr>
        <w:tc>
          <w:tcPr>
            <w:tcW w:w="8620" w:type="dxa"/>
            <w:vAlign w:val="bottom"/>
          </w:tcPr>
          <w:p>
            <w:pPr>
              <w:ind w:left="20"/>
              <w:spacing w:after="0"/>
              <w:rPr>
                <w:sz w:val="20"/>
                <w:szCs w:val="20"/>
                <w:color w:val="auto"/>
              </w:rPr>
            </w:pPr>
            <w:r>
              <w:rPr>
                <w:rFonts w:ascii="Arial" w:cs="Arial" w:eastAsia="Arial" w:hAnsi="Arial"/>
                <w:sz w:val="14"/>
                <w:szCs w:val="14"/>
                <w:color w:val="auto"/>
              </w:rPr>
              <w:t>Expected volatility - maximum</w:t>
            </w:r>
          </w:p>
        </w:tc>
        <w:tc>
          <w:tcPr>
            <w:tcW w:w="880" w:type="dxa"/>
            <w:vAlign w:val="bottom"/>
          </w:tcPr>
          <w:p>
            <w:pPr>
              <w:jc w:val="center"/>
              <w:ind w:left="311"/>
              <w:spacing w:after="0"/>
              <w:rPr>
                <w:sz w:val="20"/>
                <w:szCs w:val="20"/>
                <w:color w:val="auto"/>
              </w:rPr>
            </w:pPr>
            <w:r>
              <w:rPr>
                <w:rFonts w:ascii="Arial" w:cs="Arial" w:eastAsia="Arial" w:hAnsi="Arial"/>
                <w:sz w:val="14"/>
                <w:szCs w:val="14"/>
                <w:color w:val="auto"/>
                <w:w w:val="92"/>
              </w:rPr>
              <w:t>78%</w:t>
            </w:r>
          </w:p>
        </w:tc>
        <w:tc>
          <w:tcPr>
            <w:tcW w:w="1740" w:type="dxa"/>
            <w:vAlign w:val="bottom"/>
            <w:gridSpan w:val="3"/>
          </w:tcPr>
          <w:p>
            <w:pPr>
              <w:jc w:val="center"/>
              <w:ind w:left="411"/>
              <w:spacing w:after="0"/>
              <w:rPr>
                <w:sz w:val="20"/>
                <w:szCs w:val="20"/>
                <w:color w:val="auto"/>
              </w:rPr>
            </w:pPr>
            <w:r>
              <w:rPr>
                <w:rFonts w:ascii="Arial" w:cs="Arial" w:eastAsia="Arial" w:hAnsi="Arial"/>
                <w:sz w:val="14"/>
                <w:szCs w:val="14"/>
                <w:color w:val="auto"/>
                <w:w w:val="92"/>
              </w:rPr>
              <w:t>84%</w:t>
            </w:r>
          </w:p>
        </w:tc>
      </w:tr>
      <w:tr>
        <w:trPr>
          <w:trHeight w:val="181"/>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volatility</w:t>
            </w:r>
          </w:p>
        </w:tc>
        <w:tc>
          <w:tcPr>
            <w:tcW w:w="880" w:type="dxa"/>
            <w:vAlign w:val="bottom"/>
            <w:shd w:val="clear" w:color="auto" w:fill="CCEEFF"/>
          </w:tcPr>
          <w:p>
            <w:pPr>
              <w:jc w:val="center"/>
              <w:ind w:left="311"/>
              <w:spacing w:after="0"/>
              <w:rPr>
                <w:sz w:val="20"/>
                <w:szCs w:val="20"/>
                <w:color w:val="auto"/>
              </w:rPr>
            </w:pPr>
            <w:r>
              <w:rPr>
                <w:rFonts w:ascii="Arial" w:cs="Arial" w:eastAsia="Arial" w:hAnsi="Arial"/>
                <w:sz w:val="14"/>
                <w:szCs w:val="14"/>
                <w:color w:val="auto"/>
                <w:w w:val="92"/>
              </w:rPr>
              <w:t>76%</w:t>
            </w:r>
          </w:p>
        </w:tc>
        <w:tc>
          <w:tcPr>
            <w:tcW w:w="1740" w:type="dxa"/>
            <w:vAlign w:val="bottom"/>
            <w:gridSpan w:val="3"/>
            <w:shd w:val="clear" w:color="auto" w:fill="CCEEFF"/>
          </w:tcPr>
          <w:p>
            <w:pPr>
              <w:jc w:val="center"/>
              <w:ind w:left="411"/>
              <w:spacing w:after="0"/>
              <w:rPr>
                <w:sz w:val="20"/>
                <w:szCs w:val="20"/>
                <w:color w:val="auto"/>
              </w:rPr>
            </w:pPr>
            <w:r>
              <w:rPr>
                <w:rFonts w:ascii="Arial" w:cs="Arial" w:eastAsia="Arial" w:hAnsi="Arial"/>
                <w:sz w:val="14"/>
                <w:szCs w:val="14"/>
                <w:color w:val="auto"/>
                <w:w w:val="92"/>
              </w:rPr>
              <w:t>81%</w:t>
            </w:r>
          </w:p>
        </w:tc>
      </w:tr>
      <w:tr>
        <w:trPr>
          <w:trHeight w:val="180"/>
        </w:trPr>
        <w:tc>
          <w:tcPr>
            <w:tcW w:w="862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880" w:type="dxa"/>
            <w:vAlign w:val="bottom"/>
          </w:tcPr>
          <w:p>
            <w:pPr>
              <w:jc w:val="center"/>
              <w:ind w:left="311"/>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81"/>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 - minimum</w:t>
            </w:r>
          </w:p>
        </w:tc>
        <w:tc>
          <w:tcPr>
            <w:tcW w:w="880" w:type="dxa"/>
            <w:vAlign w:val="bottom"/>
            <w:shd w:val="clear" w:color="auto" w:fill="CCEEFF"/>
          </w:tcPr>
          <w:p>
            <w:pPr>
              <w:jc w:val="center"/>
              <w:ind w:left="311"/>
              <w:spacing w:after="0"/>
              <w:rPr>
                <w:sz w:val="20"/>
                <w:szCs w:val="20"/>
                <w:color w:val="auto"/>
              </w:rPr>
            </w:pPr>
            <w:r>
              <w:rPr>
                <w:rFonts w:ascii="Arial" w:cs="Arial" w:eastAsia="Arial" w:hAnsi="Arial"/>
                <w:sz w:val="14"/>
                <w:szCs w:val="14"/>
                <w:color w:val="auto"/>
                <w:w w:val="95"/>
              </w:rPr>
              <w:t>1.62%</w:t>
            </w:r>
          </w:p>
        </w:tc>
        <w:tc>
          <w:tcPr>
            <w:tcW w:w="1740" w:type="dxa"/>
            <w:vAlign w:val="bottom"/>
            <w:gridSpan w:val="3"/>
            <w:shd w:val="clear" w:color="auto" w:fill="CCEEFF"/>
          </w:tcPr>
          <w:p>
            <w:pPr>
              <w:jc w:val="center"/>
              <w:ind w:left="411"/>
              <w:spacing w:after="0"/>
              <w:rPr>
                <w:sz w:val="20"/>
                <w:szCs w:val="20"/>
                <w:color w:val="auto"/>
              </w:rPr>
            </w:pPr>
            <w:r>
              <w:rPr>
                <w:rFonts w:ascii="Arial" w:cs="Arial" w:eastAsia="Arial" w:hAnsi="Arial"/>
                <w:sz w:val="14"/>
                <w:szCs w:val="14"/>
                <w:color w:val="auto"/>
                <w:w w:val="95"/>
              </w:rPr>
              <w:t>0.63%</w:t>
            </w:r>
          </w:p>
        </w:tc>
      </w:tr>
      <w:tr>
        <w:trPr>
          <w:trHeight w:val="180"/>
        </w:trPr>
        <w:tc>
          <w:tcPr>
            <w:tcW w:w="8620" w:type="dxa"/>
            <w:vAlign w:val="bottom"/>
          </w:tcPr>
          <w:p>
            <w:pPr>
              <w:ind w:left="20"/>
              <w:spacing w:after="0"/>
              <w:rPr>
                <w:sz w:val="20"/>
                <w:szCs w:val="20"/>
                <w:color w:val="auto"/>
              </w:rPr>
            </w:pPr>
            <w:r>
              <w:rPr>
                <w:rFonts w:ascii="Arial" w:cs="Arial" w:eastAsia="Arial" w:hAnsi="Arial"/>
                <w:sz w:val="14"/>
                <w:szCs w:val="14"/>
                <w:color w:val="auto"/>
              </w:rPr>
              <w:t>Risk-free interest rate - maximum</w:t>
            </w:r>
          </w:p>
        </w:tc>
        <w:tc>
          <w:tcPr>
            <w:tcW w:w="880" w:type="dxa"/>
            <w:vAlign w:val="bottom"/>
          </w:tcPr>
          <w:p>
            <w:pPr>
              <w:jc w:val="center"/>
              <w:ind w:left="311"/>
              <w:spacing w:after="0"/>
              <w:rPr>
                <w:sz w:val="20"/>
                <w:szCs w:val="20"/>
                <w:color w:val="auto"/>
              </w:rPr>
            </w:pPr>
            <w:r>
              <w:rPr>
                <w:rFonts w:ascii="Arial" w:cs="Arial" w:eastAsia="Arial" w:hAnsi="Arial"/>
                <w:sz w:val="14"/>
                <w:szCs w:val="14"/>
                <w:color w:val="auto"/>
                <w:w w:val="95"/>
              </w:rPr>
              <w:t>2.90%</w:t>
            </w:r>
          </w:p>
        </w:tc>
        <w:tc>
          <w:tcPr>
            <w:tcW w:w="1740" w:type="dxa"/>
            <w:vAlign w:val="bottom"/>
            <w:gridSpan w:val="3"/>
          </w:tcPr>
          <w:p>
            <w:pPr>
              <w:jc w:val="center"/>
              <w:ind w:left="411"/>
              <w:spacing w:after="0"/>
              <w:rPr>
                <w:sz w:val="20"/>
                <w:szCs w:val="20"/>
                <w:color w:val="auto"/>
              </w:rPr>
            </w:pPr>
            <w:r>
              <w:rPr>
                <w:rFonts w:ascii="Arial" w:cs="Arial" w:eastAsia="Arial" w:hAnsi="Arial"/>
                <w:sz w:val="14"/>
                <w:szCs w:val="14"/>
                <w:color w:val="auto"/>
                <w:w w:val="95"/>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12 – Income Taxes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provision (benefit) for income taxes is based on loss from operations before provision for income taxes and noncontrolling interests as follows ($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bottom w:val="single" w:sz="8" w:color="auto"/>
            </w:tcBorders>
            <w:gridSpan w:val="6"/>
          </w:tcPr>
          <w:p>
            <w:pPr>
              <w:jc w:val="right"/>
              <w:ind w:right="129"/>
              <w:spacing w:after="0"/>
              <w:rPr>
                <w:sz w:val="20"/>
                <w:szCs w:val="20"/>
                <w:color w:val="auto"/>
              </w:rPr>
            </w:pPr>
            <w:r>
              <w:rPr>
                <w:rFonts w:ascii="Arial" w:cs="Arial" w:eastAsia="Arial" w:hAnsi="Arial"/>
                <w:sz w:val="11"/>
                <w:szCs w:val="11"/>
                <w:b w:val="1"/>
                <w:bCs w:val="1"/>
                <w:color w:val="auto"/>
              </w:rPr>
              <w:t>Years Ended December 31,</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500" w:type="dxa"/>
            <w:vAlign w:val="bottom"/>
          </w:tcPr>
          <w:p>
            <w:pPr>
              <w:ind w:left="20"/>
              <w:spacing w:after="0"/>
              <w:rPr>
                <w:sz w:val="20"/>
                <w:szCs w:val="20"/>
                <w:color w:val="auto"/>
              </w:rPr>
            </w:pPr>
            <w:r>
              <w:rPr>
                <w:rFonts w:ascii="Arial" w:cs="Arial" w:eastAsia="Arial" w:hAnsi="Arial"/>
                <w:sz w:val="14"/>
                <w:szCs w:val="14"/>
                <w:color w:val="auto"/>
              </w:rPr>
              <w:t>Pre-tax book income</w:t>
            </w: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00" w:type="dxa"/>
            <w:vAlign w:val="bottom"/>
            <w:gridSpan w:val="2"/>
            <w:shd w:val="clear" w:color="auto" w:fill="CCEEFF"/>
          </w:tcPr>
          <w:p>
            <w:pPr>
              <w:jc w:val="right"/>
              <w:ind w:right="639"/>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(56,175)</w:t>
            </w:r>
          </w:p>
        </w:tc>
        <w:tc>
          <w:tcPr>
            <w:tcW w:w="880" w:type="dxa"/>
            <w:vAlign w:val="bottom"/>
            <w:gridSpan w:val="3"/>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(28,974)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Australia</w:t>
            </w: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(529)</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(56,704)</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(28,974)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The provision (benefit) from income taxes was as follows ($ in thousands):</w:t>
            </w: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1"/>
                <w:szCs w:val="11"/>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Pr>
          <w:p>
            <w:pPr>
              <w:ind w:left="140"/>
              <w:spacing w:after="0"/>
              <w:rPr>
                <w:sz w:val="20"/>
                <w:szCs w:val="20"/>
                <w:color w:val="auto"/>
              </w:rPr>
            </w:pPr>
            <w:r>
              <w:rPr>
                <w:rFonts w:ascii="Arial" w:cs="Arial" w:eastAsia="Arial" w:hAnsi="Arial"/>
                <w:sz w:val="14"/>
                <w:szCs w:val="14"/>
                <w:color w:val="auto"/>
              </w:rPr>
              <w:t>U.S. Federal</w:t>
            </w:r>
          </w:p>
        </w:tc>
        <w:tc>
          <w:tcPr>
            <w:tcW w:w="800" w:type="dxa"/>
            <w:vAlign w:val="bottom"/>
            <w:gridSpan w:val="2"/>
          </w:tcPr>
          <w:p>
            <w:pPr>
              <w:jc w:val="right"/>
              <w:ind w:right="659"/>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69"/>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659"/>
              <w:spacing w:after="0" w:line="150"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669"/>
              <w:spacing w:after="0" w:line="150"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ind w:left="300"/>
              <w:spacing w:after="0" w:line="15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Deferred</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Pr>
          <w:p>
            <w:pPr>
              <w:ind w:left="140"/>
              <w:spacing w:after="0"/>
              <w:rPr>
                <w:sz w:val="20"/>
                <w:szCs w:val="20"/>
                <w:color w:val="auto"/>
              </w:rPr>
            </w:pPr>
            <w:r>
              <w:rPr>
                <w:rFonts w:ascii="Arial" w:cs="Arial" w:eastAsia="Arial" w:hAnsi="Arial"/>
                <w:sz w:val="14"/>
                <w:szCs w:val="14"/>
                <w:color w:val="auto"/>
              </w:rPr>
              <w:t>U.S. Federal</w:t>
            </w:r>
          </w:p>
        </w:tc>
        <w:tc>
          <w:tcPr>
            <w:tcW w:w="800" w:type="dxa"/>
            <w:vAlign w:val="bottom"/>
            <w:gridSpan w:val="2"/>
          </w:tcPr>
          <w:p>
            <w:pPr>
              <w:jc w:val="right"/>
              <w:ind w:right="659"/>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69"/>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659"/>
              <w:spacing w:after="0" w:line="150"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(2,479)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669"/>
              <w:spacing w:after="0" w:line="150"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4"/>
                <w:szCs w:val="14"/>
                <w:color w:val="auto"/>
                <w:w w:val="94"/>
              </w:rPr>
              <w:t>(1,508)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Pr>
          <w:p>
            <w:pPr>
              <w:ind w:left="140"/>
              <w:spacing w:after="0"/>
              <w:rPr>
                <w:sz w:val="20"/>
                <w:szCs w:val="20"/>
                <w:color w:val="auto"/>
              </w:rPr>
            </w:pPr>
            <w:r>
              <w:rPr>
                <w:rFonts w:ascii="Arial" w:cs="Arial" w:eastAsia="Arial" w:hAnsi="Arial"/>
                <w:sz w:val="14"/>
                <w:szCs w:val="14"/>
                <w:color w:val="auto"/>
              </w:rPr>
              <w:t>U.S. Federal</w:t>
            </w:r>
          </w:p>
        </w:tc>
        <w:tc>
          <w:tcPr>
            <w:tcW w:w="800" w:type="dxa"/>
            <w:vAlign w:val="bottom"/>
            <w:gridSpan w:val="2"/>
          </w:tcPr>
          <w:p>
            <w:pPr>
              <w:jc w:val="right"/>
              <w:ind w:right="659"/>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69"/>
              <w:spacing w:after="0"/>
              <w:rPr>
                <w:sz w:val="20"/>
                <w:szCs w:val="20"/>
                <w:color w:val="auto"/>
              </w:rPr>
            </w:pPr>
            <w:r>
              <w:rPr>
                <w:rFonts w:ascii="Arial" w:cs="Arial" w:eastAsia="Arial" w:hAnsi="Arial"/>
                <w:sz w:val="14"/>
                <w:szCs w:val="14"/>
                <w:color w:val="auto"/>
              </w:rPr>
              <w:t>$</w:t>
            </w: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660" w:firstLine="255"/>
        <w:spacing w:after="0" w:line="256" w:lineRule="auto"/>
        <w:rPr>
          <w:sz w:val="20"/>
          <w:szCs w:val="20"/>
          <w:color w:val="auto"/>
        </w:rPr>
      </w:pPr>
      <w:r>
        <w:rPr>
          <w:rFonts w:ascii="Arial" w:cs="Arial" w:eastAsia="Arial" w:hAnsi="Arial"/>
          <w:sz w:val="14"/>
          <w:szCs w:val="14"/>
          <w:color w:val="auto"/>
        </w:rPr>
        <w:t>The provision (benefit) for income taxes is determined by applying the U.S. Federal statutory rate of 21% to income before income taxes, and the components are set forth below ($ in thousands):</w:t>
      </w:r>
    </w:p>
    <w:tbl>
      <w:tblPr>
        <w:tblLayout w:type="fixed"/>
        <w:tblInd w:w="20" w:type="dxa"/>
        <w:tblCellMar>
          <w:top w:w="0" w:type="dxa"/>
          <w:left w:w="0" w:type="dxa"/>
          <w:bottom w:w="0" w:type="dxa"/>
          <w:right w:w="0" w:type="dxa"/>
        </w:tblCellMar>
      </w:tblPr>
      <w:tr>
        <w:trPr>
          <w:trHeight w:val="156"/>
        </w:trPr>
        <w:tc>
          <w:tcPr>
            <w:tcW w:w="8520" w:type="dxa"/>
            <w:vAlign w:val="bottom"/>
          </w:tcPr>
          <w:p>
            <w:pPr>
              <w:spacing w:after="0"/>
              <w:rPr>
                <w:sz w:val="13"/>
                <w:szCs w:val="13"/>
                <w:color w:val="auto"/>
              </w:rPr>
            </w:pPr>
          </w:p>
        </w:tc>
        <w:tc>
          <w:tcPr>
            <w:tcW w:w="22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1"/>
                <w:szCs w:val="11"/>
                <w:b w:val="1"/>
                <w:bCs w:val="1"/>
                <w:color w:val="auto"/>
              </w:rPr>
              <w:t>Years Ended December 31,</w:t>
            </w:r>
          </w:p>
        </w:tc>
        <w:tc>
          <w:tcPr>
            <w:tcW w:w="520" w:type="dxa"/>
            <w:vAlign w:val="bottom"/>
            <w:tcBorders>
              <w:bottom w:val="single" w:sz="8" w:color="auto"/>
            </w:tcBorders>
          </w:tcPr>
          <w:p>
            <w:pPr>
              <w:spacing w:after="0"/>
              <w:rPr>
                <w:sz w:val="13"/>
                <w:szCs w:val="13"/>
                <w:color w:val="auto"/>
              </w:rPr>
            </w:pPr>
          </w:p>
        </w:tc>
      </w:tr>
      <w:tr>
        <w:trPr>
          <w:trHeight w:val="153"/>
        </w:trPr>
        <w:tc>
          <w:tcPr>
            <w:tcW w:w="8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r>
      <w:tr>
        <w:trPr>
          <w:trHeight w:val="177"/>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Federal benefit at statutory rate</w:t>
            </w: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(11,908)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Permanent non deductible expenses for U.S. taxes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7,238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state deferred</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Tax Return to Provision</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2,277</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 options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Other true ups</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 Foreign Rate Differential</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Section 382 NOL Limitation</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18,553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35,438</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New Jersey State NOLs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w:t>
            </w:r>
          </w:p>
        </w:tc>
      </w:tr>
      <w:tr>
        <w:trPr>
          <w:trHeight w:val="18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 for deferred tax assets</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(22,602)</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(33,979)</w:t>
            </w:r>
          </w:p>
        </w:tc>
      </w:tr>
      <w:tr>
        <w:trPr>
          <w:trHeight w:val="19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provision (benefit)</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Deferred income taxes at December 31, 2022 and 2021 consist of the following ($ in thousands):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26"/>
        </w:trPr>
        <w:tc>
          <w:tcPr>
            <w:tcW w:w="8540" w:type="dxa"/>
            <w:vAlign w:val="bottom"/>
            <w:gridSpan w:val="3"/>
          </w:tcPr>
          <w:p>
            <w:pPr>
              <w:spacing w:after="0"/>
              <w:rPr>
                <w:sz w:val="20"/>
                <w:szCs w:val="20"/>
                <w:color w:val="auto"/>
              </w:rPr>
            </w:pPr>
            <w:r>
              <w:rPr>
                <w:rFonts w:ascii="Arial" w:cs="Arial" w:eastAsia="Arial" w:hAnsi="Arial"/>
                <w:sz w:val="11"/>
                <w:szCs w:val="11"/>
                <w:color w:val="0000FF"/>
              </w:rPr>
              <w:t>Index</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2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2021</w:t>
            </w:r>
          </w:p>
        </w:tc>
      </w:tr>
      <w:tr>
        <w:trPr>
          <w:trHeight w:val="167"/>
        </w:trPr>
        <w:tc>
          <w:tcPr>
            <w:tcW w:w="20" w:type="dxa"/>
            <w:vAlign w:val="bottom"/>
          </w:tcPr>
          <w:p>
            <w:pPr>
              <w:spacing w:after="0"/>
              <w:rPr>
                <w:sz w:val="14"/>
                <w:szCs w:val="14"/>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Accumulated net operating losses (tax effected)</w:t>
            </w:r>
          </w:p>
        </w:tc>
        <w:tc>
          <w:tcPr>
            <w:tcW w:w="780" w:type="dxa"/>
            <w:vAlign w:val="bottom"/>
          </w:tcPr>
          <w:p>
            <w:pPr>
              <w:jc w:val="right"/>
              <w:ind w:right="63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13,132</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36,281</w:t>
            </w: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Right of use liability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80"/>
        </w:trPr>
        <w:tc>
          <w:tcPr>
            <w:tcW w:w="20" w:type="dxa"/>
            <w:vAlign w:val="bottom"/>
          </w:tcPr>
          <w:p>
            <w:pPr>
              <w:spacing w:after="0"/>
              <w:rPr>
                <w:sz w:val="15"/>
                <w:szCs w:val="15"/>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3,086</w:t>
            </w: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0"/>
        </w:trPr>
        <w:tc>
          <w:tcPr>
            <w:tcW w:w="20" w:type="dxa"/>
            <w:vAlign w:val="bottom"/>
          </w:tcPr>
          <w:p>
            <w:pPr>
              <w:spacing w:after="0"/>
              <w:rPr>
                <w:sz w:val="15"/>
                <w:szCs w:val="15"/>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Capitalized Research and Development</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5,018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0"/>
        </w:trPr>
        <w:tc>
          <w:tcPr>
            <w:tcW w:w="20" w:type="dxa"/>
            <w:vAlign w:val="bottom"/>
          </w:tcPr>
          <w:p>
            <w:pPr>
              <w:spacing w:after="0"/>
              <w:rPr>
                <w:sz w:val="15"/>
                <w:szCs w:val="15"/>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Accrued payroll</w:t>
            </w:r>
          </w:p>
        </w:tc>
        <w:tc>
          <w:tcPr>
            <w:tcW w:w="7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71"/>
        </w:trPr>
        <w:tc>
          <w:tcPr>
            <w:tcW w:w="20" w:type="dxa"/>
            <w:vAlign w:val="bottom"/>
          </w:tcPr>
          <w:p>
            <w:pPr>
              <w:spacing w:after="0"/>
              <w:rPr>
                <w:sz w:val="14"/>
                <w:szCs w:val="14"/>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Deferred tax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22,968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40,393</w:t>
            </w:r>
          </w:p>
        </w:tc>
      </w:tr>
      <w:tr>
        <w:trPr>
          <w:trHeight w:val="212"/>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Right of use asset</w:t>
            </w:r>
          </w:p>
        </w:tc>
        <w:tc>
          <w:tcPr>
            <w:tcW w:w="780" w:type="dxa"/>
            <w:vAlign w:val="bottom"/>
            <w:shd w:val="clear" w:color="auto" w:fill="CCEEFF"/>
          </w:tcPr>
          <w:p>
            <w:pPr>
              <w:jc w:val="right"/>
              <w:ind w:right="63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180"/>
        </w:trPr>
        <w:tc>
          <w:tcPr>
            <w:tcW w:w="20" w:type="dxa"/>
            <w:vAlign w:val="bottom"/>
          </w:tcPr>
          <w:p>
            <w:pPr>
              <w:spacing w:after="0"/>
              <w:rPr>
                <w:sz w:val="15"/>
                <w:szCs w:val="15"/>
                <w:color w:val="auto"/>
              </w:rPr>
            </w:pPr>
          </w:p>
        </w:tc>
        <w:tc>
          <w:tcPr>
            <w:tcW w:w="8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to Accrual</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171"/>
        </w:trPr>
        <w:tc>
          <w:tcPr>
            <w:tcW w:w="20" w:type="dxa"/>
            <w:vAlign w:val="bottom"/>
          </w:tcPr>
          <w:p>
            <w:pPr>
              <w:spacing w:after="0"/>
              <w:rPr>
                <w:sz w:val="14"/>
                <w:szCs w:val="14"/>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Net deferred tax asset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22,732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40,189</w:t>
            </w:r>
          </w:p>
        </w:tc>
      </w:tr>
      <w:tr>
        <w:trPr>
          <w:trHeight w:val="181"/>
        </w:trPr>
        <w:tc>
          <w:tcPr>
            <w:tcW w:w="20" w:type="dxa"/>
            <w:vAlign w:val="bottom"/>
          </w:tcPr>
          <w:p>
            <w:pPr>
              <w:spacing w:after="0"/>
              <w:rPr>
                <w:sz w:val="15"/>
                <w:szCs w:val="15"/>
                <w:color w:val="auto"/>
              </w:rPr>
            </w:pPr>
          </w:p>
        </w:tc>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(22,732)</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(40,189)</w:t>
            </w:r>
          </w:p>
        </w:tc>
      </w:tr>
      <w:tr>
        <w:trPr>
          <w:trHeight w:val="171"/>
        </w:trPr>
        <w:tc>
          <w:tcPr>
            <w:tcW w:w="20" w:type="dxa"/>
            <w:vAlign w:val="bottom"/>
          </w:tcPr>
          <w:p>
            <w:pPr>
              <w:spacing w:after="0"/>
              <w:rPr>
                <w:sz w:val="14"/>
                <w:szCs w:val="14"/>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color w:val="auto"/>
              </w:rPr>
              <w:t>Net deferred tax asset</w:t>
            </w: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78"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As of December 31, 2021, the Company had approximately $281 million of Federal NOLs available to offset future taxable income expiring from 2030 through 2036. The Company performed an analysis and determined that they had an ownership change of greater than 50% over a 3-year testing period on January 25, 2021. As a result, $168.8 million of the $281 million of Federal NOLs will expire unutilized. The Company wrote off that portion of the deferred tax asset and reduced the corresponding valuation allowance resulting in $112.3 million of remaining Federal NOLs. The write off of the deferred tax asset and the corresponding reduction in valuation allowance has no impact to the balance sheet or income statement. Losses incurred before the ownership change on January 25, 2021 will be subject to an annual limitation of $173 thousand under Internal Revenue Code Section 382.</w:t>
      </w:r>
    </w:p>
    <w:p>
      <w:pPr>
        <w:spacing w:after="0" w:line="8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As of December 31, 2022, the Company had approximately $34 million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$34 million of remaining Federal NOLs.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w:t>
      </w:r>
    </w:p>
    <w:p>
      <w:pPr>
        <w:spacing w:after="0" w:line="8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As of December 31, 2022, Cend Therapeutics had approximately $10.9 million of Federal NOLs available to offset future taxable income. The Company performed an analysis and determined that there was an ownership change of greater than 50% on September 15, 2022. As of September 15, 2022 Cend has approximately $10.7 million of Federal and $15 million of state NOLs. The state NOLs will expire from the 2036 through 2042 tax years. Using a fair market value of $36.1 million and applying an applicable federal rate of 2.54% Cend will have an annual limitation of approximately $917 thousand each year. The Federal NOL of $106 thousand incurred in the post-acquisition period September 15, 2022 to December 31, 2022 is not subject to limitation, and does not expire. Cend’s wholly owned Australian subsidiary has $1.8 million of NOLs which will be carried forward and do not expire. There is a full valuation allowance against the NOLs.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 w:right="319" w:bottom="1440" w:gutter="0" w:footer="0" w:header="0"/>
        </w:sectPr>
      </w:pPr>
    </w:p>
    <w:bookmarkStart w:id="93" w:name="page94"/>
    <w:bookmarkEnd w:id="9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As of December 31, 2022 and 2021, the Company had State NOLs available in New Jersey of $35.5 million and $97.0 million, respectively, California of $10.0 million and $69.5 million, respectively, and New York City of $1.9 million and $13.0 million, respectively, to offset future taxable income expiring from 2032 through 2042. In accordance with Section 382 of the Internal Revenue code, the usage of the Company’s NOLs is limited given the change in ownership. The ultimate realization of deferred tax assets is dependent upon the generation of future taxable income during the period when those temporary differences become deductible.</w:t>
      </w:r>
    </w:p>
    <w:p>
      <w:pPr>
        <w:spacing w:after="0" w:line="82"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spacing w:after="0" w:line="7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As of December 31, 2022 and 2021, the Company’s uncertain tax positions were $344 thousand and $0, respectively. Due to the acquisition of Cend, the Company’s uncertain tax positions increased by $344 thousand related to Federal and state credits and certain state NOLs. The Company will continue to evaluate its uncertain tax positions in future periods. The Company does not believe there will be any material changes in its unrecognized tax positions over the next year.</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reconciliation of the beginning and ending amounts of unrecognized tax benefits is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852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Borders>
              <w:bottom w:val="single" w:sz="8" w:color="auto"/>
            </w:tcBorders>
          </w:tcPr>
          <w:p>
            <w:pPr>
              <w:spacing w:after="0"/>
              <w:rPr>
                <w:sz w:val="13"/>
                <w:szCs w:val="13"/>
                <w:color w:val="auto"/>
              </w:rPr>
            </w:pPr>
          </w:p>
        </w:tc>
      </w:tr>
      <w:tr>
        <w:trPr>
          <w:trHeight w:val="153"/>
        </w:trPr>
        <w:tc>
          <w:tcPr>
            <w:tcW w:w="85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3"/>
                <w:szCs w:val="13"/>
                <w:color w:val="auto"/>
              </w:rPr>
            </w:pPr>
          </w:p>
        </w:tc>
      </w:tr>
      <w:tr>
        <w:trPr>
          <w:trHeight w:val="177"/>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unrecognized tax benefit, beginning of period</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Additions based on tax positions related to the current year</w:t>
            </w:r>
          </w:p>
        </w:tc>
        <w:tc>
          <w:tcPr>
            <w:tcW w:w="9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81"/>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 based on tax positions related to the prior years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80"/>
        </w:trPr>
        <w:tc>
          <w:tcPr>
            <w:tcW w:w="8520" w:type="dxa"/>
            <w:vAlign w:val="bottom"/>
          </w:tcPr>
          <w:p>
            <w:pPr>
              <w:ind w:left="20"/>
              <w:spacing w:after="0"/>
              <w:rPr>
                <w:sz w:val="20"/>
                <w:szCs w:val="20"/>
                <w:color w:val="auto"/>
              </w:rPr>
            </w:pPr>
            <w:r>
              <w:rPr>
                <w:rFonts w:ascii="Arial" w:cs="Arial" w:eastAsia="Arial" w:hAnsi="Arial"/>
                <w:sz w:val="14"/>
                <w:szCs w:val="14"/>
                <w:color w:val="auto"/>
              </w:rPr>
              <w:t>Reductions due to lapse in statute of limitations and settlements</w:t>
            </w:r>
          </w:p>
        </w:tc>
        <w:tc>
          <w:tcPr>
            <w:tcW w:w="9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96"/>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Unrecognized tax benefit, end of period</w:t>
            </w: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For years prior to 2019 the federal statute of limitations is closed for assessing tax. The Company’s state tax returns remain open to examination for a period of three to four years from the date of the tax return filing.</w:t>
      </w:r>
    </w:p>
    <w:p>
      <w:pPr>
        <w:spacing w:after="0" w:line="7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In December 2021,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February 22, 2022, the Company received final approval from NJEDA to sell $27.5 million of its NJ NOLs, which were subsequently sold to a qualifying and approved buyer pursuant to the Program for net proceeds of $2.3 million. The gross proceeds from the sale of the $2.5 million NJ NOLs related tax benefits (“NJ NOL Tax Benefits”), have been recorded as a benefit from income taxes and the loss on sale of the NJ NOL Tax Benefits” of $0.1 million recorded in other income (expense) in the consolidated financial statements.</w:t>
      </w:r>
    </w:p>
    <w:p>
      <w:pPr>
        <w:spacing w:after="0" w:line="70"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2022. The Company will continue to monitor possible future impact of changes in tax legislation.</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13 – Australia Research and Development Tax Incentive</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Company’s Australian subsidiary, which conducts core research and development activities, is eligible to receive a 48.5% refundable tax incentive for qualified research and development activities. As of December 31, 2022, $0.7 million was recorded as an income tax incentive receivable in the consolidated balance sheets, as the Company determined that the expenses met the eligibility criteria and the amounts claimed are expected to be received shortly after the related tax returns are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14 – Contingencies</w:t>
      </w:r>
    </w:p>
    <w:p>
      <w:pPr>
        <w:spacing w:after="0" w:line="119"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33"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 answer to Cend’s response on July 11, 2022. The court held a case management conference on October 7, 2022, which resulted in a continuance until December 16, 2022. On December 16, 2022, the court continued the Case Management Conference until April 7, 2023. The Company denies these allegations and intends to vigorously defend against this claim.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15 – License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Sanford Burnham Prebys</w:t>
      </w:r>
    </w:p>
    <w:p>
      <w:pPr>
        <w:spacing w:after="0" w:line="12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In December 2015, Cend entered into a license agreement with Sanford Burnham Prebys (“SBP”) under which Cend was granted an exclusive, worldwide, royalty-bearing license to certain patent rights and know-how controlled by SBP related to the development of LSTA1. At the time the license agreement was entered into, Cend’s founding shareholder, now a Lisata board member,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w:t>
      </w:r>
    </w:p>
    <w:p>
      <w:pPr>
        <w:spacing w:after="0" w:line="84"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In October 2021, Cend entered into a license agreement with SBP under which Cend was granted an exclusive, royalty-bearing license to certain patent rights and know-how controlled by SBP. The agreement provides Cend with the rights to grant and authorize sublicenses to use, sell, and otherwise exploit the patent rights. The Company is required to pay an annual license maintenance fee of $20,000, increasing to $30,000 on year four of the agreement. Further, the Company could be required to make milestone payments to SBP upon completion of certain regulatory and commercial milestones. The aggregate potential milestone payments are approximately $23.2 million. The Company is obligated to pay SBP royalties of 4% of net sales of products sold by the Company or through a sublicense, subject to certain reductions. Additionally, the Company is obligated to pay SBP varying sublicense fees, ranging from 10% to 25%, dependent on when the related milestones are reached.</w:t>
      </w:r>
    </w:p>
    <w:p>
      <w:pPr>
        <w:spacing w:after="0" w:line="86"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The agreements will expire upon the later of (i) the final abandonment of all pending patent applications within the licensed patents or (ii) the expiration of the last to expire patent within the licensed patents. The agreements may be terminated in their entirety by the Company at any time by giving SBP sixty days’ prior written notice. The agreements may be terminated in their entirety by SBP if the Company, at any time, defaults in the payment of any sum when due and fails to make such payment within thirty days after receipt of written notice. The agreements may be terminated in their entirety by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agreements for any reason, all rights and obligations of the Company with respect to the patents and patent applications shall terminate and revert to SBP.</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SBP owned 382,030 shares of the Company’s common stock as of December 31, 2022 and is a related party.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of California at San Diego</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March 2021, Cend entered into a license agreement with the University of California at San Diego (“UCSD”) under which Cend was granted an exclusive, royalty-bearing license to certain patent rights related to the development of nano-particles to modulate immune response. The agreement provides the Company with the rights to grant and authorize sublicenses to use, sell and otherwise exploit the patent rights. The Company could be required to make milestone payments to UCSD upon completion of certain regulatory and commercial milestones. The aggregate potential milestone payments are approximately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$1.2 million. The Company has also agreed to pay UCSD royalties of 1.5% of net sales of products sold by the Company or through a sublicense, subject to certain reductions. Additionally, the Company agreed to pay UCSD varying sublicense fees, ranging from 10% to 20%, dependent on when the related milestones are reached.</w:t>
      </w:r>
    </w:p>
    <w:p>
      <w:pPr>
        <w:spacing w:after="0" w:line="6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agreement will expire upon the expiration of the longest-lived patent rights. The agreement may be terminated in its entirety by the Company at any time by giving UCSD ninety days’ prior written notice. The agreement may be terminated in its entirety by UCSD if the Company, at any time, (i) fails to perform or violates any term of the agreement and fails to cure the default within sixty days. Upon termination of the agreement for any reason, UCSD may terminate a sublicensee but will allow the Company to assign any sublicenses to UCSD provided a) that the sublicensee is in good standing upon termination of the agreement with the Company; and b) the sublicensee is not currently involved in litigation as an adverse party to UCSD.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Massachusetts Institute of Technology</w:t>
      </w:r>
    </w:p>
    <w:p>
      <w:pPr>
        <w:spacing w:after="0" w:line="125"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2"/>
          <w:szCs w:val="12"/>
          <w:color w:val="auto"/>
        </w:rPr>
        <w:t>In October 2021, Cend entered into a license agreement with the Massachusetts Institute of Technology ("MIT") under which Cend was granted an exclusive, royalty-bearing license to certain patent rights related to the development of tissue specific delivery of interfering RNA. The agreement provides the Company with the rights to grant and authorize sublicenses to use, sell, and otherwise exploit the patent rights. As consideration for the license, Cend issued a total of 43,236 shares of common stock, as adjusted for the Reverse Stock Split and Exchange Ratio. The Company is required to pay an annual license maintenance fee of $20,000, increasing to $25,000 for year two and three of the agreement, increasing to $50,000 on year four of the agreement and thereafter until the first commercial sale, and increasing to $150,000 each year of the agreement after the first commercial sale. Further, the Company could be required to make milestone payments to MIT upon completion of certain regulatory and commercial milestones. The aggregate potential milestone payments are approximately $5.0 million. The Company has also agreed to pay MIT royalties of 2% of net sales of products sold by the Company or through a sublicense, subject to certain reductions. Additionally, the Company is obligated to pay MIT varying sublicense fees, ranging from 3% to 20%, dependent on when the related milestones are reached. In connection with the close of the Merger, the Company was required to pay MIT a change of control fee of $0.3 million.</w:t>
      </w:r>
    </w:p>
    <w:p>
      <w:pPr>
        <w:spacing w:after="0" w:line="6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The agreement will expire upon the expiration or abandonment of all valid claims. The agreement may be terminated in its entirety by the Company at any time by giving MIT six months prior written notice. The agreement may be terminated in its entirety by MIT if the Company, at any time, (i) defaults in the payment of any sum when due and fails to make such payment within thirty days after receipt of written notice, or (ii) commits a material breach of its obligations under the agreement (aside from item (i)) and fails to cure that breach within sixty days after receipt of written notice. Upon termination of the agreement for any reason, the rights and licenses granted to the Company shall terminate and revert to MIT. Upon termination of the agreement for any reason, MIT may terminate a sublicensee but will allow the Company to assign any sublicenses to MIT provided that the sublicensee is in good standing upon termination of the agreement with the Company.</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MIT owned 43,236 shares of the Company’s common stock as of December 31,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16 – Research Collaboration and License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Exclusive License and Collaboration Agreement</w:t>
      </w:r>
    </w:p>
    <w:p>
      <w:pPr>
        <w:spacing w:after="0" w:line="12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In February 2021, Cend entered into an Exclusive License and Collaboration Agreement (the “Qilu Agreement”) in which Cend granted an exclusive license to Qilu for the development and commercialization of LSTA1 in the Territory (defined as the Greater Area of China including China, Macau, Hong Kong, and Taiwan). Under the terms of the agreement, Qilu is solely responsible for the development of LSTA1 in its Territory. In consideration for the license, Qilu made an upfront payment of $10 million to Cend, which was recognized as revenue by Cend prior to the Merger. In addition, Cend received and recognized as revenue a $5 million development milestone prior to the Merger. We are eligible to receive additional developmental and commercial milestone payments up to $95 million and $125 million, respectively, tiered royalties on net sales ranging from 10% to 15%, and tiered sublicensing revenues ranging from 12% to 35%.</w:t>
      </w:r>
    </w:p>
    <w:p>
      <w:pPr>
        <w:spacing w:after="0" w:line="7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 and obligations of Qilu with respect to such licensed patents and patent applications would terminate.</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Disclosure Controls and Procedures</w:t>
      </w:r>
    </w:p>
    <w:p>
      <w:pPr>
        <w:spacing w:after="0" w:line="12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7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As of December 31, 2022, we evaluated, with the participation of our management, including our Chief Executive Officer (who serves as both Principal Executive Officer and Principal Financial Officer), the effectiveness our disclosure controls and procedures as defined in Rules 13a-15(e) and 15d-15(e) under the Exchange Act. Based on that evaluation, our Chief Executive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as appropriate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Management’s Annual Report on Internal Control Over Financial Reporting</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 13a-15(f) and 15d-15(f) under the Exchange Act.</w:t>
      </w:r>
    </w:p>
    <w:p>
      <w:pPr>
        <w:spacing w:after="0" w:line="13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520" w:hanging="260"/>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our assets;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board of directors; and</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our assets that could have a material effect on the financial statements.</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because of declines in the degree of compliance with policies or procedures.</w:t>
      </w:r>
    </w:p>
    <w:p>
      <w:pPr>
        <w:spacing w:after="0" w:line="6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 xml:space="preserve">Management assessed the effectiveness of its internal control over financial reporting as of December 31, 2022. In making this assessment, they used the criteria set forth by the Committee of Sponsoring Organizations of the Treadway Commission (“COSO”)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2022, based on management’s assessment, our internal control over financial reporting was effective.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Changes in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Item 5.02 Departure of Directors or Certain Officers; Election of Directors; Appointment of Certain Officers; Compensatory Arrangements of Certain Officers.</w:t>
      </w:r>
    </w:p>
    <w:p>
      <w:pPr>
        <w:spacing w:after="0" w:line="316"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On March 28, 2023, our board of directors, in accordance with the recommendation of our Compensation Committee, adopted the Lisata Therapeutics, Inc. Clawback Policy (the “Clawback Policy”). The Clawback Policy requires the Company to seek recoupment of certain incentive-based compensation received by (i) the Company’s current and former executive officers, as determined by the board of directors in accordance with the requirements of Section 10D of the Exchange Act and any applicable rules or standards adopted by the SEC and any national securities exchange on which the Company’s securities are listed, and (ii) such other employees who may from time to time be deemed subject to the Clawback Policy by the board of directors, in the event that the Company is required to prepare an accounting restatement that corrects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7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foregoing description of the terms of the Clawback Policy does not purport to be complete and is qualified in its entirety by reference to the full text of the Clawback Policy, which is filed as Exhibit 10.24 to this Annual Report on Form 10-K.</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1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captions “Management and Corporate Governance Matters,” “Section 16(a) Beneficial Ownership Reporting Compliance,” and “Code of Ethics” in the our Proxy Statement for the 2023 Annual Meeting of Stockholders.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name and position of each of our executive officers and directors as of March 30, 2023.</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4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Position(s)</w:t>
            </w:r>
          </w:p>
        </w:tc>
      </w:tr>
      <w:tr>
        <w:trPr>
          <w:trHeight w:val="171"/>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David J. Mazzo, Ph.D.</w:t>
            </w:r>
          </w:p>
        </w:tc>
        <w:tc>
          <w:tcPr>
            <w:tcW w:w="8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Chief Executive Officer and Class II Director</w:t>
            </w: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David Slack</w:t>
            </w:r>
          </w:p>
        </w:tc>
        <w:tc>
          <w:tcPr>
            <w:tcW w:w="8460" w:type="dxa"/>
            <w:vAlign w:val="bottom"/>
          </w:tcPr>
          <w:p>
            <w:pPr>
              <w:ind w:left="560"/>
              <w:spacing w:after="0"/>
              <w:rPr>
                <w:sz w:val="20"/>
                <w:szCs w:val="20"/>
                <w:color w:val="auto"/>
              </w:rPr>
            </w:pPr>
            <w:r>
              <w:rPr>
                <w:rFonts w:ascii="Arial" w:cs="Arial" w:eastAsia="Arial" w:hAnsi="Arial"/>
                <w:sz w:val="14"/>
                <w:szCs w:val="14"/>
                <w:color w:val="auto"/>
              </w:rPr>
              <w:t>President and Chief Business Officer and Class I Director</w:t>
            </w:r>
          </w:p>
        </w:tc>
      </w:tr>
      <w:tr>
        <w:trPr>
          <w:trHeight w:val="181"/>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Kristen K. Buck, M.D.</w:t>
            </w:r>
          </w:p>
        </w:tc>
        <w:tc>
          <w:tcPr>
            <w:tcW w:w="8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Executive Vice President R&amp;D and Chief Medical Officer</w:t>
            </w: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Gregory B. Brown, M.D.</w:t>
            </w:r>
          </w:p>
        </w:tc>
        <w:tc>
          <w:tcPr>
            <w:tcW w:w="8460" w:type="dxa"/>
            <w:vAlign w:val="bottom"/>
          </w:tcPr>
          <w:p>
            <w:pPr>
              <w:ind w:left="560"/>
              <w:spacing w:after="0"/>
              <w:rPr>
                <w:sz w:val="20"/>
                <w:szCs w:val="20"/>
                <w:color w:val="auto"/>
              </w:rPr>
            </w:pPr>
            <w:r>
              <w:rPr>
                <w:rFonts w:ascii="Arial" w:cs="Arial" w:eastAsia="Arial" w:hAnsi="Arial"/>
                <w:sz w:val="14"/>
                <w:szCs w:val="14"/>
                <w:color w:val="auto"/>
              </w:rPr>
              <w:t>Class II Director; Chairman of Board of Directors</w:t>
            </w:r>
          </w:p>
        </w:tc>
      </w:tr>
      <w:tr>
        <w:trPr>
          <w:trHeight w:val="181"/>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Steven M. Klosk</w:t>
            </w:r>
          </w:p>
        </w:tc>
        <w:tc>
          <w:tcPr>
            <w:tcW w:w="8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Class III Director</w:t>
            </w: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Cynthia L. Flowers</w:t>
            </w:r>
          </w:p>
        </w:tc>
        <w:tc>
          <w:tcPr>
            <w:tcW w:w="8460" w:type="dxa"/>
            <w:vAlign w:val="bottom"/>
          </w:tcPr>
          <w:p>
            <w:pPr>
              <w:ind w:left="560"/>
              <w:spacing w:after="0"/>
              <w:rPr>
                <w:sz w:val="20"/>
                <w:szCs w:val="20"/>
                <w:color w:val="auto"/>
              </w:rPr>
            </w:pPr>
            <w:r>
              <w:rPr>
                <w:rFonts w:ascii="Arial" w:cs="Arial" w:eastAsia="Arial" w:hAnsi="Arial"/>
                <w:sz w:val="14"/>
                <w:szCs w:val="14"/>
                <w:color w:val="auto"/>
              </w:rPr>
              <w:t>Class I Director</w:t>
            </w:r>
          </w:p>
        </w:tc>
      </w:tr>
      <w:tr>
        <w:trPr>
          <w:trHeight w:val="181"/>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Heidi Henson</w:t>
            </w:r>
          </w:p>
        </w:tc>
        <w:tc>
          <w:tcPr>
            <w:tcW w:w="8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Class II Director</w:t>
            </w: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Erkki Ruoslahti, M.D., Ph.D.</w:t>
            </w:r>
          </w:p>
        </w:tc>
        <w:tc>
          <w:tcPr>
            <w:tcW w:w="8460" w:type="dxa"/>
            <w:vAlign w:val="bottom"/>
          </w:tcPr>
          <w:p>
            <w:pPr>
              <w:ind w:left="560"/>
              <w:spacing w:after="0"/>
              <w:rPr>
                <w:sz w:val="20"/>
                <w:szCs w:val="20"/>
                <w:color w:val="auto"/>
              </w:rPr>
            </w:pPr>
            <w:r>
              <w:rPr>
                <w:rFonts w:ascii="Arial" w:cs="Arial" w:eastAsia="Arial" w:hAnsi="Arial"/>
                <w:sz w:val="14"/>
                <w:szCs w:val="14"/>
                <w:color w:val="auto"/>
              </w:rPr>
              <w:t>Class I Director</w:t>
            </w:r>
          </w:p>
        </w:tc>
      </w:tr>
      <w:tr>
        <w:trPr>
          <w:trHeight w:val="181"/>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Mohammad Azab, MD, MBA</w:t>
            </w:r>
          </w:p>
        </w:tc>
        <w:tc>
          <w:tcPr>
            <w:tcW w:w="8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Class III Director</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David J. Mazzo, Ph.D.</w:t>
      </w:r>
    </w:p>
    <w:p>
      <w:pPr>
        <w:spacing w:after="0" w:line="12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David J. Mazzo, Ph.D. was appointed as our President and Chief Executive Officer on March 28, 2017. Dr. Mazzo was previously appointed as our Chief Executive Officer and as a member of our board of directors on January 5, 2015. Dr. Mazzo brings to Lisata over 38 years of experience in the pharmaceutical industry. Prior to joining Lisata,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From 2003 until 2007 Dr. Mazzo served as President, Chief Executive Officer and director of Chugai Pharma USA, LLC, a biopharmaceutical company and U.S. subsidiary of Chugai Pharmaceutical Co., Ltd. of Japan and a member of the Roche Group. Dr. Mazzo has also held senior management and executive positions in research and development and was a director of the Essex Chimie European subsidiary at Schering-Plough Corporation, a publicly held pharmaceutical company that was subsequently acquired by Merck &amp; Co., Inc.; Hoechst Marion Roussel, Inc., the U.S. subsidiary of Hoechst AG, that was subsequently acquired by Sanofi, a multinational pharmaceuticals company; and Rhone-Poulenc Rorer, Inc., a subsidiary of Rhone-Poulenc SA, a French pharmaceuticals company, that was subsequently acquired by Hoechst AG. He previously served on the board of directors of publicly held EyePoint Pharmaceuticals, Inc. (formerly known as pSivida Corp.), a biopharmaceutical company, from October 2005 to June 2020, Seneca Biopharmaceuticals, Inc. (Nasdaq: SNCA), a therapeutics development company focused on CNS applications that merged with Palisade BIO, from April 2019 to April 2021 and Avanir Pharmaceuticals, Inc., from October 2005 through January 2015, a pharmaceutical company that was sold to Otsuka Holdings in 2015. He currently serves on the board of directors of VTI, Inc. (ASX: VTI), a developer and seller of therapeutic contact lenses, where he has served as Chairman of the board since February 2020 and Feldan Therapeutics, a private company developing technology for the intracellular delivery of therapeutic agents, where he has served on the board since January 2021.</w:t>
      </w:r>
    </w:p>
    <w:p>
      <w:pPr>
        <w:spacing w:after="0" w:line="76"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David Slack</w:t>
      </w:r>
    </w:p>
    <w:p>
      <w:pPr>
        <w:spacing w:after="0" w:line="115"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Mr. Slack was appointed as President and Chief Business Officer and as a member of our board of directors in September 2022, and prior to that served as a member of the Cend board of directors since December 3, 2019 and as its President and Chief Executive Officer since March 29, 2021. He is responsible for overseeing all Research and Development and operational activities, as well as overseeing fundraising, business development and M&amp;A activity. Mr. Slack also currently serves as an Industry Advisor for non-profit pancreatic cancer patient advocacy organization, Trovanow, where he advises the organization with respect to prospective industry partnership and philanthropic fundraising. From March 2020 to March 2021, Mr. Slack was a Consultant for Cend. From January 2004 to March 2021, Mr. Slack served as a Principal of DS Lifescience Consulting. Also, from August 2016 to July 2020 he was the Chief Business Officer of Viracta Therapeutics, a publicly traded company, listed on Nasdaq. From 2000 to 2004, Mr. Slack served as Vice President of Business Development for Ionis Pharmaceuticals, Inc. a publicly traded company, listed on Nasdaq. From 1998-2000, Mr. Slack served as Director of Technology Alliances and Licensing at Rhone-Poulenc Rorer Pharmaceuticals and Aventis Pharmaceuticals, a publicly listed pharmaceutical company He received his Bachelor of Arts in Psychology and his Bachelor of Science in Molecular Biology from California State University Sacramento. Mr. Slack received his Masters of Business Administration in Business and Strategic Marketing from Monterey Institute of International Studies (now Middlebury Institute of International Studies).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Kristen K. Buck, M.D.</w:t>
      </w:r>
    </w:p>
    <w:p>
      <w:pPr>
        <w:spacing w:after="0" w:line="12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Dr. Kristen K. Buck joined Lisata in September 2021 as Executive Vice President of R&amp;D and Chief Medical Officer (“CMO”) of the Company. Prior to joining Lisata, Dr. Buck worked at ICON plc from March 2020 to July 2021, where she served as its CMO and represented the company’s position on key scientific, ethical, and medical governance matters, provided guidance and oversight to the medical and scientific groups, and led the Drug Development Services group. Prior to that, Dr. Buck was Senior Vice President &amp; Chief of Clinical Development at Optum Insights (part of the United Healthcare Group) from August 2018 to March 2020, where she led the clinical operations and regulatory groups within the Digital Research Network (DRN) clinical trial business. From January 2014 to July 2018, Dr. Buck held a position at Quintiles/IQVIA as Vice President of Global Strategic Drug Development designing clinical development plans and protocols across all therapeutic areas for emerging biotech and large pharma.</w:t>
      </w:r>
    </w:p>
    <w:p>
      <w:pPr>
        <w:spacing w:after="0" w:line="8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Earlier in her career, Dr. Buck worked as a primary care physician and then later served as a medical officer in the FDA’s Office of New Drugs Division of Gastrointestinal and Hematology Drug Products where she was responsible for reviewing efficacy and safety data for new drug indications, as well as post-marketing safety data for over 40 drugs. Dr. Buck worked at AstraZeneca where she served as a Global Safety Physician and Global Study Physician. Her experience ranges over multiple therapeutic indications including cardiovascular/metabolic, rare diseases, gastrointestinal, neuroscience, oncology, immunology, and women’s health.</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Dr. Buck is a board certified and licensed physician who received her medical degree from the Pennsylvania State University School of Medicine and completed her internship and residency in Internal Medicine at Abington Memorial Hospital before working in a private practice as a primary care physician.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Gregory B. Brown, M.D.</w:t>
      </w:r>
    </w:p>
    <w:p>
      <w:pPr>
        <w:spacing w:after="0" w:line="11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Gregory B. Brown, M.D. was appointed to our board of directors in October 2016 and was elected Chairman by our board of directors on February 16, 2017. Dr. Brown is currently Chief Executive Officer of Memgen, Inc., a development-stage biotechnology company. In 2007, Dr. Brown co-founded HealthCare Royalty Partners (“HCR Partners”), a healthcare-focused private asset management firm investing in biopharmaceutical and medical products, and developing and deploying innovative risk-mitigated investment strategies to deliver non-correlated cash flow. Dr. Brown served as Vice Chairman of HCR Partners until December 2022 and remains a member of the firm’s SAB. Dr. Brown was educated as a transplantation immunologist and trained as a thoracic and vascular surgeon. He practiced thoracic and vascular surgery in a community setting where he also founded and led a health maintenance organization. He brings particular expertise in the scientific, technical, clinical and medical evaluation of products as well as in healthcare systems and payor/reimbursement dynamics. He has been involved in sourcing, performing due diligence on and closing more than $1 billion of royalty financings.</w:t>
      </w:r>
    </w:p>
    <w:p>
      <w:pPr>
        <w:spacing w:after="0" w:line="9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Before co-founding HCR Partners, Dr. Brown was a partner at Paul Capital Partners where he co-managed that firm’s royalty investments as a member of the royalty management committee. Prior to beginning his principal investment career in 2003, Dr. Brown was co-head of investment banking and head of healthcare at Adams, Harkness &amp; Hill (now Canaccord Genuity) and a ranked biotechnology research analyst at Vector Securities International. Dr. Brown holds a B.A. from Yale, an M.D. from SUNY Upstate Medical Center and an M.B.A. from Harvard Business School. He currently serves on the boards of FAST Biomedical since January 2020, Memgen, Inc. since October 2018, and Aquestive Therapeutics, Inc. since 2017. He previously served on the boards of Cambrex Corporation, Faron Pharmaceuticals, Oy, Invuity, Inc. and Vanderbilt Clinical, S.a.r.l.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Steven M. Klosk</w:t>
      </w:r>
    </w:p>
    <w:p>
      <w:pPr>
        <w:spacing w:after="0" w:line="11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Steven M. Klosk joined our board of directors in 2014. He is a senior executive with extensive management experience in the life sciences industry. He served as a Director at Cambrex Corporation (NYSE:CBM) from May 2008 through December 2019, until it was acquired by Permira and then as Director from December 2019 until June 2020. Cambrex is one of the leading providers of active pharmaceutical ingredients, advanced intermediates and finished dosage form products to the branded and generic pharmaceutical markets, where he served as President and Chief Executive Officer from May 2008 through June 2020. In that role he was responsible for all aspects of Cambrex’s global business with manufacturing and R&amp;D facilities in the United States, Sweden, Italy, Estonia and Germany. In addition, he has served on the board of directors of Recipharm, a leading pharmaceutical contract development &amp; manufacturing organization since March 2021 and Golden Arrow Merger Corp. since March 2021. In addition, since 2021 he has served on the board of directors of Formulated Solutions, a topicalsCDMO where he is the chairman of the board; BioIVT, a leading supplier of biologics specimens for biotech research; BIOVECTRA, a leading small molecule and biologics CDMO; and NJ Bio, a leading antibody drug conjugate contract research organization.</w:t>
      </w:r>
    </w:p>
    <w:p>
      <w:pPr>
        <w:spacing w:after="0" w:line="9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Mr. Klosk held other executive positions at Cambrex Corporation, including President, Executive Vice President &amp; COO as well as President, Pharma Business Unit (2007-2008) where he had full P&amp;L and balance sheet responsibility for four operating units in North America and Europe. Prior to this he was Executive Vice President &amp; COO Cambrex Pharma &amp; Biopharmaceuticals Business Unit (2003-2007) where he was responsible for managing a highly profitable global business with six operating units in North America and Europe. Earlier in his career Mr. Klosk served as Vice President, Administration for The Genlyte Group, Inc., a publicly traded producer of lighting fixtures. Mr. Klosk earned a B.S. from Cornell University and a J.D. from New York Law School.</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Cynthia L. Flowers</w:t>
      </w:r>
    </w:p>
    <w:p>
      <w:pPr>
        <w:spacing w:after="0" w:line="11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Ms. Flowers was appointed to our board of directors in November 2018. She is the owner of EIR Advisory LLC, a life sciences advisory and strategic investment firm. From February 2014 through November 2017, Ms. Flowers was President and Chief Executive Officer of Ipsen North America, where she led the transformation of the company as it became the highest-growth subsidiary worldwide. Prior to joining Ipsen, she served as President of Eisai Pharmaceuticals, where she oversaw commercial operations, medical affairs and services, manufacturing, alliance management and other functions. She has also held general management roles, both domestically and internationally, at Amgen Inc. and Johnson &amp; Johnson. Ms. Flowers began her career as an oncology/critical care nurse.</w:t>
      </w:r>
    </w:p>
    <w:p>
      <w:pPr>
        <w:spacing w:after="0" w:line="9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Ms. Flowers currently serves on the board of Hikma Pharmaceuticals PLC, a multigenerational generics company and G1 Therapeutics Inc., a biotechnology clinical development company. She has held positions on numerous corporate and non-profit boards, including Nanoform Finland OYi, a nanoparticle manufacturing company, Kadmon Group, Inc., a clinical stage biopharmaceutical company, the Women’s Leadership Advisory Board for the John F. Kennedy School of Government at Harvard University and the board of directors for the Sarah Cannon Oncology Research Institute. She currently serves as a Wharton Business School Leadership Advisor. Ms. Flowers holds an M.B.A. from the Wharton School of the University of Pennsylvania and a B.S.N. from the University of Delaware.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Heidi Henson</w:t>
      </w:r>
    </w:p>
    <w:p>
      <w:pPr>
        <w:spacing w:after="0" w:line="115"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Ms. Henson was appointed to our board of directors in September 2022 and before that served as a member of the Cend board of directors since 2019. Since 2021, she has served as the Chief Financial Officers of Pardes Biosciences, Inc., a publicly traded company listed on Nasdaq under the symbol “PRDS”, where she is responsible for building out the company’s infrastructure and implementing processes and procedures relating to being a public company. She also concurrently serves on the board of directors of PepGen, Inc. (Nasdaq: PEPG). From 2012-2012 she served on the board as Chief Financial Officer of the San Diego Children’s Choir, and from 2010 to 2013 she served as the board as Treasurer of the San Diego Children’s Choir Parent Association. From 2020 to 2021 she was a consultant for Pardes. From 2019-2020 Ms. Henson served as the Chief Financial Officer of Imbria Pharmaceuticals, Inc. and from 2018 to 2019 she was the Chief Financial Officer and Chief Compliance Officers of Respivant Sciences, Inc. where she was responsible for the implementation and monitoring of the compliance program. From 2014 to 2018, she served as the Chief Financial Officers of Kura Oncology, Inc, a publicly traded company listed on Nasdaq under the symbol “KURA”, where she led the private placement, reverse merger, and up-listing of the company to Nasdaq. From 2012 to 2018, she was the Chief Financial Officer for Wellspring Biosciences, LLC and its parent company Araxes Pharma, LLC. From 2007 to 2012, Ms. Henson was the Vice President of Finance for Intellikine, Inc. From 2005 to 2011, she worked as a consultant for various pharmaceutical industry clients, and she would assist with SEC reporting, implementation of financial processes and controls and implementation of SOX 404 compliance plans and documentation. From 2004 to 2005, she was the Controller for La Jolla Pharmaceutical Company, listed on Nasdaq under “LJPC”. Prior to 2005 she was a Director, Finance at Anadys Pharmaceutical, Inc. (Nasdaq: ANDS), held several positions at Fair Isaac &amp; Co, Inc (Nasdaq: FICO), and was a financial analyst at Alaris Medical Systems, Inc. and senior auditor from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 Ms. Henson received her Bachelors of Accountancy from the University of San Diego and is a member of the Association of Bioscience Financial Officers.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Erkki Ruoslahti, M.D., Ph.D.</w:t>
      </w:r>
    </w:p>
    <w:p>
      <w:pPr>
        <w:spacing w:after="0" w:line="125"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Dr. Ruoslahti was appointed to our board of directors in September 2022, and prior to that he served as a member of the Cend board of directors since 2015 and as its Founder, President and Chief Executive Officer from 2015 to 2020. In 2020, Dr. Ruoslahti became a Consultant for Cend. He has over 30 years of experience in biotech that includes founding Impilo Therapeutics, Inc. where he served as a Director until about September 2020 when it was acquired by Cend. Most significantly, from January 1976 to September 2020 Dr. Ruoslahti has served as Researcher, Scientific Director, President, Chief Executive Officer of Sanford Burnham Prebys Medical Discovery Institute where he took the once fledgling 50-person research organization to a world-renowned research institution. When he stepped down as Chief Executive Officer, the institute had 500 employees and was ranked number one among all research organizations in world in the number of citations its publications received in the cell/molecular biology literature. The core technology from Cend originates from his laboratory. Currently, Dr. Ruoslahti has an informal emeritus relationship with the institute. From 2005 to 2008 he served as a Director for Advances Technologies, Inc, a publicly traded company listed on Nasdaq. From 2000 to 2002, he co-founded was a Director of Targeted Molecules, Inc. and from 1993 to 1996 he served as a Director of Canji and from 1987 to 1995, he co-founded and served as a director of Telios Pharmaceuticals, Inc. a publicly traded company on Nasdaq. Mr. Ruoslahti received his M.D., and Ph.D. from the University of Helsinki, Helsinki Finland. From 1968 to 1970 he was a Postdoctoral fellow at CalTech. Dr. Ruoslahti is a member of the U.S. National Academy of Sciences.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Mohammad Azab, MD, MBA</w:t>
      </w:r>
    </w:p>
    <w:p>
      <w:pPr>
        <w:spacing w:after="0" w:line="11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Mohammad Azab, M.D., MSc, MBA was appointed to our board of directors in September 2022. Dr. Azab is a leader in clinical and regulatory development of biopharmaceutical drugs with particular expertise in oncology drug development. In July 2009, Dr. Azab joined Astex Pharmaceuticals, Inc. (“Astex”), a pharmaceutical company focused on the discovery and development of drugs in oncology and other areas, as its Chief Medical Officer. Dr. Azab served as President and Chief Medical Officer of Astex from January 2014 to November 2020, and has served as the chair of its board of directors from November 2020 to May 1, 2022. Since January 2021, Dr. Azab has served on the board of directors of DURECT Corporation (Nasdaq: DRRX), a biopharmaceutical company committed to transforming the treatment of acute organ injury and chronic liver diseases. Additionally, Dr. Azab has served on the board of directors of Xenon Pharmaceuticals Inc. (Nasdaq: XENE), a biopharmaceutical company delivering innovative medicines to patients with neurological disorders, since January 2003. Previously, Dr. Azab served as President and Chief Executive Officer of Intradigm Corporation, a developer of siRNA cancer therapeutics. Prior to this, Dr. Azab served as Executive Vice President of Research and Development and Chief Medical Officer of QLT Inc. and in several leadership positions at AstraZeneca plc in the United Kingdom and Sanofi in France. Dr. Azab holds an MBA from the Richard Ivey School of Business, University of Western Ontario, and an MB ChB from Cairo University. He received post-graduate training and degrees in oncology research from the University of Paris-Sud and in biostatistics from the University of Pierre et Marie Curie in Paris, France.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captions “Executive Compensation” and “Lisata Director Compensation” in our Proxy Statement for the 2023 Annual Meeting of Stockholders.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 “Security Ownership of Management and Certain Beneficial Owners” and “Equity Compensation Plan Information” in our Proxy Statement for the 2023 Annual Meeting of Stockholders.</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1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captions “Certain Relationships and Related Party Transactions” and “Management and Corporate Governance Matters” in our Proxy Statement for the 2023 Annual Meeting of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 “Accounting Fees and Other Accounting Matters” in our Proxy Statement for the 2023 Annual Meeting of Stockholders.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documents are being filed as part of this Annual Report: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(a)(1) FINANCIAL STATEMENTS: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Reference is made to the Index to Financial Statements on Page 70 of this Annual Report.</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All other schedules have been omitted because the required information is not present or is not present in amounts sufficient to require submission of the schedule, or because the information required is included in the Financial Statements or Notes thereto.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(a)(3) EXHIBITS:</w:t>
      </w:r>
    </w:p>
    <w:p>
      <w:pPr>
        <w:spacing w:after="0" w:line="11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following is a list of exhibits filed (or furnished, where specified) as part of this Annual Report on Form 10-K. Exhibits that were previously filed are described below and are incorporated by reference. For exhibits incorporated by reference, the location of the exhibit in the previous filing is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6"/>
                <w:szCs w:val="16"/>
                <w:color w:val="auto"/>
              </w:rPr>
            </w:pPr>
          </w:p>
        </w:tc>
        <w:tc>
          <w:tcPr>
            <w:tcW w:w="9480" w:type="dxa"/>
            <w:vAlign w:val="bottom"/>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1420" w:type="dxa"/>
            <w:vAlign w:val="bottom"/>
            <w:gridSpan w:val="3"/>
          </w:tcPr>
          <w:p>
            <w:pPr>
              <w:jc w:val="right"/>
              <w:spacing w:after="0" w:line="149" w:lineRule="exact"/>
              <w:rPr>
                <w:rFonts w:ascii="Arial" w:cs="Arial" w:eastAsia="Arial" w:hAnsi="Arial"/>
                <w:sz w:val="14"/>
                <w:szCs w:val="14"/>
                <w:color w:val="0000FF"/>
              </w:rPr>
            </w:pPr>
            <w:hyperlink r:id="rId121">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380" w:type="dxa"/>
            <w:vAlign w:val="bottom"/>
          </w:tcPr>
          <w:p>
            <w:pPr>
              <w:spacing w:after="0"/>
              <w:rPr>
                <w:sz w:val="12"/>
                <w:szCs w:val="12"/>
                <w:color w:val="auto"/>
              </w:rPr>
            </w:pPr>
          </w:p>
        </w:tc>
        <w:tc>
          <w:tcPr>
            <w:tcW w:w="9480" w:type="dxa"/>
            <w:vAlign w:val="bottom"/>
          </w:tcPr>
          <w:p>
            <w:pPr>
              <w:ind w:left="280"/>
              <w:spacing w:after="0" w:line="149" w:lineRule="exact"/>
              <w:rPr>
                <w:sz w:val="20"/>
                <w:szCs w:val="20"/>
                <w:color w:val="auto"/>
              </w:rPr>
            </w:pPr>
            <w:r>
              <w:rPr>
                <w:rFonts w:ascii="Arial" w:cs="Arial" w:eastAsia="Arial" w:hAnsi="Arial"/>
                <w:sz w:val="14"/>
                <w:szCs w:val="14"/>
                <w:color w:val="auto"/>
                <w:w w:val="93"/>
              </w:rPr>
              <w:t>Certificate of Amendment (Reverse Stock Split) to the Amended and Restated Certificate of Incorporation, dated September 14, 2022 (filed as Exhibit 3.1 to the</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Company's Current Report on 8-K, filed with the SEC on September 15, 2022).</w:t>
            </w:r>
          </w:p>
        </w:tc>
        <w:tc>
          <w:tcPr>
            <w:tcW w:w="0" w:type="dxa"/>
            <w:vAlign w:val="bottom"/>
          </w:tcPr>
          <w:p>
            <w:pPr>
              <w:spacing w:after="0"/>
              <w:rPr>
                <w:sz w:val="1"/>
                <w:szCs w:val="1"/>
                <w:color w:val="auto"/>
              </w:rPr>
            </w:pPr>
          </w:p>
        </w:tc>
      </w:tr>
      <w:tr>
        <w:trPr>
          <w:trHeight w:val="266"/>
        </w:trPr>
        <w:tc>
          <w:tcPr>
            <w:tcW w:w="1420" w:type="dxa"/>
            <w:vAlign w:val="bottom"/>
            <w:gridSpan w:val="3"/>
          </w:tcPr>
          <w:p>
            <w:pPr>
              <w:jc w:val="right"/>
              <w:spacing w:after="0"/>
              <w:rPr>
                <w:rFonts w:ascii="Arial" w:cs="Arial" w:eastAsia="Arial" w:hAnsi="Arial"/>
                <w:sz w:val="14"/>
                <w:szCs w:val="14"/>
                <w:color w:val="0000FF"/>
              </w:rPr>
            </w:pPr>
            <w:hyperlink r:id="rId122">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380" w:type="dxa"/>
            <w:vAlign w:val="bottom"/>
          </w:tcPr>
          <w:p>
            <w:pPr>
              <w:spacing w:after="0"/>
              <w:rPr>
                <w:sz w:val="23"/>
                <w:szCs w:val="2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6"/>
              </w:rPr>
              <w:t>Certificate of Amendment (Name Change) to the Amended and Restated Certificate of Incorporation, dated September 15, 2022 (filed as Exhibit 3.2 to the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vMerge w:val="restart"/>
          </w:tcPr>
          <w:p>
            <w:pPr>
              <w:ind w:left="280"/>
              <w:spacing w:after="0"/>
              <w:rPr>
                <w:sz w:val="20"/>
                <w:szCs w:val="20"/>
                <w:color w:val="auto"/>
              </w:rPr>
            </w:pPr>
            <w:r>
              <w:rPr>
                <w:rFonts w:ascii="Arial" w:cs="Arial" w:eastAsia="Arial" w:hAnsi="Arial"/>
                <w:sz w:val="14"/>
                <w:szCs w:val="14"/>
                <w:color w:val="auto"/>
              </w:rPr>
              <w:t>Company's Current Report on Form 8-K, filed with the SEC on September 15, 2022).</w:t>
            </w:r>
          </w:p>
        </w:tc>
        <w:tc>
          <w:tcPr>
            <w:tcW w:w="0" w:type="dxa"/>
            <w:vAlign w:val="bottom"/>
          </w:tcPr>
          <w:p>
            <w:pPr>
              <w:spacing w:after="0" w:line="20" w:lineRule="exact"/>
              <w:rPr>
                <w:sz w:val="1"/>
                <w:szCs w:val="1"/>
                <w:color w:val="auto"/>
              </w:rPr>
            </w:pPr>
          </w:p>
        </w:tc>
      </w:tr>
      <w:tr>
        <w:trPr>
          <w:trHeight w:val="160"/>
        </w:trPr>
        <w:tc>
          <w:tcPr>
            <w:tcW w:w="1420" w:type="dxa"/>
            <w:vAlign w:val="bottom"/>
            <w:gridSpan w:val="3"/>
            <w:vMerge w:val="restart"/>
          </w:tcPr>
          <w:p>
            <w:pPr>
              <w:jc w:val="right"/>
              <w:spacing w:after="0"/>
              <w:rPr>
                <w:rFonts w:ascii="Arial" w:cs="Arial" w:eastAsia="Arial" w:hAnsi="Arial"/>
                <w:sz w:val="14"/>
                <w:szCs w:val="14"/>
                <w:color w:val="0000FF"/>
              </w:rPr>
            </w:pPr>
            <w:hyperlink r:id="rId123">
              <w:r>
                <w:rPr>
                  <w:rFonts w:ascii="Arial" w:cs="Arial" w:eastAsia="Arial" w:hAnsi="Arial"/>
                  <w:sz w:val="14"/>
                  <w:szCs w:val="14"/>
                  <w:color w:val="0000FF"/>
                </w:rPr>
                <w:t>3.</w:t>
              </w:r>
              <w:r>
                <w:rPr>
                  <w:rFonts w:ascii="Arial" w:cs="Arial" w:eastAsia="Arial" w:hAnsi="Arial"/>
                  <w:sz w:val="14"/>
                  <w:szCs w:val="14"/>
                  <w:u w:val="single" w:color="auto"/>
                  <w:color w:val="0000FF"/>
                </w:rPr>
                <w:t>3</w:t>
              </w:r>
            </w:hyperlink>
          </w:p>
        </w:tc>
        <w:tc>
          <w:tcPr>
            <w:tcW w:w="380" w:type="dxa"/>
            <w:vAlign w:val="bottom"/>
          </w:tcPr>
          <w:p>
            <w:pPr>
              <w:spacing w:after="0"/>
              <w:rPr>
                <w:sz w:val="13"/>
                <w:szCs w:val="13"/>
                <w:color w:val="auto"/>
              </w:rPr>
            </w:pPr>
          </w:p>
        </w:tc>
        <w:tc>
          <w:tcPr>
            <w:tcW w:w="9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42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9480" w:type="dxa"/>
            <w:vAlign w:val="bottom"/>
            <w:vMerge w:val="restart"/>
          </w:tcPr>
          <w:p>
            <w:pPr>
              <w:ind w:left="280"/>
              <w:spacing w:after="0"/>
              <w:rPr>
                <w:sz w:val="20"/>
                <w:szCs w:val="20"/>
                <w:color w:val="auto"/>
              </w:rPr>
            </w:pPr>
            <w:r>
              <w:rPr>
                <w:rFonts w:ascii="Arial" w:cs="Arial" w:eastAsia="Arial" w:hAnsi="Arial"/>
                <w:sz w:val="14"/>
                <w:szCs w:val="14"/>
                <w:color w:val="auto"/>
                <w:w w:val="94"/>
              </w:rPr>
              <w:t>Amended and Restated Certificate of Incorporation of Lisata Therapeutics, Inc., as amended, effective July 27, 2016 (filed as Exhibit 3.1 to the Company’s on</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9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Form 10-Q for the quarter ended June 30, 2016, filed with the SEC on August 9, 2016).</w:t>
            </w:r>
          </w:p>
        </w:tc>
        <w:tc>
          <w:tcPr>
            <w:tcW w:w="0" w:type="dxa"/>
            <w:vAlign w:val="bottom"/>
          </w:tcPr>
          <w:p>
            <w:pPr>
              <w:spacing w:after="0"/>
              <w:rPr>
                <w:sz w:val="1"/>
                <w:szCs w:val="1"/>
                <w:color w:val="auto"/>
              </w:rPr>
            </w:pPr>
          </w:p>
        </w:tc>
      </w:tr>
      <w:tr>
        <w:trPr>
          <w:trHeight w:val="361"/>
        </w:trPr>
        <w:tc>
          <w:tcPr>
            <w:tcW w:w="1420" w:type="dxa"/>
            <w:vAlign w:val="bottom"/>
            <w:gridSpan w:val="3"/>
          </w:tcPr>
          <w:p>
            <w:pPr>
              <w:jc w:val="right"/>
              <w:spacing w:after="0"/>
              <w:rPr>
                <w:rFonts w:ascii="Arial" w:cs="Arial" w:eastAsia="Arial" w:hAnsi="Arial"/>
                <w:sz w:val="14"/>
                <w:szCs w:val="14"/>
                <w:color w:val="0000FF"/>
              </w:rPr>
            </w:pPr>
            <w:hyperlink r:id="rId124">
              <w:r>
                <w:rPr>
                  <w:rFonts w:ascii="Arial" w:cs="Arial" w:eastAsia="Arial" w:hAnsi="Arial"/>
                  <w:sz w:val="14"/>
                  <w:szCs w:val="14"/>
                  <w:color w:val="0000FF"/>
                </w:rPr>
                <w:t>3.</w:t>
              </w:r>
              <w:r>
                <w:rPr>
                  <w:rFonts w:ascii="Arial" w:cs="Arial" w:eastAsia="Arial" w:hAnsi="Arial"/>
                  <w:sz w:val="14"/>
                  <w:szCs w:val="14"/>
                  <w:u w:val="single" w:color="auto"/>
                  <w:color w:val="0000FF"/>
                </w:rPr>
                <w:t>4</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5"/>
              </w:rPr>
              <w:t>Amended and Restated By-Laws of the Lisata Therapeutics, Inc. as amended, effective as of July 27, 2016 (filed as Exhibit 3.2 to the Company’s Quarterly</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Report on Form 10-Q for the quarter ended June 30, 2016, filed with the SEC on August 9, 2016).</w:t>
            </w:r>
          </w:p>
        </w:tc>
        <w:tc>
          <w:tcPr>
            <w:tcW w:w="0" w:type="dxa"/>
            <w:vAlign w:val="bottom"/>
          </w:tcPr>
          <w:p>
            <w:pPr>
              <w:spacing w:after="0"/>
              <w:rPr>
                <w:sz w:val="1"/>
                <w:szCs w:val="1"/>
                <w:color w:val="auto"/>
              </w:rPr>
            </w:pPr>
          </w:p>
        </w:tc>
      </w:tr>
      <w:tr>
        <w:trPr>
          <w:trHeight w:val="350"/>
        </w:trPr>
        <w:tc>
          <w:tcPr>
            <w:tcW w:w="1420" w:type="dxa"/>
            <w:vAlign w:val="bottom"/>
            <w:gridSpan w:val="3"/>
          </w:tcPr>
          <w:p>
            <w:pPr>
              <w:jc w:val="right"/>
              <w:spacing w:after="0"/>
              <w:rPr>
                <w:rFonts w:ascii="Arial" w:cs="Arial" w:eastAsia="Arial" w:hAnsi="Arial"/>
                <w:sz w:val="14"/>
                <w:szCs w:val="14"/>
                <w:color w:val="0000FF"/>
              </w:rPr>
            </w:pPr>
            <w:hyperlink r:id="rId125">
              <w:r>
                <w:rPr>
                  <w:rFonts w:ascii="Arial" w:cs="Arial" w:eastAsia="Arial" w:hAnsi="Arial"/>
                  <w:sz w:val="14"/>
                  <w:szCs w:val="14"/>
                  <w:color w:val="0000FF"/>
                </w:rPr>
                <w:t>3.</w:t>
              </w:r>
              <w:r>
                <w:rPr>
                  <w:rFonts w:ascii="Arial" w:cs="Arial" w:eastAsia="Arial" w:hAnsi="Arial"/>
                  <w:sz w:val="14"/>
                  <w:szCs w:val="14"/>
                  <w:u w:val="single" w:color="auto"/>
                  <w:color w:val="0000FF"/>
                </w:rPr>
                <w:t>5</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Amendments to Amended and Restated Bylaws of Lisata Therapeutics, Inc., effective as of September 18, 2017 (filed as Exhibit 3.1 to the Company's Current</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Report on Form 8-K, filed with the SEC on September 21, 2017).</w:t>
            </w:r>
          </w:p>
        </w:tc>
        <w:tc>
          <w:tcPr>
            <w:tcW w:w="0" w:type="dxa"/>
            <w:vAlign w:val="bottom"/>
          </w:tcPr>
          <w:p>
            <w:pPr>
              <w:spacing w:after="0"/>
              <w:rPr>
                <w:sz w:val="1"/>
                <w:szCs w:val="1"/>
                <w:color w:val="auto"/>
              </w:rPr>
            </w:pPr>
          </w:p>
        </w:tc>
      </w:tr>
      <w:tr>
        <w:trPr>
          <w:trHeight w:val="350"/>
        </w:trPr>
        <w:tc>
          <w:tcPr>
            <w:tcW w:w="1420" w:type="dxa"/>
            <w:vAlign w:val="bottom"/>
            <w:gridSpan w:val="3"/>
          </w:tcPr>
          <w:p>
            <w:pPr>
              <w:jc w:val="right"/>
              <w:spacing w:after="0"/>
              <w:rPr>
                <w:rFonts w:ascii="Arial" w:cs="Arial" w:eastAsia="Arial" w:hAnsi="Arial"/>
                <w:sz w:val="14"/>
                <w:szCs w:val="14"/>
                <w:color w:val="0000FF"/>
              </w:rPr>
            </w:pPr>
            <w:hyperlink r:id="rId126">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Description of Capital Stock.</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420" w:type="dxa"/>
            <w:vAlign w:val="bottom"/>
            <w:gridSpan w:val="3"/>
          </w:tcPr>
          <w:p>
            <w:pPr>
              <w:jc w:val="right"/>
              <w:spacing w:after="0"/>
              <w:rPr>
                <w:rFonts w:ascii="Arial" w:cs="Arial" w:eastAsia="Arial" w:hAnsi="Arial"/>
                <w:sz w:val="14"/>
                <w:szCs w:val="14"/>
                <w:color w:val="0000FF"/>
              </w:rPr>
            </w:pPr>
            <w:hyperlink r:id="rId127">
              <w:r>
                <w:rPr>
                  <w:rFonts w:ascii="Arial" w:cs="Arial" w:eastAsia="Arial" w:hAnsi="Arial"/>
                  <w:sz w:val="14"/>
                  <w:szCs w:val="14"/>
                  <w:color w:val="0000FF"/>
                </w:rPr>
                <w:t>4.</w:t>
              </w:r>
              <w:r>
                <w:rPr>
                  <w:rFonts w:ascii="Arial" w:cs="Arial" w:eastAsia="Arial" w:hAnsi="Arial"/>
                  <w:sz w:val="14"/>
                  <w:szCs w:val="14"/>
                  <w:u w:val="single" w:color="auto"/>
                  <w:color w:val="0000FF"/>
                </w:rPr>
                <w:t>2</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Form of Warrant (filed as Exhibit 4.1 to the Company's Current Report on Form 8-K, filed with the SEC on April 24, 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20" w:type="dxa"/>
            <w:vAlign w:val="bottom"/>
            <w:gridSpan w:val="3"/>
          </w:tcPr>
          <w:p>
            <w:pPr>
              <w:jc w:val="right"/>
              <w:spacing w:after="0"/>
              <w:rPr>
                <w:rFonts w:ascii="Arial" w:cs="Arial" w:eastAsia="Arial" w:hAnsi="Arial"/>
                <w:sz w:val="14"/>
                <w:szCs w:val="14"/>
                <w:color w:val="0000FF"/>
              </w:rPr>
            </w:pPr>
            <w:hyperlink r:id="rId128">
              <w:r>
                <w:rPr>
                  <w:rFonts w:ascii="Arial" w:cs="Arial" w:eastAsia="Arial" w:hAnsi="Arial"/>
                  <w:sz w:val="14"/>
                  <w:szCs w:val="14"/>
                  <w:color w:val="0000FF"/>
                </w:rPr>
                <w:t>4.</w:t>
              </w:r>
              <w:r>
                <w:rPr>
                  <w:rFonts w:ascii="Arial" w:cs="Arial" w:eastAsia="Arial" w:hAnsi="Arial"/>
                  <w:sz w:val="14"/>
                  <w:szCs w:val="14"/>
                  <w:u w:val="single" w:color="auto"/>
                  <w:color w:val="0000FF"/>
                </w:rPr>
                <w:t>3</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Form of Warrant (filed as Exhibit 4.1 to the Company's Current Report on Form 8-K, filed with the SEC on May 26, 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20" w:type="dxa"/>
            <w:vAlign w:val="bottom"/>
            <w:gridSpan w:val="3"/>
          </w:tcPr>
          <w:p>
            <w:pPr>
              <w:jc w:val="right"/>
              <w:spacing w:after="0"/>
              <w:rPr>
                <w:rFonts w:ascii="Arial" w:cs="Arial" w:eastAsia="Arial" w:hAnsi="Arial"/>
                <w:sz w:val="14"/>
                <w:szCs w:val="14"/>
                <w:color w:val="0000FF"/>
              </w:rPr>
            </w:pPr>
            <w:hyperlink r:id="rId129">
              <w:r>
                <w:rPr>
                  <w:rFonts w:ascii="Arial" w:cs="Arial" w:eastAsia="Arial" w:hAnsi="Arial"/>
                  <w:sz w:val="14"/>
                  <w:szCs w:val="14"/>
                  <w:color w:val="0000FF"/>
                </w:rPr>
                <w:t>4.</w:t>
              </w:r>
              <w:r>
                <w:rPr>
                  <w:rFonts w:ascii="Arial" w:cs="Arial" w:eastAsia="Arial" w:hAnsi="Arial"/>
                  <w:sz w:val="14"/>
                  <w:szCs w:val="14"/>
                  <w:u w:val="single" w:color="auto"/>
                  <w:color w:val="0000FF"/>
                </w:rPr>
                <w:t>4</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Form of Warrant (filed as Exhibit 4.1 to the Company's Current Report on Form 8-K, filed with the SEC on July 10, 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20" w:type="dxa"/>
            <w:vAlign w:val="bottom"/>
            <w:gridSpan w:val="3"/>
          </w:tcPr>
          <w:p>
            <w:pPr>
              <w:jc w:val="right"/>
              <w:spacing w:after="0"/>
              <w:rPr>
                <w:rFonts w:ascii="Arial" w:cs="Arial" w:eastAsia="Arial" w:hAnsi="Arial"/>
                <w:sz w:val="14"/>
                <w:szCs w:val="14"/>
                <w:color w:val="0000FF"/>
              </w:rPr>
            </w:pPr>
            <w:hyperlink r:id="rId130">
              <w:r>
                <w:rPr>
                  <w:rFonts w:ascii="Arial" w:cs="Arial" w:eastAsia="Arial" w:hAnsi="Arial"/>
                  <w:sz w:val="14"/>
                  <w:szCs w:val="14"/>
                  <w:color w:val="0000FF"/>
                </w:rPr>
                <w:t>4.</w:t>
              </w:r>
              <w:r>
                <w:rPr>
                  <w:rFonts w:ascii="Arial" w:cs="Arial" w:eastAsia="Arial" w:hAnsi="Arial"/>
                  <w:sz w:val="14"/>
                  <w:szCs w:val="14"/>
                  <w:u w:val="single" w:color="auto"/>
                  <w:color w:val="0000FF"/>
                </w:rPr>
                <w:t>5</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Form of Warrant (filed as Exhibit 4.1 to the Company's Current Report on Form 8-K, filed with the SEC on January 25,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Director Compensation Policy, dated April 21, 2021.</w:t>
            </w:r>
          </w:p>
        </w:tc>
        <w:tc>
          <w:tcPr>
            <w:tcW w:w="0" w:type="dxa"/>
            <w:vAlign w:val="bottom"/>
          </w:tcPr>
          <w:p>
            <w:pPr>
              <w:spacing w:after="0"/>
              <w:rPr>
                <w:sz w:val="1"/>
                <w:szCs w:val="1"/>
                <w:color w:val="auto"/>
              </w:rPr>
            </w:pPr>
          </w:p>
        </w:tc>
      </w:tr>
      <w:tr>
        <w:trPr>
          <w:trHeight w:val="362"/>
        </w:trPr>
        <w:tc>
          <w:tcPr>
            <w:tcW w:w="116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Lisata Therapeutics, Inc. 2018 Equity Incentive Compensation Plan, as amended, effective as of September 15, 2022.</w:t>
            </w:r>
          </w:p>
        </w:tc>
        <w:tc>
          <w:tcPr>
            <w:tcW w:w="0" w:type="dxa"/>
            <w:vAlign w:val="bottom"/>
          </w:tcPr>
          <w:p>
            <w:pPr>
              <w:spacing w:after="0"/>
              <w:rPr>
                <w:sz w:val="1"/>
                <w:szCs w:val="1"/>
                <w:color w:val="auto"/>
              </w:rPr>
            </w:pPr>
          </w:p>
        </w:tc>
      </w:tr>
      <w:tr>
        <w:trPr>
          <w:trHeight w:val="362"/>
        </w:trPr>
        <w:tc>
          <w:tcPr>
            <w:tcW w:w="116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3</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2018 Equity Incentive Compensation Plan, effective June 20, 2018, as amended on June 18, 2020 and further amended on June 16, 2021.</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4</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2015 Equity Incentive Compensation Plan, effective July 15, 2015.</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5</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Amended &amp; Restated 2009 Equity Compensation Plan, effective October 4, 2012.</w:t>
            </w:r>
          </w:p>
        </w:tc>
        <w:tc>
          <w:tcPr>
            <w:tcW w:w="0" w:type="dxa"/>
            <w:vAlign w:val="bottom"/>
          </w:tcPr>
          <w:p>
            <w:pPr>
              <w:spacing w:after="0"/>
              <w:rPr>
                <w:sz w:val="1"/>
                <w:szCs w:val="1"/>
                <w:color w:val="auto"/>
              </w:rPr>
            </w:pPr>
          </w:p>
        </w:tc>
      </w:tr>
      <w:tr>
        <w:trPr>
          <w:trHeight w:val="320"/>
        </w:trPr>
        <w:tc>
          <w:tcPr>
            <w:tcW w:w="1420" w:type="dxa"/>
            <w:vAlign w:val="bottom"/>
            <w:gridSpan w:val="3"/>
          </w:tcPr>
          <w:p>
            <w:pPr>
              <w:jc w:val="right"/>
              <w:spacing w:after="0"/>
              <w:rPr>
                <w:rFonts w:ascii="Arial" w:cs="Arial" w:eastAsia="Arial" w:hAnsi="Arial"/>
                <w:sz w:val="14"/>
                <w:szCs w:val="14"/>
                <w:color w:val="0000FF"/>
              </w:rPr>
            </w:pPr>
            <w:hyperlink r:id="rId131">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380" w:type="dxa"/>
            <w:vAlign w:val="bottom"/>
          </w:tcPr>
          <w:p>
            <w:pPr>
              <w:jc w:val="right"/>
              <w:ind w:right="209"/>
              <w:spacing w:after="0"/>
              <w:rPr>
                <w:sz w:val="20"/>
                <w:szCs w:val="20"/>
                <w:color w:val="auto"/>
              </w:rPr>
            </w:pPr>
            <w:r>
              <w:rPr>
                <w:rFonts w:ascii="Arial" w:cs="Arial" w:eastAsia="Arial" w:hAnsi="Arial"/>
                <w:sz w:val="14"/>
                <w:szCs w:val="14"/>
                <w:color w:val="auto"/>
                <w:w w:val="97"/>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2"/>
              </w:rPr>
              <w:t>2017 Employee Stock Purchase Plan, as amended (incorporated by reference to Appendix B of the Company's definitive proxy statement on Schedule 14A, filed</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with the Securities and Exchange Commission on April 24, 2018).</w:t>
            </w: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tcPr>
          <w:p>
            <w:pPr>
              <w:ind w:left="374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4"/>
          </w:tcPr>
          <w:p>
            <w:pPr>
              <w:jc w:val="right"/>
              <w:ind w:right="20"/>
              <w:spacing w:after="0"/>
              <w:rPr>
                <w:rFonts w:ascii="Arial" w:cs="Arial" w:eastAsia="Arial" w:hAnsi="Arial"/>
                <w:sz w:val="14"/>
                <w:szCs w:val="14"/>
                <w:color w:val="0000FF"/>
              </w:rPr>
            </w:pPr>
            <w:hyperlink r:id="rId134">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380" w:type="dxa"/>
            <w:vAlign w:val="bottom"/>
          </w:tcPr>
          <w:p>
            <w:pPr>
              <w:spacing w:after="0"/>
              <w:rPr>
                <w:sz w:val="14"/>
                <w:szCs w:val="1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Form of Indemnification Agreement between the Company and each of its directors and officers (filed as Exhibit 10.2 to the Company's Current Report on Form</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8-K filed with the SEC on September 15, 2022).</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35">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1"/>
              </w:rPr>
              <w:t>Employment Agreement, dated as of January 5, 2015 and effective on January 5, 2015, by and between the Company and David J. Mazzo, Ph.D. (filed as Exhibit</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10.2 to the Company's Current Report on Form 8-K filed on January 5, 2015).</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36">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5"/>
              </w:rPr>
              <w:t>Amendment, dated as of January 16, 2015, to Employment Agreement, dated as of January 5, 2015 and effective on January 5, 2015, by and between the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Company and David J. Mazzo, Ph.D. (filed as Exhibit 10.2 to the Company's Current Report on Form 8-K filed on January 16, 2015).</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37">
              <w:r>
                <w:rPr>
                  <w:rFonts w:ascii="Arial" w:cs="Arial" w:eastAsia="Arial" w:hAnsi="Arial"/>
                  <w:sz w:val="14"/>
                  <w:szCs w:val="14"/>
                  <w:color w:val="0000FF"/>
                </w:rPr>
                <w:t>10.</w:t>
              </w:r>
            </w:hyperlink>
            <w:r>
              <w:rPr>
                <w:rFonts w:ascii="Arial" w:cs="Arial" w:eastAsia="Arial" w:hAnsi="Arial"/>
                <w:sz w:val="14"/>
                <w:szCs w:val="14"/>
                <w:u w:val="single" w:color="auto"/>
                <w:color w:val="0000FF"/>
              </w:rPr>
              <w:t>10</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8"/>
              </w:rPr>
              <w:t>Amendment to Employment Agreement, dated as of July 25, 2016, by and between the Company and David J. Mazzo, PhD (filed as Exhibit 10.1 to the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Company’s Quarterly Report on Form 10-Q. for the quarter ended June 30, 2016, filed with the SEC on August 9, 2016).</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38">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Amendment to Employment Agreement with David J. Mazzo, effective September 18, 2017 (filed as Exhibit 10.1 to the Company’s Current Report on Form 8-K</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filed with the SEC on September 21, 2017).</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39">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Amendment to Employment Agreement with David J. Mazzo, dated December 6, 2018 (filed as Exhibit 10.1 to the Company’s Current Report on Form 8-K filed</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with the SEC on December 7, 2018).</w:t>
            </w:r>
          </w:p>
        </w:tc>
        <w:tc>
          <w:tcPr>
            <w:tcW w:w="0" w:type="dxa"/>
            <w:vAlign w:val="bottom"/>
          </w:tcPr>
          <w:p>
            <w:pPr>
              <w:spacing w:after="0"/>
              <w:rPr>
                <w:sz w:val="1"/>
                <w:szCs w:val="1"/>
                <w:color w:val="auto"/>
              </w:rPr>
            </w:pPr>
          </w:p>
        </w:tc>
      </w:tr>
      <w:tr>
        <w:trPr>
          <w:trHeight w:val="350"/>
        </w:trPr>
        <w:tc>
          <w:tcPr>
            <w:tcW w:w="1420" w:type="dxa"/>
            <w:vAlign w:val="bottom"/>
            <w:gridSpan w:val="4"/>
          </w:tcPr>
          <w:p>
            <w:pPr>
              <w:jc w:val="right"/>
              <w:ind w:right="20"/>
              <w:spacing w:after="0"/>
              <w:rPr>
                <w:rFonts w:ascii="Arial" w:cs="Arial" w:eastAsia="Arial" w:hAnsi="Arial"/>
                <w:sz w:val="14"/>
                <w:szCs w:val="14"/>
                <w:color w:val="0000FF"/>
              </w:rPr>
            </w:pPr>
            <w:hyperlink r:id="rId140">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Amended and Restated Employment Agreement with David J. Mazzo, dated March 19, 2021 (filed as Exhibit 10.1 to the Company's Current Report on Form 8-</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K, filed with the SEC on March 19, 2021).</w:t>
            </w: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340" w:type="dxa"/>
            <w:vAlign w:val="bottom"/>
            <w:gridSpan w:val="3"/>
          </w:tcPr>
          <w:p>
            <w:pPr>
              <w:jc w:val="right"/>
              <w:ind w:right="20"/>
              <w:spacing w:after="0"/>
              <w:rPr>
                <w:rFonts w:ascii="Arial" w:cs="Arial" w:eastAsia="Arial" w:hAnsi="Arial"/>
                <w:sz w:val="14"/>
                <w:szCs w:val="14"/>
                <w:color w:val="0000FF"/>
                <w:w w:val="85"/>
              </w:rPr>
            </w:pPr>
            <w:hyperlink r:id="rId141">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14</w:t>
              </w:r>
            </w:hyperlink>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2"/>
              </w:rPr>
              <w:t>+</w:t>
            </w:r>
          </w:p>
        </w:tc>
        <w:tc>
          <w:tcPr>
            <w:tcW w:w="9480" w:type="dxa"/>
            <w:vAlign w:val="bottom"/>
          </w:tcPr>
          <w:p>
            <w:pPr>
              <w:ind w:left="280"/>
              <w:spacing w:after="0"/>
              <w:rPr>
                <w:sz w:val="20"/>
                <w:szCs w:val="20"/>
                <w:color w:val="auto"/>
              </w:rPr>
            </w:pPr>
            <w:r>
              <w:rPr>
                <w:rFonts w:ascii="Arial" w:cs="Arial" w:eastAsia="Arial" w:hAnsi="Arial"/>
                <w:sz w:val="14"/>
                <w:szCs w:val="14"/>
                <w:color w:val="auto"/>
                <w:w w:val="95"/>
              </w:rPr>
              <w:t>Employment Agreement dated as of September 15, 2022 by and between Lisata Therapeutics, Inc. and David Slack, filed as Exhibit 10.1 to the Company's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80" w:type="dxa"/>
            <w:vAlign w:val="bottom"/>
            <w:vMerge w:val="restart"/>
          </w:tcPr>
          <w:p>
            <w:pPr>
              <w:ind w:left="280"/>
              <w:spacing w:after="0"/>
              <w:rPr>
                <w:sz w:val="20"/>
                <w:szCs w:val="20"/>
                <w:color w:val="auto"/>
              </w:rPr>
            </w:pPr>
            <w:r>
              <w:rPr>
                <w:rFonts w:ascii="Arial" w:cs="Arial" w:eastAsia="Arial" w:hAnsi="Arial"/>
                <w:sz w:val="14"/>
                <w:szCs w:val="14"/>
                <w:color w:val="auto"/>
              </w:rPr>
              <w:t>Current Report on Form 8-K, filed with the SEC on September 15, 2022).</w:t>
            </w:r>
          </w:p>
        </w:tc>
        <w:tc>
          <w:tcPr>
            <w:tcW w:w="0" w:type="dxa"/>
            <w:vAlign w:val="bottom"/>
          </w:tcPr>
          <w:p>
            <w:pPr>
              <w:spacing w:after="0" w:line="20" w:lineRule="exact"/>
              <w:rPr>
                <w:sz w:val="1"/>
                <w:szCs w:val="1"/>
                <w:color w:val="auto"/>
              </w:rPr>
            </w:pPr>
          </w:p>
        </w:tc>
      </w:tr>
      <w:tr>
        <w:trPr>
          <w:trHeight w:val="160"/>
        </w:trPr>
        <w:tc>
          <w:tcPr>
            <w:tcW w:w="1080" w:type="dxa"/>
            <w:vAlign w:val="bottom"/>
            <w:vMerge w:val="restart"/>
          </w:tcPr>
          <w:p>
            <w:pPr>
              <w:spacing w:after="0"/>
              <w:rPr>
                <w:sz w:val="13"/>
                <w:szCs w:val="13"/>
                <w:color w:val="auto"/>
              </w:rPr>
            </w:pPr>
          </w:p>
        </w:tc>
        <w:tc>
          <w:tcPr>
            <w:tcW w:w="340" w:type="dxa"/>
            <w:vAlign w:val="bottom"/>
            <w:gridSpan w:val="3"/>
            <w:vMerge w:val="restart"/>
          </w:tcPr>
          <w:p>
            <w:pPr>
              <w:jc w:val="right"/>
              <w:ind w:right="20"/>
              <w:spacing w:after="0"/>
              <w:rPr>
                <w:rFonts w:ascii="Arial" w:cs="Arial" w:eastAsia="Arial" w:hAnsi="Arial"/>
                <w:sz w:val="14"/>
                <w:szCs w:val="14"/>
                <w:color w:val="0000FF"/>
                <w:w w:val="85"/>
              </w:rPr>
            </w:pPr>
            <w:hyperlink r:id="rId142">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15</w:t>
              </w:r>
            </w:hyperlink>
          </w:p>
        </w:tc>
        <w:tc>
          <w:tcPr>
            <w:tcW w:w="380" w:type="dxa"/>
            <w:vAlign w:val="bottom"/>
          </w:tcPr>
          <w:p>
            <w:pPr>
              <w:spacing w:after="0"/>
              <w:rPr>
                <w:sz w:val="13"/>
                <w:szCs w:val="13"/>
                <w:color w:val="auto"/>
              </w:rPr>
            </w:pPr>
          </w:p>
        </w:tc>
        <w:tc>
          <w:tcPr>
            <w:tcW w:w="9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080" w:type="dxa"/>
            <w:vAlign w:val="bottom"/>
            <w:vMerge w:val="continue"/>
          </w:tcPr>
          <w:p>
            <w:pPr>
              <w:spacing w:after="0"/>
              <w:rPr>
                <w:sz w:val="23"/>
                <w:szCs w:val="23"/>
                <w:color w:val="auto"/>
              </w:rPr>
            </w:pPr>
          </w:p>
        </w:tc>
        <w:tc>
          <w:tcPr>
            <w:tcW w:w="34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Form of Purchase Agreement, dated April 23, 2020, by and between Caladrius Biosciences, Inc. and each purchaser identified on the signature pages thereto</w:t>
            </w:r>
          </w:p>
        </w:tc>
        <w:tc>
          <w:tcPr>
            <w:tcW w:w="0" w:type="dxa"/>
            <w:vAlign w:val="bottom"/>
          </w:tcPr>
          <w:p>
            <w:pPr>
              <w:spacing w:after="0"/>
              <w:rPr>
                <w:sz w:val="1"/>
                <w:szCs w:val="1"/>
                <w:color w:val="auto"/>
              </w:rPr>
            </w:pPr>
          </w:p>
        </w:tc>
      </w:tr>
      <w:tr>
        <w:trPr>
          <w:trHeight w:val="181"/>
        </w:trPr>
        <w:tc>
          <w:tcPr>
            <w:tcW w:w="10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(filed as Exhibit 10.1 to the Company's Current Report on Form 8-K, filed with the SEC on April 24, 2020).</w:t>
            </w:r>
          </w:p>
        </w:tc>
        <w:tc>
          <w:tcPr>
            <w:tcW w:w="0" w:type="dxa"/>
            <w:vAlign w:val="bottom"/>
          </w:tcPr>
          <w:p>
            <w:pPr>
              <w:spacing w:after="0"/>
              <w:rPr>
                <w:sz w:val="1"/>
                <w:szCs w:val="1"/>
                <w:color w:val="auto"/>
              </w:rPr>
            </w:pPr>
          </w:p>
        </w:tc>
      </w:tr>
      <w:tr>
        <w:trPr>
          <w:trHeight w:val="287"/>
        </w:trPr>
        <w:tc>
          <w:tcPr>
            <w:tcW w:w="1420" w:type="dxa"/>
            <w:vAlign w:val="bottom"/>
            <w:gridSpan w:val="4"/>
          </w:tcPr>
          <w:p>
            <w:pPr>
              <w:jc w:val="right"/>
              <w:ind w:right="20"/>
              <w:spacing w:after="0"/>
              <w:rPr>
                <w:rFonts w:ascii="Arial" w:cs="Arial" w:eastAsia="Arial" w:hAnsi="Arial"/>
                <w:sz w:val="14"/>
                <w:szCs w:val="14"/>
                <w:color w:val="0000FF"/>
              </w:rPr>
            </w:pPr>
            <w:hyperlink r:id="rId143">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1"/>
              </w:rPr>
              <w:t>Placement Agent Agreement, dated November 5, 2019, as subsequently amended on each of March 11, 2020, April 23, 2020 and May 25, 2020, by and between</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80" w:type="dxa"/>
            <w:vAlign w:val="bottom"/>
          </w:tcPr>
          <w:p>
            <w:pPr>
              <w:ind w:left="280"/>
              <w:spacing w:after="0" w:line="107" w:lineRule="exact"/>
              <w:rPr>
                <w:sz w:val="20"/>
                <w:szCs w:val="20"/>
                <w:color w:val="auto"/>
              </w:rPr>
            </w:pPr>
            <w:r>
              <w:rPr>
                <w:rFonts w:ascii="Arial" w:cs="Arial" w:eastAsia="Arial" w:hAnsi="Arial"/>
                <w:sz w:val="12"/>
                <w:szCs w:val="12"/>
                <w:color w:val="auto"/>
              </w:rPr>
              <w:t>Caladrius Biosciences, Inc. and H.C. Wainwright &amp; Co., LLC (filed as Exhibit 10.2 to the Company's Current Report on Form 8-K, filed with the SEC on May</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26, 2020).</w:t>
            </w:r>
          </w:p>
        </w:tc>
        <w:tc>
          <w:tcPr>
            <w:tcW w:w="0" w:type="dxa"/>
            <w:vAlign w:val="bottom"/>
          </w:tcPr>
          <w:p>
            <w:pPr>
              <w:spacing w:after="0"/>
              <w:rPr>
                <w:sz w:val="1"/>
                <w:szCs w:val="1"/>
                <w:color w:val="auto"/>
              </w:rPr>
            </w:pPr>
          </w:p>
        </w:tc>
      </w:tr>
      <w:tr>
        <w:trPr>
          <w:trHeight w:val="276"/>
        </w:trPr>
        <w:tc>
          <w:tcPr>
            <w:tcW w:w="1420" w:type="dxa"/>
            <w:vAlign w:val="bottom"/>
            <w:gridSpan w:val="4"/>
          </w:tcPr>
          <w:p>
            <w:pPr>
              <w:jc w:val="right"/>
              <w:ind w:right="20"/>
              <w:spacing w:after="0"/>
              <w:rPr>
                <w:rFonts w:ascii="Arial" w:cs="Arial" w:eastAsia="Arial" w:hAnsi="Arial"/>
                <w:sz w:val="14"/>
                <w:szCs w:val="14"/>
                <w:color w:val="0000FF"/>
              </w:rPr>
            </w:pPr>
            <w:hyperlink r:id="rId144">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0"/>
              </w:rPr>
              <w:t>Form of Purchase Agreement, dated May 25, 2020, by and between Caladrius Biosciences, Inc. and each purchaser identified on the signature pages thereto (filed</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as Exhibit 10.1 to the Company's Current Report on Form 8-K, filed with the SEC on May 26, 2020).</w:t>
            </w:r>
          </w:p>
        </w:tc>
        <w:tc>
          <w:tcPr>
            <w:tcW w:w="0" w:type="dxa"/>
            <w:vAlign w:val="bottom"/>
          </w:tcPr>
          <w:p>
            <w:pPr>
              <w:spacing w:after="0"/>
              <w:rPr>
                <w:sz w:val="1"/>
                <w:szCs w:val="1"/>
                <w:color w:val="auto"/>
              </w:rPr>
            </w:pPr>
          </w:p>
        </w:tc>
      </w:tr>
      <w:tr>
        <w:trPr>
          <w:trHeight w:val="308"/>
        </w:trPr>
        <w:tc>
          <w:tcPr>
            <w:tcW w:w="1420" w:type="dxa"/>
            <w:vAlign w:val="bottom"/>
            <w:gridSpan w:val="4"/>
          </w:tcPr>
          <w:p>
            <w:pPr>
              <w:jc w:val="right"/>
              <w:ind w:right="20"/>
              <w:spacing w:after="0"/>
              <w:rPr>
                <w:rFonts w:ascii="Arial" w:cs="Arial" w:eastAsia="Arial" w:hAnsi="Arial"/>
                <w:sz w:val="14"/>
                <w:szCs w:val="14"/>
                <w:color w:val="0000FF"/>
              </w:rPr>
            </w:pPr>
            <w:hyperlink r:id="rId145">
              <w:r>
                <w:rPr>
                  <w:rFonts w:ascii="Arial" w:cs="Arial" w:eastAsia="Arial" w:hAnsi="Arial"/>
                  <w:sz w:val="14"/>
                  <w:szCs w:val="14"/>
                  <w:color w:val="0000FF"/>
                </w:rPr>
                <w:t>10.</w:t>
              </w:r>
              <w:r>
                <w:rPr>
                  <w:rFonts w:ascii="Arial" w:cs="Arial" w:eastAsia="Arial" w:hAnsi="Arial"/>
                  <w:sz w:val="14"/>
                  <w:szCs w:val="14"/>
                  <w:u w:val="single" w:color="auto"/>
                  <w:color w:val="0000FF"/>
                </w:rPr>
                <w:t>18</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1"/>
              </w:rPr>
              <w:t>Form of Purchase Agreement, dated July 10, 2020, by and between Caladrius Biosciences, Inc. and each purchaser identified on the signature pages thereto (filed</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as Exhibit 10.1 to the Company's Current Report on Form 8-K, filed with the SEC on July 10, 2020).</w:t>
            </w:r>
          </w:p>
        </w:tc>
        <w:tc>
          <w:tcPr>
            <w:tcW w:w="0" w:type="dxa"/>
            <w:vAlign w:val="bottom"/>
          </w:tcPr>
          <w:p>
            <w:pPr>
              <w:spacing w:after="0"/>
              <w:rPr>
                <w:sz w:val="1"/>
                <w:szCs w:val="1"/>
                <w:color w:val="auto"/>
              </w:rPr>
            </w:pPr>
          </w:p>
        </w:tc>
      </w:tr>
      <w:tr>
        <w:trPr>
          <w:trHeight w:val="308"/>
        </w:trPr>
        <w:tc>
          <w:tcPr>
            <w:tcW w:w="1420" w:type="dxa"/>
            <w:vAlign w:val="bottom"/>
            <w:gridSpan w:val="4"/>
          </w:tcPr>
          <w:p>
            <w:pPr>
              <w:jc w:val="right"/>
              <w:ind w:right="20"/>
              <w:spacing w:after="0"/>
              <w:rPr>
                <w:rFonts w:ascii="Arial" w:cs="Arial" w:eastAsia="Arial" w:hAnsi="Arial"/>
                <w:sz w:val="14"/>
                <w:szCs w:val="14"/>
                <w:color w:val="0000FF"/>
              </w:rPr>
            </w:pPr>
            <w:hyperlink r:id="rId146">
              <w:r>
                <w:rPr>
                  <w:rFonts w:ascii="Arial" w:cs="Arial" w:eastAsia="Arial" w:hAnsi="Arial"/>
                  <w:sz w:val="14"/>
                  <w:szCs w:val="14"/>
                  <w:color w:val="0000FF"/>
                </w:rPr>
                <w:t>10.</w:t>
              </w:r>
              <w:r>
                <w:rPr>
                  <w:rFonts w:ascii="Arial" w:cs="Arial" w:eastAsia="Arial" w:hAnsi="Arial"/>
                  <w:sz w:val="14"/>
                  <w:szCs w:val="14"/>
                  <w:u w:val="single" w:color="auto"/>
                  <w:color w:val="0000FF"/>
                </w:rPr>
                <w:t>19</w:t>
              </w:r>
            </w:hyperlink>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Form of Registration Rights Agreement, dated July 10, 2020, by and between Caladrius Biosciences, Inc. and each purchaser identified on the signature pages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thereto (filed as Exhibit 10.2 to the Company's Current Report on Form 8-K, filed with the SEC on July 10, 2020).</w:t>
            </w:r>
          </w:p>
        </w:tc>
        <w:tc>
          <w:tcPr>
            <w:tcW w:w="0" w:type="dxa"/>
            <w:vAlign w:val="bottom"/>
          </w:tcPr>
          <w:p>
            <w:pPr>
              <w:spacing w:after="0"/>
              <w:rPr>
                <w:sz w:val="1"/>
                <w:szCs w:val="1"/>
                <w:color w:val="auto"/>
              </w:rPr>
            </w:pPr>
          </w:p>
        </w:tc>
      </w:tr>
      <w:tr>
        <w:trPr>
          <w:trHeight w:val="276"/>
        </w:trPr>
        <w:tc>
          <w:tcPr>
            <w:tcW w:w="1420" w:type="dxa"/>
            <w:vAlign w:val="bottom"/>
            <w:gridSpan w:val="4"/>
          </w:tcPr>
          <w:p>
            <w:pPr>
              <w:jc w:val="right"/>
              <w:ind w:right="20"/>
              <w:spacing w:after="0"/>
              <w:rPr>
                <w:rFonts w:ascii="Arial" w:cs="Arial" w:eastAsia="Arial" w:hAnsi="Arial"/>
                <w:sz w:val="14"/>
                <w:szCs w:val="14"/>
                <w:color w:val="0000FF"/>
              </w:rPr>
            </w:pPr>
            <w:hyperlink r:id="rId147">
              <w:r>
                <w:rPr>
                  <w:rFonts w:ascii="Arial" w:cs="Arial" w:eastAsia="Arial" w:hAnsi="Arial"/>
                  <w:sz w:val="14"/>
                  <w:szCs w:val="14"/>
                  <w:color w:val="0000FF"/>
                </w:rPr>
                <w:t>10.</w:t>
              </w:r>
            </w:hyperlink>
            <w:r>
              <w:rPr>
                <w:rFonts w:ascii="Arial" w:cs="Arial" w:eastAsia="Arial" w:hAnsi="Arial"/>
                <w:sz w:val="14"/>
                <w:szCs w:val="14"/>
                <w:u w:val="single" w:color="auto"/>
                <w:color w:val="0000FF"/>
              </w:rPr>
              <w:t>20</w:t>
            </w:r>
          </w:p>
        </w:tc>
        <w:tc>
          <w:tcPr>
            <w:tcW w:w="380" w:type="dxa"/>
            <w:vAlign w:val="bottom"/>
          </w:tcPr>
          <w:p>
            <w:pPr>
              <w:spacing w:after="0"/>
              <w:rPr>
                <w:sz w:val="24"/>
                <w:szCs w:val="24"/>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1"/>
              </w:rPr>
              <w:t>Form of Purchase Agreement, dated January 21, 2021, by and between Caladrius Biosciences, Inc. and certain Investors, as defined therein (filed as Exhibit 10.1</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to the Company's Current Report on Form 8-K, filed with the SEC on January 25, 2021).</w:t>
            </w:r>
          </w:p>
        </w:tc>
        <w:tc>
          <w:tcPr>
            <w:tcW w:w="0" w:type="dxa"/>
            <w:vAlign w:val="bottom"/>
          </w:tcPr>
          <w:p>
            <w:pPr>
              <w:spacing w:after="0"/>
              <w:rPr>
                <w:sz w:val="1"/>
                <w:szCs w:val="1"/>
                <w:color w:val="auto"/>
              </w:rPr>
            </w:pPr>
          </w:p>
        </w:tc>
      </w:tr>
      <w:tr>
        <w:trPr>
          <w:trHeight w:val="266"/>
        </w:trPr>
        <w:tc>
          <w:tcPr>
            <w:tcW w:w="1420" w:type="dxa"/>
            <w:vAlign w:val="bottom"/>
            <w:gridSpan w:val="4"/>
          </w:tcPr>
          <w:p>
            <w:pPr>
              <w:jc w:val="right"/>
              <w:ind w:right="20"/>
              <w:spacing w:after="0"/>
              <w:rPr>
                <w:rFonts w:ascii="Arial" w:cs="Arial" w:eastAsia="Arial" w:hAnsi="Arial"/>
                <w:sz w:val="14"/>
                <w:szCs w:val="14"/>
                <w:color w:val="0000FF"/>
              </w:rPr>
            </w:pPr>
            <w:hyperlink r:id="rId148">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p>
        </w:tc>
        <w:tc>
          <w:tcPr>
            <w:tcW w:w="380" w:type="dxa"/>
            <w:vAlign w:val="bottom"/>
          </w:tcPr>
          <w:p>
            <w:pPr>
              <w:spacing w:after="0"/>
              <w:rPr>
                <w:sz w:val="23"/>
                <w:szCs w:val="2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0"/>
              </w:rPr>
              <w:t>Form of Registration Rights Agreement, dated January 21, 2021, by and between Caladrius Biosciences, Inc. and each purchaser identified on the signature pages</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thereto (filed as Exhibit 10.2 to the Company's Current Report on Form 8-K, filed with the SEC on January 25, 2021).</w:t>
            </w:r>
          </w:p>
        </w:tc>
        <w:tc>
          <w:tcPr>
            <w:tcW w:w="0" w:type="dxa"/>
            <w:vAlign w:val="bottom"/>
          </w:tcPr>
          <w:p>
            <w:pPr>
              <w:spacing w:after="0"/>
              <w:rPr>
                <w:sz w:val="1"/>
                <w:szCs w:val="1"/>
                <w:color w:val="auto"/>
              </w:rPr>
            </w:pPr>
          </w:p>
        </w:tc>
      </w:tr>
      <w:tr>
        <w:trPr>
          <w:trHeight w:val="266"/>
        </w:trPr>
        <w:tc>
          <w:tcPr>
            <w:tcW w:w="1420" w:type="dxa"/>
            <w:vAlign w:val="bottom"/>
            <w:gridSpan w:val="4"/>
          </w:tcPr>
          <w:p>
            <w:pPr>
              <w:jc w:val="right"/>
              <w:ind w:right="20"/>
              <w:spacing w:after="0"/>
              <w:rPr>
                <w:rFonts w:ascii="Arial" w:cs="Arial" w:eastAsia="Arial" w:hAnsi="Arial"/>
                <w:sz w:val="14"/>
                <w:szCs w:val="14"/>
                <w:color w:val="0000FF"/>
              </w:rPr>
            </w:pPr>
            <w:hyperlink r:id="rId149">
              <w:r>
                <w:rPr>
                  <w:rFonts w:ascii="Arial" w:cs="Arial" w:eastAsia="Arial" w:hAnsi="Arial"/>
                  <w:sz w:val="14"/>
                  <w:szCs w:val="14"/>
                  <w:color w:val="0000FF"/>
                </w:rPr>
                <w:t>10.</w:t>
              </w:r>
              <w:r>
                <w:rPr>
                  <w:rFonts w:ascii="Arial" w:cs="Arial" w:eastAsia="Arial" w:hAnsi="Arial"/>
                  <w:sz w:val="14"/>
                  <w:szCs w:val="14"/>
                  <w:u w:val="single" w:color="auto"/>
                  <w:color w:val="0000FF"/>
                </w:rPr>
                <w:t>22</w:t>
              </w:r>
            </w:hyperlink>
          </w:p>
        </w:tc>
        <w:tc>
          <w:tcPr>
            <w:tcW w:w="380" w:type="dxa"/>
            <w:vAlign w:val="bottom"/>
          </w:tcPr>
          <w:p>
            <w:pPr>
              <w:spacing w:after="0"/>
              <w:rPr>
                <w:sz w:val="23"/>
                <w:szCs w:val="2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w w:val="93"/>
              </w:rPr>
              <w:t>Form of Institutional Securities Purchase Agreement, by and between Caladrius Biosciences, Inc. and each purchaser identified on the signature pages thereto</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Pr>
          <w:p>
            <w:pPr>
              <w:ind w:left="280"/>
              <w:spacing w:after="0"/>
              <w:rPr>
                <w:sz w:val="20"/>
                <w:szCs w:val="20"/>
                <w:color w:val="auto"/>
              </w:rPr>
            </w:pPr>
            <w:r>
              <w:rPr>
                <w:rFonts w:ascii="Arial" w:cs="Arial" w:eastAsia="Arial" w:hAnsi="Arial"/>
                <w:sz w:val="14"/>
                <w:szCs w:val="14"/>
                <w:color w:val="auto"/>
              </w:rPr>
              <w:t>(incorporated by reference to Exhibit 10.1 of the Registrant’s Form 8-K filed on February 16, 2021).</w:t>
            </w:r>
          </w:p>
        </w:tc>
        <w:tc>
          <w:tcPr>
            <w:tcW w:w="0" w:type="dxa"/>
            <w:vAlign w:val="bottom"/>
          </w:tcPr>
          <w:p>
            <w:pPr>
              <w:spacing w:after="0"/>
              <w:rPr>
                <w:sz w:val="1"/>
                <w:szCs w:val="1"/>
                <w:color w:val="auto"/>
              </w:rPr>
            </w:pPr>
          </w:p>
        </w:tc>
      </w:tr>
      <w:tr>
        <w:trPr>
          <w:trHeight w:val="838"/>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80" w:type="dxa"/>
            <w:vAlign w:val="bottom"/>
          </w:tcPr>
          <w:p>
            <w:pPr>
              <w:ind w:left="374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40" w:type="dxa"/>
            <w:vAlign w:val="bottom"/>
            <w:gridSpan w:val="5"/>
          </w:tcPr>
          <w:p>
            <w:pPr>
              <w:jc w:val="right"/>
              <w:spacing w:after="0"/>
              <w:rPr>
                <w:rFonts w:ascii="Arial" w:cs="Arial" w:eastAsia="Arial" w:hAnsi="Arial"/>
                <w:sz w:val="14"/>
                <w:szCs w:val="14"/>
                <w:color w:val="0000FF"/>
              </w:rPr>
            </w:pPr>
            <w:hyperlink r:id="rId152">
              <w:r>
                <w:rPr>
                  <w:rFonts w:ascii="Arial" w:cs="Arial" w:eastAsia="Arial" w:hAnsi="Arial"/>
                  <w:sz w:val="14"/>
                  <w:szCs w:val="14"/>
                  <w:color w:val="0000FF"/>
                </w:rPr>
                <w:t>10.</w:t>
              </w:r>
              <w:r>
                <w:rPr>
                  <w:rFonts w:ascii="Arial" w:cs="Arial" w:eastAsia="Arial" w:hAnsi="Arial"/>
                  <w:sz w:val="14"/>
                  <w:szCs w:val="14"/>
                  <w:u w:val="single" w:color="auto"/>
                  <w:color w:val="0000FF"/>
                </w:rPr>
                <w:t>23</w:t>
              </w:r>
            </w:hyperlink>
          </w:p>
        </w:tc>
        <w:tc>
          <w:tcPr>
            <w:tcW w:w="380" w:type="dxa"/>
            <w:vAlign w:val="bottom"/>
          </w:tcPr>
          <w:p>
            <w:pPr>
              <w:spacing w:after="0"/>
              <w:rPr>
                <w:sz w:val="14"/>
                <w:szCs w:val="14"/>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w w:val="91"/>
              </w:rPr>
              <w:t>Form of Institutional Additional Securities Purchase Agreement, by and between Caladrius Biosciences, Inc. and each purchaser identified on the signature pages</w:t>
            </w:r>
          </w:p>
        </w:tc>
      </w:tr>
      <w:tr>
        <w:trPr>
          <w:trHeight w:val="160"/>
        </w:trPr>
        <w:tc>
          <w:tcPr>
            <w:tcW w:w="2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rPr>
              <w:t>thereto (incorporated by reference to Exhibit 10.2 of the Registrant’s Form 8-K filed on February 16, 2021).</w:t>
            </w:r>
          </w:p>
        </w:tc>
      </w:tr>
      <w:tr>
        <w:trPr>
          <w:trHeight w:val="266"/>
        </w:trPr>
        <w:tc>
          <w:tcPr>
            <w:tcW w:w="540" w:type="dxa"/>
            <w:vAlign w:val="bottom"/>
            <w:gridSpan w:val="5"/>
          </w:tcPr>
          <w:p>
            <w:pPr>
              <w:jc w:val="right"/>
              <w:spacing w:after="0"/>
              <w:rPr>
                <w:rFonts w:ascii="Arial" w:cs="Arial" w:eastAsia="Arial" w:hAnsi="Arial"/>
                <w:sz w:val="14"/>
                <w:szCs w:val="14"/>
                <w:color w:val="0000FF"/>
              </w:rPr>
            </w:pPr>
            <w:hyperlink r:id="rId153">
              <w:r>
                <w:rPr>
                  <w:rFonts w:ascii="Arial" w:cs="Arial" w:eastAsia="Arial" w:hAnsi="Arial"/>
                  <w:sz w:val="14"/>
                  <w:szCs w:val="14"/>
                  <w:color w:val="0000FF"/>
                </w:rPr>
                <w:t>10.</w:t>
              </w:r>
              <w:r>
                <w:rPr>
                  <w:rFonts w:ascii="Arial" w:cs="Arial" w:eastAsia="Arial" w:hAnsi="Arial"/>
                  <w:sz w:val="14"/>
                  <w:szCs w:val="14"/>
                  <w:u w:val="single" w:color="auto"/>
                  <w:color w:val="0000FF"/>
                </w:rPr>
                <w:t>24</w:t>
              </w:r>
            </w:hyperlink>
          </w:p>
        </w:tc>
        <w:tc>
          <w:tcPr>
            <w:tcW w:w="380" w:type="dxa"/>
            <w:vAlign w:val="bottom"/>
          </w:tcPr>
          <w:p>
            <w:pPr>
              <w:spacing w:after="0"/>
              <w:rPr>
                <w:sz w:val="23"/>
                <w:szCs w:val="23"/>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w w:val="92"/>
              </w:rPr>
              <w:t>Placement Agent Agreement, dated February 11, 2021, by and between Caladrius Biosciences, Inc. and H.C. Wainwright &amp; Co., LLC (filed as Exhibit 10.3 to the</w:t>
            </w:r>
          </w:p>
        </w:tc>
      </w:tr>
      <w:tr>
        <w:trPr>
          <w:trHeight w:val="160"/>
        </w:trPr>
        <w:tc>
          <w:tcPr>
            <w:tcW w:w="2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rPr>
              <w:t>Company's Current Report on Form 8-K, filed with the SEC on February 16, 2021).</w:t>
            </w:r>
          </w:p>
        </w:tc>
      </w:tr>
      <w:tr>
        <w:trPr>
          <w:trHeight w:val="308"/>
        </w:trPr>
        <w:tc>
          <w:tcPr>
            <w:tcW w:w="540" w:type="dxa"/>
            <w:vAlign w:val="bottom"/>
            <w:gridSpan w:val="5"/>
          </w:tcPr>
          <w:p>
            <w:pPr>
              <w:jc w:val="right"/>
              <w:spacing w:after="0"/>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25</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60" w:type="dxa"/>
            <w:vAlign w:val="bottom"/>
          </w:tcPr>
          <w:p>
            <w:pPr>
              <w:ind w:left="280"/>
              <w:spacing w:after="0"/>
              <w:rPr>
                <w:sz w:val="20"/>
                <w:szCs w:val="20"/>
                <w:color w:val="auto"/>
              </w:rPr>
            </w:pPr>
            <w:r>
              <w:rPr>
                <w:rFonts w:ascii="Arial" w:cs="Arial" w:eastAsia="Arial" w:hAnsi="Arial"/>
                <w:sz w:val="14"/>
                <w:szCs w:val="14"/>
                <w:color w:val="auto"/>
              </w:rPr>
              <w:t>Lisata Therapeutics, Inc. Clawback Policy, effective as of March 28, 2023.</w:t>
            </w:r>
          </w:p>
        </w:tc>
      </w:tr>
      <w:tr>
        <w:trPr>
          <w:trHeight w:val="362"/>
        </w:trPr>
        <w:tc>
          <w:tcPr>
            <w:tcW w:w="24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14.</w:t>
            </w:r>
            <w:r>
              <w:rPr>
                <w:rFonts w:ascii="Arial" w:cs="Arial" w:eastAsia="Arial" w:hAnsi="Arial"/>
                <w:sz w:val="14"/>
                <w:szCs w:val="14"/>
                <w:u w:val="single" w:color="auto"/>
                <w:color w:val="0000FF"/>
                <w:w w:val="87"/>
              </w:rPr>
              <w:t>1</w:t>
            </w:r>
          </w:p>
        </w:tc>
        <w:tc>
          <w:tcPr>
            <w:tcW w:w="380" w:type="dxa"/>
            <w:vAlign w:val="bottom"/>
          </w:tcPr>
          <w:p>
            <w:pPr>
              <w:spacing w:after="0"/>
              <w:rPr>
                <w:sz w:val="24"/>
                <w:szCs w:val="24"/>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rPr>
              <w:t>Code of Ethics for Senior Financial Officers, effective as of November 7, 2022.</w:t>
            </w:r>
          </w:p>
        </w:tc>
      </w:tr>
      <w:tr>
        <w:trPr>
          <w:trHeight w:val="362"/>
        </w:trPr>
        <w:tc>
          <w:tcPr>
            <w:tcW w:w="280" w:type="dxa"/>
            <w:vAlign w:val="bottom"/>
            <w:gridSpan w:val="3"/>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21.</w:t>
            </w:r>
            <w:r>
              <w:rPr>
                <w:rFonts w:ascii="Arial" w:cs="Arial" w:eastAsia="Arial" w:hAnsi="Arial"/>
                <w:sz w:val="14"/>
                <w:szCs w:val="14"/>
                <w:u w:val="single" w:color="auto"/>
                <w:color w:val="0000FF"/>
                <w:w w:val="87"/>
              </w:rPr>
              <w:t>1</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60" w:type="dxa"/>
            <w:vAlign w:val="bottom"/>
          </w:tcPr>
          <w:p>
            <w:pPr>
              <w:ind w:left="280"/>
              <w:spacing w:after="0"/>
              <w:rPr>
                <w:sz w:val="20"/>
                <w:szCs w:val="20"/>
                <w:color w:val="auto"/>
              </w:rPr>
            </w:pPr>
            <w:r>
              <w:rPr>
                <w:rFonts w:ascii="Arial" w:cs="Arial" w:eastAsia="Arial" w:hAnsi="Arial"/>
                <w:sz w:val="14"/>
                <w:szCs w:val="14"/>
                <w:color w:val="auto"/>
              </w:rPr>
              <w:t>Subsidiaries of Lisata Therapeutics, Inc.</w:t>
            </w:r>
          </w:p>
        </w:tc>
      </w:tr>
      <w:tr>
        <w:trPr>
          <w:trHeight w:val="362"/>
        </w:trPr>
        <w:tc>
          <w:tcPr>
            <w:tcW w:w="280" w:type="dxa"/>
            <w:vAlign w:val="bottom"/>
            <w:gridSpan w:val="3"/>
          </w:tcPr>
          <w:p>
            <w:pPr>
              <w:spacing w:after="0"/>
              <w:rPr>
                <w:sz w:val="24"/>
                <w:szCs w:val="24"/>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4"/>
                <w:szCs w:val="14"/>
                <w:color w:val="0000FF"/>
                <w:w w:val="87"/>
              </w:rPr>
              <w:t>23.</w:t>
            </w:r>
            <w:r>
              <w:rPr>
                <w:rFonts w:ascii="Arial" w:cs="Arial" w:eastAsia="Arial" w:hAnsi="Arial"/>
                <w:sz w:val="14"/>
                <w:szCs w:val="14"/>
                <w:u w:val="single" w:color="auto"/>
                <w:color w:val="0000FF"/>
                <w:w w:val="87"/>
              </w:rPr>
              <w:t>1</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60" w:type="dxa"/>
            <w:vAlign w:val="bottom"/>
          </w:tcPr>
          <w:p>
            <w:pPr>
              <w:ind w:left="280"/>
              <w:spacing w:after="0"/>
              <w:rPr>
                <w:sz w:val="20"/>
                <w:szCs w:val="20"/>
                <w:color w:val="auto"/>
              </w:rPr>
            </w:pPr>
            <w:r>
              <w:rPr>
                <w:rFonts w:ascii="Arial" w:cs="Arial" w:eastAsia="Arial" w:hAnsi="Arial"/>
                <w:sz w:val="14"/>
                <w:szCs w:val="14"/>
                <w:color w:val="auto"/>
              </w:rPr>
              <w:t>Consent of Grant Thornton LLP.</w:t>
            </w:r>
          </w:p>
        </w:tc>
      </w:tr>
      <w:tr>
        <w:trPr>
          <w:trHeight w:val="362"/>
        </w:trPr>
        <w:tc>
          <w:tcPr>
            <w:tcW w:w="540" w:type="dxa"/>
            <w:vAlign w:val="bottom"/>
            <w:gridSpan w:val="5"/>
          </w:tcPr>
          <w:p>
            <w:pPr>
              <w:jc w:val="right"/>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60" w:type="dxa"/>
            <w:vAlign w:val="bottom"/>
          </w:tcPr>
          <w:p>
            <w:pPr>
              <w:ind w:left="280"/>
              <w:spacing w:after="0"/>
              <w:rPr>
                <w:sz w:val="20"/>
                <w:szCs w:val="20"/>
                <w:color w:val="auto"/>
              </w:rPr>
            </w:pPr>
            <w:r>
              <w:rPr>
                <w:rFonts w:ascii="Arial" w:cs="Arial" w:eastAsia="Arial" w:hAnsi="Arial"/>
                <w:sz w:val="14"/>
                <w:szCs w:val="14"/>
                <w:color w:val="auto"/>
                <w:w w:val="95"/>
              </w:rPr>
              <w:t>Certification of Principal Executive Officer, Principal Financial Officer and Principal Accounting Officer pursuant to Section 302 of the Sarbanes-Oxley Act of</w:t>
            </w:r>
          </w:p>
        </w:tc>
      </w:tr>
      <w:tr>
        <w:trPr>
          <w:trHeight w:val="160"/>
        </w:trPr>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rPr>
              <w:t>2002.</w:t>
            </w:r>
          </w:p>
        </w:tc>
      </w:tr>
      <w:tr>
        <w:trPr>
          <w:trHeight w:val="266"/>
        </w:trPr>
        <w:tc>
          <w:tcPr>
            <w:tcW w:w="540" w:type="dxa"/>
            <w:vAlign w:val="bottom"/>
            <w:gridSpan w:val="5"/>
          </w:tcPr>
          <w:p>
            <w:pPr>
              <w:jc w:val="right"/>
              <w:spacing w:after="0"/>
              <w:rPr>
                <w:sz w:val="20"/>
                <w:szCs w:val="20"/>
                <w:color w:val="auto"/>
              </w:rPr>
            </w:pPr>
            <w:r>
              <w:rPr>
                <w:rFonts w:ascii="Arial" w:cs="Arial" w:eastAsia="Arial" w:hAnsi="Arial"/>
                <w:sz w:val="14"/>
                <w:szCs w:val="14"/>
                <w:color w:val="0000FF"/>
              </w:rPr>
              <w:t>32</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60" w:type="dxa"/>
            <w:vAlign w:val="bottom"/>
          </w:tcPr>
          <w:p>
            <w:pPr>
              <w:ind w:left="280"/>
              <w:spacing w:after="0"/>
              <w:rPr>
                <w:sz w:val="20"/>
                <w:szCs w:val="20"/>
                <w:color w:val="auto"/>
              </w:rPr>
            </w:pPr>
            <w:r>
              <w:rPr>
                <w:rFonts w:ascii="Arial" w:cs="Arial" w:eastAsia="Arial" w:hAnsi="Arial"/>
                <w:sz w:val="14"/>
                <w:szCs w:val="14"/>
                <w:color w:val="auto"/>
                <w:w w:val="98"/>
              </w:rPr>
              <w:t>Certification of Principal Executive Officer, Principal Financial Officer and Principal Accounting Officer pursuant to 18 U.S.C. Section 1350, as adopted</w:t>
            </w:r>
          </w:p>
        </w:tc>
      </w:tr>
      <w:tr>
        <w:trPr>
          <w:trHeight w:val="160"/>
        </w:trPr>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9460" w:type="dxa"/>
            <w:vAlign w:val="bottom"/>
          </w:tcPr>
          <w:p>
            <w:pPr>
              <w:ind w:left="280"/>
              <w:spacing w:after="0"/>
              <w:rPr>
                <w:sz w:val="20"/>
                <w:szCs w:val="20"/>
                <w:color w:val="auto"/>
              </w:rPr>
            </w:pPr>
            <w:r>
              <w:rPr>
                <w:rFonts w:ascii="Arial" w:cs="Arial" w:eastAsia="Arial" w:hAnsi="Arial"/>
                <w:sz w:val="14"/>
                <w:szCs w:val="14"/>
                <w:color w:val="auto"/>
              </w:rPr>
              <w:t>pursuant Section 302 of the Sarbanes-Oxley Act of 2002.</w:t>
            </w:r>
          </w:p>
        </w:tc>
      </w:tr>
      <w:tr>
        <w:trPr>
          <w:trHeight w:val="477"/>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9"/>
              </w:rPr>
              <w:t>101.INS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Instance Document</w:t>
            </w:r>
          </w:p>
        </w:tc>
      </w:tr>
      <w:tr>
        <w:trPr>
          <w:trHeight w:val="265"/>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0"/>
              </w:rPr>
              <w:t>101.SCH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Taxonomy Extension Schema</w:t>
            </w:r>
          </w:p>
        </w:tc>
      </w:tr>
      <w:tr>
        <w:trPr>
          <w:trHeight w:val="265"/>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3"/>
              </w:rPr>
              <w:t>101.CAL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Taxonomy Extension Calculation Linkbase</w:t>
            </w:r>
          </w:p>
        </w:tc>
      </w:tr>
      <w:tr>
        <w:trPr>
          <w:trHeight w:val="265"/>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2"/>
              </w:rPr>
              <w:t>101.DEF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Taxonomy Extension Definition Linkbase</w:t>
            </w:r>
          </w:p>
        </w:tc>
      </w:tr>
      <w:tr>
        <w:trPr>
          <w:trHeight w:val="265"/>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4"/>
              </w:rPr>
              <w:t>101.LAB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Taxonomy Extension Label Linkbase</w:t>
            </w:r>
          </w:p>
        </w:tc>
      </w:tr>
      <w:tr>
        <w:trPr>
          <w:trHeight w:val="265"/>
        </w:trPr>
        <w:tc>
          <w:tcPr>
            <w:tcW w:w="920" w:type="dxa"/>
            <w:vAlign w:val="bottom"/>
            <w:gridSpan w:val="6"/>
          </w:tcPr>
          <w:p>
            <w:pPr>
              <w:jc w:val="right"/>
              <w:ind w:right="209"/>
              <w:spacing w:after="0"/>
              <w:rPr>
                <w:sz w:val="20"/>
                <w:szCs w:val="20"/>
                <w:color w:val="auto"/>
              </w:rPr>
            </w:pPr>
            <w:r>
              <w:rPr>
                <w:rFonts w:ascii="Arial" w:cs="Arial" w:eastAsia="Arial" w:hAnsi="Arial"/>
                <w:sz w:val="14"/>
                <w:szCs w:val="14"/>
                <w:color w:val="auto"/>
                <w:w w:val="91"/>
              </w:rPr>
              <w:t>101.PRE †</w:t>
            </w:r>
          </w:p>
        </w:tc>
        <w:tc>
          <w:tcPr>
            <w:tcW w:w="9460" w:type="dxa"/>
            <w:vAlign w:val="bottom"/>
          </w:tcPr>
          <w:p>
            <w:pPr>
              <w:ind w:left="28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1615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88" w:lineRule="exact"/>
        <w:rPr>
          <w:sz w:val="20"/>
          <w:szCs w:val="20"/>
          <w:color w:val="auto"/>
        </w:rPr>
      </w:pPr>
    </w:p>
    <w:p>
      <w:pPr>
        <w:ind w:left="2080" w:hanging="747"/>
        <w:spacing w:after="0"/>
        <w:tabs>
          <w:tab w:leader="none" w:pos="20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Management contract or compensatory plan, contract or arrangement required to be filed as an exhibit to this Form 10-K pursuant to Item 15(b) of Form 10-K.</w:t>
      </w:r>
    </w:p>
    <w:p>
      <w:pPr>
        <w:spacing w:after="0" w:line="31" w:lineRule="exact"/>
        <w:rPr>
          <w:sz w:val="20"/>
          <w:szCs w:val="20"/>
          <w:color w:val="auto"/>
        </w:rPr>
      </w:pPr>
    </w:p>
    <w:p>
      <w:pPr>
        <w:ind w:left="2080" w:hanging="738"/>
        <w:spacing w:after="0"/>
        <w:tabs>
          <w:tab w:leader="none" w:pos="20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4" w:lineRule="exact"/>
        <w:rPr>
          <w:sz w:val="20"/>
          <w:szCs w:val="20"/>
          <w:color w:val="auto"/>
        </w:rPr>
      </w:pPr>
    </w:p>
    <w:p>
      <w:pPr>
        <w:ind w:left="2080" w:hanging="809"/>
        <w:spacing w:after="0"/>
        <w:tabs>
          <w:tab w:leader="none" w:pos="20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u w:val="single" w:color="auto"/>
          <w:color w:val="0000FF"/>
        </w:rPr>
        <w:t>Index</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19"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in Basking Ridge (Bernards Township), State of New Jersey, on March 30, 2023.</w:t>
      </w: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LISATA THERAPEUTICS,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David J. Mazzo, PhD</w:t>
      </w: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Name: David J. Mazzo</w:t>
      </w:r>
    </w:p>
    <w:p>
      <w:pPr>
        <w:ind w:left="5700"/>
        <w:spacing w:after="0" w:line="205" w:lineRule="auto"/>
        <w:rPr>
          <w:sz w:val="20"/>
          <w:szCs w:val="20"/>
          <w:color w:val="auto"/>
        </w:rPr>
      </w:pPr>
      <w:r>
        <w:rPr>
          <w:rFonts w:ascii="Arial" w:cs="Arial" w:eastAsia="Arial" w:hAnsi="Arial"/>
          <w:sz w:val="14"/>
          <w:szCs w:val="14"/>
          <w:color w:val="auto"/>
        </w:rPr>
        <w:t>Title: Chief Executive Officer</w:t>
      </w:r>
    </w:p>
    <w:p>
      <w:pPr>
        <w:ind w:left="5700"/>
        <w:spacing w:after="0" w:line="206" w:lineRule="auto"/>
        <w:rPr>
          <w:sz w:val="20"/>
          <w:szCs w:val="20"/>
          <w:color w:val="auto"/>
        </w:rPr>
      </w:pPr>
      <w:r>
        <w:rPr>
          <w:rFonts w:ascii="Arial" w:cs="Arial" w:eastAsia="Arial" w:hAnsi="Arial"/>
          <w:sz w:val="14"/>
          <w:szCs w:val="14"/>
          <w:color w:val="auto"/>
        </w:rPr>
        <w:t>(Principal Executive Officer, Principal Financial Officer and Principal Accounting</w:t>
      </w:r>
    </w:p>
    <w:p>
      <w:pPr>
        <w:ind w:left="5700"/>
        <w:spacing w:after="0"/>
        <w:rPr>
          <w:sz w:val="20"/>
          <w:szCs w:val="20"/>
          <w:color w:val="auto"/>
        </w:rPr>
      </w:pPr>
      <w:r>
        <w:rPr>
          <w:rFonts w:ascii="Arial" w:cs="Arial" w:eastAsia="Arial" w:hAnsi="Arial"/>
          <w:sz w:val="14"/>
          <w:szCs w:val="14"/>
          <w:color w:val="auto"/>
        </w:rPr>
        <w:t>Officer)</w:t>
      </w:r>
    </w:p>
    <w:p>
      <w:pPr>
        <w:spacing w:after="0" w:line="92"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1"/>
                <w:szCs w:val="11"/>
                <w:b w:val="1"/>
                <w:bCs w:val="1"/>
                <w:color w:val="auto"/>
              </w:rPr>
              <w:t>Signature</w:t>
            </w:r>
          </w:p>
        </w:tc>
        <w:tc>
          <w:tcPr>
            <w:tcW w:w="5280" w:type="dxa"/>
            <w:vAlign w:val="bottom"/>
            <w:gridSpan w:val="2"/>
          </w:tcPr>
          <w:p>
            <w:pPr>
              <w:ind w:left="2460"/>
              <w:spacing w:after="0"/>
              <w:rPr>
                <w:sz w:val="20"/>
                <w:szCs w:val="20"/>
                <w:color w:val="auto"/>
              </w:rPr>
            </w:pPr>
            <w:r>
              <w:rPr>
                <w:rFonts w:ascii="Arial" w:cs="Arial" w:eastAsia="Arial" w:hAnsi="Arial"/>
                <w:sz w:val="11"/>
                <w:szCs w:val="11"/>
                <w:b w:val="1"/>
                <w:bCs w:val="1"/>
                <w:color w:val="auto"/>
              </w:rPr>
              <w:t>Title</w:t>
            </w: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spacing w:after="0" w:line="149" w:lineRule="exact"/>
              <w:rPr>
                <w:sz w:val="20"/>
                <w:szCs w:val="20"/>
                <w:color w:val="auto"/>
              </w:rPr>
            </w:pPr>
            <w:r>
              <w:rPr>
                <w:rFonts w:ascii="Arial" w:cs="Arial" w:eastAsia="Arial" w:hAnsi="Arial"/>
                <w:sz w:val="14"/>
                <w:szCs w:val="14"/>
                <w:color w:val="auto"/>
                <w:w w:val="90"/>
              </w:rPr>
              <w:t>/s/ David J. Mazzo</w:t>
            </w:r>
          </w:p>
        </w:tc>
        <w:tc>
          <w:tcPr>
            <w:tcW w:w="1760" w:type="dxa"/>
            <w:vAlign w:val="bottom"/>
            <w:tcBorders>
              <w:top w:val="single" w:sz="8" w:color="auto"/>
            </w:tcBorders>
            <w:gridSpan w:val="5"/>
          </w:tcPr>
          <w:p>
            <w:pPr>
              <w:spacing w:after="0"/>
              <w:rPr>
                <w:sz w:val="12"/>
                <w:szCs w:val="12"/>
                <w:color w:val="auto"/>
              </w:rPr>
            </w:pPr>
          </w:p>
        </w:tc>
        <w:tc>
          <w:tcPr>
            <w:tcW w:w="100" w:type="dxa"/>
            <w:vAlign w:val="bottom"/>
          </w:tcPr>
          <w:p>
            <w:pPr>
              <w:spacing w:after="0"/>
              <w:rPr>
                <w:sz w:val="12"/>
                <w:szCs w:val="12"/>
                <w:color w:val="auto"/>
              </w:rPr>
            </w:pPr>
          </w:p>
        </w:tc>
        <w:tc>
          <w:tcPr>
            <w:tcW w:w="51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Director and Chief Executive Officer (Principal Executive Officer, Principal Financial</w:t>
            </w:r>
          </w:p>
        </w:tc>
        <w:tc>
          <w:tcPr>
            <w:tcW w:w="1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David J. Mazzo, PhD</w:t>
            </w:r>
          </w:p>
        </w:tc>
        <w:tc>
          <w:tcPr>
            <w:tcW w:w="5280" w:type="dxa"/>
            <w:vAlign w:val="bottom"/>
            <w:gridSpan w:val="2"/>
          </w:tcPr>
          <w:p>
            <w:pPr>
              <w:spacing w:after="0"/>
              <w:rPr>
                <w:sz w:val="20"/>
                <w:szCs w:val="20"/>
                <w:color w:val="auto"/>
              </w:rPr>
            </w:pPr>
            <w:r>
              <w:rPr>
                <w:rFonts w:ascii="Arial" w:cs="Arial" w:eastAsia="Arial" w:hAnsi="Arial"/>
                <w:sz w:val="14"/>
                <w:szCs w:val="14"/>
                <w:color w:val="auto"/>
              </w:rPr>
              <w:t>Officer and Principal Accounting Officer)</w:t>
            </w:r>
          </w:p>
        </w:tc>
        <w:tc>
          <w:tcPr>
            <w:tcW w:w="1760" w:type="dxa"/>
            <w:vAlign w:val="bottom"/>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90"/>
              </w:rPr>
              <w:t>/s/ David Slack</w:t>
            </w:r>
          </w:p>
        </w:tc>
        <w:tc>
          <w:tcPr>
            <w:tcW w:w="2060" w:type="dxa"/>
            <w:vAlign w:val="bottom"/>
            <w:gridSpan w:val="8"/>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Director and Chief Business Officer</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David Slack, MDA</w:t>
            </w:r>
          </w:p>
        </w:tc>
        <w:tc>
          <w:tcPr>
            <w:tcW w:w="528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bottom w:val="single" w:sz="8" w:color="auto"/>
            </w:tcBorders>
            <w:gridSpan w:val="6"/>
          </w:tcPr>
          <w:p>
            <w:pPr>
              <w:spacing w:after="0" w:line="149" w:lineRule="exact"/>
              <w:rPr>
                <w:sz w:val="20"/>
                <w:szCs w:val="20"/>
                <w:color w:val="auto"/>
              </w:rPr>
            </w:pPr>
            <w:r>
              <w:rPr>
                <w:rFonts w:ascii="Arial" w:cs="Arial" w:eastAsia="Arial" w:hAnsi="Arial"/>
                <w:sz w:val="14"/>
                <w:szCs w:val="14"/>
                <w:color w:val="auto"/>
                <w:w w:val="92"/>
              </w:rPr>
              <w:t>/s/ Gregory B. Brown</w:t>
            </w:r>
          </w:p>
        </w:tc>
        <w:tc>
          <w:tcPr>
            <w:tcW w:w="1700" w:type="dxa"/>
            <w:vAlign w:val="bottom"/>
            <w:gridSpan w:val="3"/>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Chairman of the Board of Directors</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Gregory B. Brown, MD</w:t>
            </w:r>
          </w:p>
        </w:tc>
        <w:tc>
          <w:tcPr>
            <w:tcW w:w="528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9"/>
          </w:tcPr>
          <w:p>
            <w:pPr>
              <w:spacing w:after="0" w:line="149" w:lineRule="exact"/>
              <w:rPr>
                <w:sz w:val="20"/>
                <w:szCs w:val="20"/>
                <w:color w:val="auto"/>
              </w:rPr>
            </w:pPr>
            <w:r>
              <w:rPr>
                <w:rFonts w:ascii="Arial" w:cs="Arial" w:eastAsia="Arial" w:hAnsi="Arial"/>
                <w:sz w:val="14"/>
                <w:szCs w:val="14"/>
                <w:color w:val="auto"/>
              </w:rPr>
              <w:t>/s/ Mohammad Azab</w:t>
            </w: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w w:val="88"/>
              </w:rPr>
              <w:t>Mohamad Azab, MD,</w:t>
            </w:r>
          </w:p>
        </w:tc>
        <w:tc>
          <w:tcPr>
            <w:tcW w:w="80" w:type="dxa"/>
            <w:vAlign w:val="bottom"/>
            <w:gridSpan w:val="2"/>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MBA</w:t>
            </w: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760" w:type="dxa"/>
            <w:vAlign w:val="bottom"/>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Borders>
              <w:bottom w:val="single" w:sz="8" w:color="auto"/>
            </w:tcBorders>
            <w:gridSpan w:val="7"/>
          </w:tcPr>
          <w:p>
            <w:pPr>
              <w:spacing w:after="0" w:line="149" w:lineRule="exact"/>
              <w:rPr>
                <w:sz w:val="20"/>
                <w:szCs w:val="20"/>
                <w:color w:val="auto"/>
              </w:rPr>
            </w:pPr>
            <w:r>
              <w:rPr>
                <w:rFonts w:ascii="Arial" w:cs="Arial" w:eastAsia="Arial" w:hAnsi="Arial"/>
                <w:sz w:val="14"/>
                <w:szCs w:val="14"/>
                <w:color w:val="auto"/>
                <w:w w:val="92"/>
              </w:rPr>
              <w:t>/s/ Cynthia L. Flowers</w:t>
            </w:r>
          </w:p>
        </w:tc>
        <w:tc>
          <w:tcPr>
            <w:tcW w:w="1660" w:type="dxa"/>
            <w:vAlign w:val="bottom"/>
            <w:gridSpan w:val="2"/>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Cynthia L. Flowers, MBA</w:t>
            </w:r>
          </w:p>
        </w:tc>
        <w:tc>
          <w:tcPr>
            <w:tcW w:w="528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9"/>
          </w:tcPr>
          <w:p>
            <w:pPr>
              <w:spacing w:after="0" w:line="149" w:lineRule="exact"/>
              <w:rPr>
                <w:sz w:val="20"/>
                <w:szCs w:val="20"/>
                <w:color w:val="auto"/>
              </w:rPr>
            </w:pPr>
            <w:r>
              <w:rPr>
                <w:rFonts w:ascii="Arial" w:cs="Arial" w:eastAsia="Arial" w:hAnsi="Arial"/>
                <w:sz w:val="14"/>
                <w:szCs w:val="14"/>
                <w:color w:val="auto"/>
              </w:rPr>
              <w:t>/s/ Heidi Henson</w:t>
            </w: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Heidi Henson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5"/>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4"/>
                <w:szCs w:val="14"/>
                <w:color w:val="auto"/>
                <w:w w:val="91"/>
              </w:rPr>
              <w:t>/s/ Steven M. Klosk</w:t>
            </w:r>
          </w:p>
        </w:tc>
        <w:tc>
          <w:tcPr>
            <w:tcW w:w="1800" w:type="dxa"/>
            <w:vAlign w:val="bottom"/>
            <w:gridSpan w:val="5"/>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Steven M. Klosk, JD</w:t>
            </w:r>
          </w:p>
        </w:tc>
        <w:tc>
          <w:tcPr>
            <w:tcW w:w="5280" w:type="dxa"/>
            <w:vAlign w:val="bottom"/>
            <w:gridSpan w:val="2"/>
            <w:vMerge w:val="continue"/>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auto"/>
            </w:tcBorders>
            <w:gridSpan w:val="3"/>
          </w:tcPr>
          <w:p>
            <w:pPr>
              <w:spacing w:after="0" w:line="149" w:lineRule="exact"/>
              <w:rPr>
                <w:sz w:val="20"/>
                <w:szCs w:val="20"/>
                <w:color w:val="auto"/>
              </w:rPr>
            </w:pPr>
            <w:r>
              <w:rPr>
                <w:rFonts w:ascii="Arial" w:cs="Arial" w:eastAsia="Arial" w:hAnsi="Arial"/>
                <w:sz w:val="14"/>
                <w:szCs w:val="14"/>
                <w:color w:val="auto"/>
                <w:w w:val="92"/>
              </w:rPr>
              <w:t>/s/ Erkki Ruoslahti</w:t>
            </w:r>
          </w:p>
        </w:tc>
        <w:tc>
          <w:tcPr>
            <w:tcW w:w="1860" w:type="dxa"/>
            <w:vAlign w:val="bottom"/>
            <w:gridSpan w:val="6"/>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w w:val="92"/>
              </w:rPr>
              <w:t>March 30, 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gridSpan w:val="9"/>
          </w:tcPr>
          <w:p>
            <w:pPr>
              <w:spacing w:after="0"/>
              <w:rPr>
                <w:sz w:val="20"/>
                <w:szCs w:val="20"/>
                <w:color w:val="auto"/>
              </w:rPr>
            </w:pPr>
            <w:r>
              <w:rPr>
                <w:rFonts w:ascii="Arial" w:cs="Arial" w:eastAsia="Arial" w:hAnsi="Arial"/>
                <w:sz w:val="14"/>
                <w:szCs w:val="14"/>
                <w:color w:val="auto"/>
              </w:rPr>
              <w:t>Erkki Ruoslahti, MD, PhD</w:t>
            </w:r>
          </w:p>
        </w:tc>
        <w:tc>
          <w:tcPr>
            <w:tcW w:w="5280" w:type="dxa"/>
            <w:vAlign w:val="bottom"/>
            <w:gridSpan w:val="2"/>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125"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u w:val="single" w:color="auto"/>
          <w:color w:val="auto"/>
        </w:rPr>
        <w:t>Exhibit 10.1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Board of Directors Compensation Policy</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0C0C0C"/>
        </w:rPr>
        <w:t>On April 21, 2021 the Board of Directors of Lisata Therapeutics, Inc. (the "Company") adopted the Amended and Restated Board of Directors Compensation Policy (the "Board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C0C0C"/>
        </w:rPr>
        <w:t>Directors Compensation Policy") for all non-employee Board members, providing that:</w:t>
      </w:r>
    </w:p>
    <w:p>
      <w:pPr>
        <w:spacing w:after="0" w:line="161" w:lineRule="exact"/>
        <w:rPr>
          <w:sz w:val="20"/>
          <w:szCs w:val="20"/>
          <w:color w:val="auto"/>
        </w:rPr>
      </w:pPr>
    </w:p>
    <w:p>
      <w:pPr>
        <w:ind w:left="500" w:hanging="240"/>
        <w:spacing w:after="0"/>
        <w:tabs>
          <w:tab w:leader="none" w:pos="500" w:val="left"/>
        </w:tabs>
        <w:numPr>
          <w:ilvl w:val="0"/>
          <w:numId w:val="59"/>
        </w:numPr>
        <w:rPr>
          <w:rFonts w:ascii="Arial" w:cs="Arial" w:eastAsia="Arial" w:hAnsi="Arial"/>
          <w:sz w:val="16"/>
          <w:szCs w:val="16"/>
          <w:color w:val="auto"/>
        </w:rPr>
      </w:pPr>
      <w:r>
        <w:rPr>
          <w:rFonts w:ascii="Arial" w:cs="Arial" w:eastAsia="Arial" w:hAnsi="Arial"/>
          <w:sz w:val="17"/>
          <w:szCs w:val="17"/>
          <w:color w:val="0C0C0C"/>
        </w:rPr>
        <w:t>each Board member shall be authorized to receive an annual cash compensation retainer of $40,000 for his or her service as a Board member;</w:t>
      </w:r>
    </w:p>
    <w:p>
      <w:pPr>
        <w:spacing w:after="0" w:line="186" w:lineRule="exact"/>
        <w:rPr>
          <w:rFonts w:ascii="Arial" w:cs="Arial" w:eastAsia="Arial" w:hAnsi="Arial"/>
          <w:sz w:val="16"/>
          <w:szCs w:val="16"/>
          <w:color w:val="auto"/>
        </w:rPr>
      </w:pPr>
    </w:p>
    <w:p>
      <w:pPr>
        <w:ind w:left="500" w:hanging="240"/>
        <w:spacing w:after="0"/>
        <w:tabs>
          <w:tab w:leader="none" w:pos="500" w:val="left"/>
        </w:tabs>
        <w:numPr>
          <w:ilvl w:val="0"/>
          <w:numId w:val="59"/>
        </w:numPr>
        <w:rPr>
          <w:rFonts w:ascii="Arial" w:cs="Arial" w:eastAsia="Arial" w:hAnsi="Arial"/>
          <w:sz w:val="16"/>
          <w:szCs w:val="16"/>
          <w:color w:val="0C0C0C"/>
        </w:rPr>
      </w:pPr>
      <w:r>
        <w:rPr>
          <w:rFonts w:ascii="Arial" w:cs="Arial" w:eastAsia="Arial" w:hAnsi="Arial"/>
          <w:sz w:val="16"/>
          <w:szCs w:val="16"/>
          <w:color w:val="0C0C0C"/>
        </w:rPr>
        <w:t>the Lead Director shall be authorized to receive an additional annual cash compensation retainer of $10,000 for his or her service as the Lead Director;</w:t>
      </w:r>
    </w:p>
    <w:p>
      <w:pPr>
        <w:spacing w:after="0" w:line="197" w:lineRule="exact"/>
        <w:rPr>
          <w:rFonts w:ascii="Arial" w:cs="Arial" w:eastAsia="Arial" w:hAnsi="Arial"/>
          <w:sz w:val="16"/>
          <w:szCs w:val="16"/>
          <w:color w:val="0C0C0C"/>
        </w:rPr>
      </w:pPr>
    </w:p>
    <w:p>
      <w:pPr>
        <w:ind w:left="520" w:right="60" w:hanging="260"/>
        <w:spacing w:after="0" w:line="245" w:lineRule="auto"/>
        <w:tabs>
          <w:tab w:leader="none" w:pos="516" w:val="left"/>
        </w:tabs>
        <w:numPr>
          <w:ilvl w:val="0"/>
          <w:numId w:val="59"/>
        </w:numPr>
        <w:rPr>
          <w:rFonts w:ascii="Arial" w:cs="Arial" w:eastAsia="Arial" w:hAnsi="Arial"/>
          <w:sz w:val="17"/>
          <w:szCs w:val="17"/>
          <w:color w:val="0C0C0C"/>
        </w:rPr>
      </w:pPr>
      <w:r>
        <w:rPr>
          <w:rFonts w:ascii="Arial" w:cs="Arial" w:eastAsia="Arial" w:hAnsi="Arial"/>
          <w:sz w:val="17"/>
          <w:szCs w:val="17"/>
          <w:color w:val="0C0C0C"/>
        </w:rPr>
        <w:t>the Non-executive Chair shall be authorized to receive an additional annual cash compensation retainer of $30,000 for his or her service as the Non-executive Chair;</w:t>
      </w:r>
    </w:p>
    <w:p>
      <w:pPr>
        <w:spacing w:after="0" w:line="163" w:lineRule="exact"/>
        <w:rPr>
          <w:rFonts w:ascii="Arial" w:cs="Arial" w:eastAsia="Arial" w:hAnsi="Arial"/>
          <w:sz w:val="17"/>
          <w:szCs w:val="17"/>
          <w:color w:val="0C0C0C"/>
        </w:rPr>
      </w:pPr>
    </w:p>
    <w:p>
      <w:pPr>
        <w:ind w:left="500" w:hanging="240"/>
        <w:spacing w:after="0"/>
        <w:tabs>
          <w:tab w:leader="none" w:pos="500" w:val="left"/>
        </w:tabs>
        <w:numPr>
          <w:ilvl w:val="0"/>
          <w:numId w:val="59"/>
        </w:numPr>
        <w:rPr>
          <w:rFonts w:ascii="Arial" w:cs="Arial" w:eastAsia="Arial" w:hAnsi="Arial"/>
          <w:sz w:val="15"/>
          <w:szCs w:val="15"/>
          <w:color w:val="0C0C0C"/>
        </w:rPr>
      </w:pPr>
      <w:r>
        <w:rPr>
          <w:rFonts w:ascii="Arial" w:cs="Arial" w:eastAsia="Arial" w:hAnsi="Arial"/>
          <w:sz w:val="15"/>
          <w:szCs w:val="15"/>
          <w:color w:val="0C0C0C"/>
        </w:rPr>
        <w:t>each member of the Company's Audit Committee shall be entitled to receive annual cash compensation of $8,000 for his or her service on such committee;</w:t>
      </w:r>
    </w:p>
    <w:p>
      <w:pPr>
        <w:spacing w:after="0" w:line="209" w:lineRule="exact"/>
        <w:rPr>
          <w:rFonts w:ascii="Arial" w:cs="Arial" w:eastAsia="Arial" w:hAnsi="Arial"/>
          <w:sz w:val="15"/>
          <w:szCs w:val="15"/>
          <w:color w:val="0C0C0C"/>
        </w:rPr>
      </w:pPr>
    </w:p>
    <w:p>
      <w:pPr>
        <w:ind w:left="520" w:right="460" w:hanging="260"/>
        <w:spacing w:after="0" w:line="243" w:lineRule="auto"/>
        <w:tabs>
          <w:tab w:leader="none" w:pos="516" w:val="left"/>
        </w:tabs>
        <w:numPr>
          <w:ilvl w:val="0"/>
          <w:numId w:val="59"/>
        </w:numPr>
        <w:rPr>
          <w:rFonts w:ascii="Arial" w:cs="Arial" w:eastAsia="Arial" w:hAnsi="Arial"/>
          <w:sz w:val="17"/>
          <w:szCs w:val="17"/>
          <w:color w:val="0C0C0C"/>
        </w:rPr>
      </w:pPr>
      <w:r>
        <w:rPr>
          <w:rFonts w:ascii="Arial" w:cs="Arial" w:eastAsia="Arial" w:hAnsi="Arial"/>
          <w:sz w:val="17"/>
          <w:szCs w:val="17"/>
          <w:color w:val="0C0C0C"/>
        </w:rPr>
        <w:t>each member of the Company's Compensation Committee shall be entitled to receive annual cash compensation of $6,000 for his or her service on such committee;</w:t>
      </w:r>
    </w:p>
    <w:p>
      <w:pPr>
        <w:ind w:left="260"/>
        <w:spacing w:after="0" w:line="234" w:lineRule="auto"/>
        <w:rPr>
          <w:sz w:val="20"/>
          <w:szCs w:val="20"/>
          <w:color w:val="auto"/>
        </w:rPr>
      </w:pPr>
      <w:r>
        <w:rPr>
          <w:rFonts w:ascii="Arial" w:cs="Arial" w:eastAsia="Arial" w:hAnsi="Arial"/>
          <w:sz w:val="17"/>
          <w:szCs w:val="17"/>
          <w:color w:val="0C0C0C"/>
        </w:rPr>
        <w:t>•</w:t>
      </w:r>
    </w:p>
    <w:p>
      <w:pPr>
        <w:spacing w:after="0" w:line="1" w:lineRule="exact"/>
        <w:rPr>
          <w:sz w:val="20"/>
          <w:szCs w:val="20"/>
          <w:color w:val="auto"/>
        </w:rPr>
      </w:pPr>
    </w:p>
    <w:p>
      <w:pPr>
        <w:ind w:left="520" w:right="40" w:hanging="260"/>
        <w:spacing w:after="0" w:line="234" w:lineRule="auto"/>
        <w:tabs>
          <w:tab w:leader="none" w:pos="516" w:val="left"/>
        </w:tabs>
        <w:numPr>
          <w:ilvl w:val="0"/>
          <w:numId w:val="60"/>
        </w:numPr>
        <w:rPr>
          <w:rFonts w:ascii="Arial" w:cs="Arial" w:eastAsia="Arial" w:hAnsi="Arial"/>
          <w:sz w:val="17"/>
          <w:szCs w:val="17"/>
          <w:color w:val="0C0C0C"/>
        </w:rPr>
      </w:pPr>
      <w:r>
        <w:rPr>
          <w:rFonts w:ascii="Arial" w:cs="Arial" w:eastAsia="Arial" w:hAnsi="Arial"/>
          <w:sz w:val="17"/>
          <w:szCs w:val="17"/>
          <w:color w:val="0C0C0C"/>
        </w:rPr>
        <w:t>each member of the Company's Nominating and Governance Committee shall be entitled to receive annual cash compensation of $4,500 for his or her service on such committee;</w:t>
      </w:r>
    </w:p>
    <w:p>
      <w:pPr>
        <w:ind w:left="260"/>
        <w:spacing w:after="0" w:line="235" w:lineRule="auto"/>
        <w:rPr>
          <w:sz w:val="20"/>
          <w:szCs w:val="20"/>
          <w:color w:val="auto"/>
        </w:rPr>
      </w:pPr>
      <w:r>
        <w:rPr>
          <w:rFonts w:ascii="Arial" w:cs="Arial" w:eastAsia="Arial" w:hAnsi="Arial"/>
          <w:sz w:val="17"/>
          <w:szCs w:val="17"/>
          <w:color w:val="0C0C0C"/>
        </w:rPr>
        <w:t>•</w:t>
      </w:r>
    </w:p>
    <w:p>
      <w:pPr>
        <w:ind w:left="500" w:hanging="240"/>
        <w:spacing w:after="0"/>
        <w:tabs>
          <w:tab w:leader="none" w:pos="500" w:val="left"/>
        </w:tabs>
        <w:numPr>
          <w:ilvl w:val="0"/>
          <w:numId w:val="61"/>
        </w:numPr>
        <w:rPr>
          <w:rFonts w:ascii="Arial" w:cs="Arial" w:eastAsia="Arial" w:hAnsi="Arial"/>
          <w:sz w:val="15"/>
          <w:szCs w:val="15"/>
          <w:color w:val="0C0C0C"/>
        </w:rPr>
      </w:pPr>
      <w:r>
        <w:rPr>
          <w:rFonts w:ascii="Arial" w:cs="Arial" w:eastAsia="Arial" w:hAnsi="Arial"/>
          <w:sz w:val="15"/>
          <w:szCs w:val="15"/>
          <w:color w:val="0C0C0C"/>
        </w:rPr>
        <w:t>each member of the Company's Science and Technology Committee shall be entitled to receive annual cash compensation of $4,500 for his or her service on</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0C0C0C"/>
        </w:rPr>
        <w:t>such committee;</w:t>
      </w:r>
    </w:p>
    <w:p>
      <w:pPr>
        <w:ind w:left="260"/>
        <w:spacing w:after="0" w:line="234" w:lineRule="auto"/>
        <w:rPr>
          <w:sz w:val="20"/>
          <w:szCs w:val="20"/>
          <w:color w:val="auto"/>
        </w:rPr>
      </w:pPr>
      <w:r>
        <w:rPr>
          <w:rFonts w:ascii="Arial" w:cs="Arial" w:eastAsia="Arial" w:hAnsi="Arial"/>
          <w:sz w:val="17"/>
          <w:szCs w:val="17"/>
          <w:color w:val="0C0C0C"/>
        </w:rPr>
        <w:t>•</w:t>
      </w:r>
    </w:p>
    <w:p>
      <w:pPr>
        <w:ind w:left="500" w:hanging="240"/>
        <w:spacing w:after="0" w:line="234" w:lineRule="auto"/>
        <w:tabs>
          <w:tab w:leader="none" w:pos="500" w:val="left"/>
        </w:tabs>
        <w:numPr>
          <w:ilvl w:val="0"/>
          <w:numId w:val="62"/>
        </w:numPr>
        <w:rPr>
          <w:rFonts w:ascii="Arial" w:cs="Arial" w:eastAsia="Arial" w:hAnsi="Arial"/>
          <w:sz w:val="17"/>
          <w:szCs w:val="17"/>
          <w:color w:val="0C0C0C"/>
        </w:rPr>
      </w:pPr>
      <w:r>
        <w:rPr>
          <w:rFonts w:ascii="Arial" w:cs="Arial" w:eastAsia="Arial" w:hAnsi="Arial"/>
          <w:sz w:val="17"/>
          <w:szCs w:val="17"/>
          <w:color w:val="0C0C0C"/>
        </w:rPr>
        <w:t>the Audit Committee Chair shall be authorized to receive annual cash compensation of $18,000 for his or her service as the Chair;</w:t>
      </w:r>
    </w:p>
    <w:p>
      <w:pPr>
        <w:spacing w:after="0"/>
        <w:tabs>
          <w:tab w:leader="none" w:pos="0" w:val="left"/>
        </w:tabs>
        <w:numPr>
          <w:ilvl w:val="0"/>
          <w:numId w:val="62"/>
        </w:numPr>
        <w:rPr>
          <w:rFonts w:ascii="Arial" w:cs="Arial" w:eastAsia="Arial" w:hAnsi="Arial"/>
          <w:sz w:val="17"/>
          <w:szCs w:val="17"/>
          <w:color w:val="0C0C0C"/>
        </w:rPr>
      </w:pPr>
    </w:p>
    <w:p>
      <w:pPr>
        <w:ind w:left="500" w:hanging="240"/>
        <w:spacing w:after="0" w:line="234" w:lineRule="auto"/>
        <w:tabs>
          <w:tab w:leader="none" w:pos="500" w:val="left"/>
        </w:tabs>
        <w:numPr>
          <w:ilvl w:val="0"/>
          <w:numId w:val="62"/>
        </w:numPr>
        <w:rPr>
          <w:rFonts w:ascii="Arial" w:cs="Arial" w:eastAsia="Arial" w:hAnsi="Arial"/>
          <w:sz w:val="17"/>
          <w:szCs w:val="17"/>
          <w:color w:val="0C0C0C"/>
        </w:rPr>
      </w:pPr>
      <w:r>
        <w:rPr>
          <w:rFonts w:ascii="Arial" w:cs="Arial" w:eastAsia="Arial" w:hAnsi="Arial"/>
          <w:sz w:val="17"/>
          <w:szCs w:val="17"/>
          <w:color w:val="0C0C0C"/>
        </w:rPr>
        <w:t>the Compensation Committee Chair shall be authorized to receive annual cash compensation of $12,000 for his or her service as the Chair;</w:t>
      </w:r>
    </w:p>
    <w:p>
      <w:pPr>
        <w:spacing w:after="0"/>
        <w:tabs>
          <w:tab w:leader="none" w:pos="0" w:val="left"/>
        </w:tabs>
        <w:numPr>
          <w:ilvl w:val="0"/>
          <w:numId w:val="62"/>
        </w:numPr>
        <w:rPr>
          <w:rFonts w:ascii="Arial" w:cs="Arial" w:eastAsia="Arial" w:hAnsi="Arial"/>
          <w:sz w:val="17"/>
          <w:szCs w:val="17"/>
          <w:color w:val="0C0C0C"/>
        </w:rPr>
      </w:pPr>
    </w:p>
    <w:p>
      <w:pPr>
        <w:ind w:left="500" w:hanging="240"/>
        <w:spacing w:after="0"/>
        <w:tabs>
          <w:tab w:leader="none" w:pos="500" w:val="left"/>
        </w:tabs>
        <w:numPr>
          <w:ilvl w:val="0"/>
          <w:numId w:val="62"/>
        </w:numPr>
        <w:rPr>
          <w:rFonts w:ascii="Arial" w:cs="Arial" w:eastAsia="Arial" w:hAnsi="Arial"/>
          <w:sz w:val="16"/>
          <w:szCs w:val="16"/>
          <w:color w:val="0C0C0C"/>
        </w:rPr>
      </w:pPr>
      <w:r>
        <w:rPr>
          <w:rFonts w:ascii="Arial" w:cs="Arial" w:eastAsia="Arial" w:hAnsi="Arial"/>
          <w:sz w:val="16"/>
          <w:szCs w:val="16"/>
          <w:color w:val="0C0C0C"/>
        </w:rPr>
        <w:t>the Nominating and Governance Committee Chair shall be authorized to receive annual cash compensation of $9,000 for his or her service as the Chair;</w:t>
      </w:r>
    </w:p>
    <w:p>
      <w:pPr>
        <w:spacing w:after="0" w:line="6" w:lineRule="exact"/>
        <w:rPr>
          <w:rFonts w:ascii="Arial" w:cs="Arial" w:eastAsia="Arial" w:hAnsi="Arial"/>
          <w:sz w:val="16"/>
          <w:szCs w:val="16"/>
          <w:color w:val="0C0C0C"/>
        </w:rPr>
      </w:pPr>
    </w:p>
    <w:p>
      <w:pPr>
        <w:spacing w:after="0"/>
        <w:tabs>
          <w:tab w:leader="none" w:pos="0" w:val="left"/>
        </w:tabs>
        <w:numPr>
          <w:ilvl w:val="0"/>
          <w:numId w:val="62"/>
        </w:numPr>
        <w:rPr>
          <w:rFonts w:ascii="Arial" w:cs="Arial" w:eastAsia="Arial" w:hAnsi="Arial"/>
          <w:sz w:val="17"/>
          <w:szCs w:val="17"/>
          <w:color w:val="0C0C0C"/>
        </w:rPr>
      </w:pPr>
    </w:p>
    <w:p>
      <w:pPr>
        <w:ind w:left="500" w:hanging="240"/>
        <w:spacing w:after="0"/>
        <w:tabs>
          <w:tab w:leader="none" w:pos="500" w:val="left"/>
        </w:tabs>
        <w:numPr>
          <w:ilvl w:val="0"/>
          <w:numId w:val="62"/>
        </w:numPr>
        <w:rPr>
          <w:rFonts w:ascii="Arial" w:cs="Arial" w:eastAsia="Arial" w:hAnsi="Arial"/>
          <w:sz w:val="16"/>
          <w:szCs w:val="16"/>
          <w:color w:val="0C0C0C"/>
        </w:rPr>
      </w:pPr>
      <w:r>
        <w:rPr>
          <w:rFonts w:ascii="Arial" w:cs="Arial" w:eastAsia="Arial" w:hAnsi="Arial"/>
          <w:sz w:val="16"/>
          <w:szCs w:val="16"/>
          <w:color w:val="0C0C0C"/>
        </w:rPr>
        <w:t>the Science and Technology Committee Chair shall be authorized to receive annual cash compensation of $9,000 for his or her service as the Chair;</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0C0C0C"/>
        </w:rPr>
        <w:t>•</w:t>
      </w:r>
    </w:p>
    <w:p>
      <w:pPr>
        <w:ind w:left="500" w:hanging="240"/>
        <w:spacing w:after="0"/>
        <w:tabs>
          <w:tab w:leader="none" w:pos="500" w:val="left"/>
        </w:tabs>
        <w:numPr>
          <w:ilvl w:val="0"/>
          <w:numId w:val="63"/>
        </w:numPr>
        <w:rPr>
          <w:rFonts w:ascii="Arial" w:cs="Arial" w:eastAsia="Arial" w:hAnsi="Arial"/>
          <w:sz w:val="15"/>
          <w:szCs w:val="15"/>
          <w:color w:val="0C0C0C"/>
        </w:rPr>
      </w:pPr>
      <w:r>
        <w:rPr>
          <w:rFonts w:ascii="Arial" w:cs="Arial" w:eastAsia="Arial" w:hAnsi="Arial"/>
          <w:sz w:val="15"/>
          <w:szCs w:val="15"/>
          <w:color w:val="0C0C0C"/>
        </w:rPr>
        <w:t>each member of the Board shall receive annually on the second Monday in January a grant of restricted stock with a Black Scholes value of $60,000 with the</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6"/>
          <w:szCs w:val="16"/>
          <w:color w:val="0C0C0C"/>
        </w:rPr>
        <w:t>number of shares to be issued on the grant date calculated based on the grant date fair value with annual vesting at one year from the grant date; and</w:t>
      </w:r>
    </w:p>
    <w:p>
      <w:pPr>
        <w:ind w:left="260"/>
        <w:spacing w:after="0"/>
        <w:rPr>
          <w:sz w:val="20"/>
          <w:szCs w:val="20"/>
          <w:color w:val="auto"/>
        </w:rPr>
      </w:pPr>
      <w:r>
        <w:rPr>
          <w:rFonts w:ascii="Arial" w:cs="Arial" w:eastAsia="Arial" w:hAnsi="Arial"/>
          <w:sz w:val="17"/>
          <w:szCs w:val="17"/>
          <w:color w:val="0C0C0C"/>
        </w:rPr>
        <w:t>•</w:t>
      </w:r>
    </w:p>
    <w:p>
      <w:pPr>
        <w:sectPr>
          <w:pgSz w:w="11900" w:h="16838" w:orient="portrait"/>
          <w:cols w:equalWidth="0" w:num="1">
            <w:col w:w="11280"/>
          </w:cols>
          <w:pgMar w:left="300" w:top="1143" w:right="319" w:bottom="1440" w:gutter="0" w:footer="0" w:header="0"/>
        </w:sectPr>
      </w:pPr>
    </w:p>
    <w:bookmarkStart w:id="108" w:name="page109"/>
    <w:bookmarkEnd w:id="108"/>
    <w:p>
      <w:pPr>
        <w:ind w:left="260" w:hanging="260"/>
        <w:spacing w:after="0" w:line="246" w:lineRule="auto"/>
        <w:tabs>
          <w:tab w:leader="none" w:pos="256" w:val="left"/>
        </w:tabs>
        <w:numPr>
          <w:ilvl w:val="0"/>
          <w:numId w:val="64"/>
        </w:numPr>
        <w:rPr>
          <w:rFonts w:ascii="Arial" w:cs="Arial" w:eastAsia="Arial" w:hAnsi="Arial"/>
          <w:sz w:val="17"/>
          <w:szCs w:val="17"/>
          <w:color w:val="0C0C0C"/>
        </w:rPr>
      </w:pPr>
      <w:r>
        <w:rPr>
          <w:rFonts w:ascii="Arial" w:cs="Arial" w:eastAsia="Arial" w:hAnsi="Arial"/>
          <w:sz w:val="17"/>
          <w:szCs w:val="17"/>
          <w:color w:val="0C0C0C"/>
        </w:rPr>
        <w:t>each newly appointed Board member shall receive an initial grant of restricted stock with a Black Scholes value of two times (2x) the value of the annual restricted stock grant to Board members with the number of shares to be issued on the grant date calculated based on the grant date fair value with one-third vesting annually on each of the first, second and third anniversaries of the grant date.</w:t>
      </w:r>
    </w:p>
    <w:p>
      <w:pPr>
        <w:sectPr>
          <w:pgSz w:w="11900" w:h="16838" w:orient="portrait"/>
          <w:cols w:equalWidth="0" w:num="1">
            <w:col w:w="10840"/>
          </w:cols>
          <w:pgMar w:left="560" w:top="1141" w:right="499" w:bottom="1440" w:gutter="0" w:footer="0" w:header="0"/>
        </w:sectPr>
      </w:pPr>
    </w:p>
    <w:bookmarkStart w:id="109" w:name="page110"/>
    <w:bookmarkEnd w:id="10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46" w:lineRule="auto"/>
        <w:tabs>
          <w:tab w:leader="none" w:pos="256" w:val="left"/>
        </w:tabs>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46" w:lineRule="auto"/>
        <w:tabs>
          <w:tab w:leader="none" w:pos="256" w:val="left"/>
        </w:tabs>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46" w:lineRule="auto"/>
        <w:tabs>
          <w:tab w:leader="none" w:pos="256" w:val="left"/>
        </w:tabs>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46" w:lineRule="auto"/>
        <w:tabs>
          <w:tab w:leader="none" w:pos="25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46" w:lineRule="auto"/>
        <w:tabs>
          <w:tab w:leader="none" w:pos="256" w:val="left"/>
        </w:tabs>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center"/>
        <w:ind w:left="500"/>
        <w:spacing w:after="0"/>
        <w:rPr>
          <w:sz w:val="20"/>
          <w:szCs w:val="20"/>
          <w:color w:val="auto"/>
        </w:rPr>
      </w:pPr>
      <w:r>
        <w:rPr>
          <w:rFonts w:ascii="Arial" w:cs="Arial" w:eastAsia="Arial" w:hAnsi="Arial"/>
          <w:sz w:val="14"/>
          <w:szCs w:val="14"/>
          <w:b w:val="1"/>
          <w:bCs w:val="1"/>
          <w:color w:val="252525"/>
        </w:rPr>
        <w:t>LISATA THERAPEUTICS, INC.</w:t>
      </w:r>
    </w:p>
    <w:p>
      <w:pPr>
        <w:spacing w:after="0" w:line="125"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252525"/>
        </w:rPr>
        <w:t>CLAWBACK POLICY</w:t>
      </w:r>
    </w:p>
    <w:p>
      <w:pPr>
        <w:spacing w:after="0" w:line="115" w:lineRule="exact"/>
        <w:rPr>
          <w:sz w:val="20"/>
          <w:szCs w:val="20"/>
          <w:color w:val="auto"/>
        </w:rPr>
      </w:pPr>
    </w:p>
    <w:p>
      <w:pPr>
        <w:ind w:left="280" w:hanging="275"/>
        <w:spacing w:after="0"/>
        <w:tabs>
          <w:tab w:leader="none" w:pos="2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Introduction</w:t>
      </w:r>
    </w:p>
    <w:p>
      <w:pPr>
        <w:spacing w:after="0" w:line="12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4"/>
          <w:szCs w:val="14"/>
          <w:color w:val="252525"/>
        </w:rPr>
        <w:t>The Board of Directors (the “</w:t>
      </w:r>
      <w:r>
        <w:rPr>
          <w:rFonts w:ascii="Arial" w:cs="Arial" w:eastAsia="Arial" w:hAnsi="Arial"/>
          <w:sz w:val="14"/>
          <w:szCs w:val="14"/>
          <w:b w:val="1"/>
          <w:bCs w:val="1"/>
          <w:color w:val="252525"/>
        </w:rPr>
        <w:t>Board</w:t>
      </w:r>
      <w:r>
        <w:rPr>
          <w:rFonts w:ascii="Arial" w:cs="Arial" w:eastAsia="Arial" w:hAnsi="Arial"/>
          <w:sz w:val="14"/>
          <w:szCs w:val="14"/>
          <w:color w:val="252525"/>
        </w:rPr>
        <w:t>”) of Lisata Therapeutics, Inc. (the “</w:t>
      </w:r>
      <w:r>
        <w:rPr>
          <w:rFonts w:ascii="Arial" w:cs="Arial" w:eastAsia="Arial" w:hAnsi="Arial"/>
          <w:sz w:val="14"/>
          <w:szCs w:val="14"/>
          <w:b w:val="1"/>
          <w:bCs w:val="1"/>
          <w:color w:val="252525"/>
        </w:rPr>
        <w:t>Company</w:t>
      </w:r>
      <w:r>
        <w:rPr>
          <w:rFonts w:ascii="Arial" w:cs="Arial" w:eastAsia="Arial" w:hAnsi="Arial"/>
          <w:sz w:val="14"/>
          <w:szCs w:val="14"/>
          <w:color w:val="252525"/>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Arial" w:cs="Arial" w:eastAsia="Arial" w:hAnsi="Arial"/>
          <w:sz w:val="14"/>
          <w:szCs w:val="14"/>
          <w:b w:val="1"/>
          <w:bCs w:val="1"/>
          <w:color w:val="252525"/>
        </w:rPr>
        <w:t>Policy</w:t>
      </w:r>
      <w:r>
        <w:rPr>
          <w:rFonts w:ascii="Arial" w:cs="Arial" w:eastAsia="Arial" w:hAnsi="Arial"/>
          <w:sz w:val="14"/>
          <w:szCs w:val="14"/>
          <w:color w:val="252525"/>
        </w:rPr>
        <w:t>”). This Policy is designed to comply with Section 10D of the Securities Exchange Act of 1934, as amended (the “</w:t>
      </w:r>
      <w:r>
        <w:rPr>
          <w:rFonts w:ascii="Arial" w:cs="Arial" w:eastAsia="Arial" w:hAnsi="Arial"/>
          <w:sz w:val="14"/>
          <w:szCs w:val="14"/>
          <w:b w:val="1"/>
          <w:bCs w:val="1"/>
          <w:color w:val="252525"/>
        </w:rPr>
        <w:t>Exchange Act</w:t>
      </w:r>
      <w:r>
        <w:rPr>
          <w:rFonts w:ascii="Arial" w:cs="Arial" w:eastAsia="Arial" w:hAnsi="Arial"/>
          <w:sz w:val="14"/>
          <w:szCs w:val="14"/>
          <w:color w:val="252525"/>
        </w:rPr>
        <w:t>”) and final rules and amendments adopted by the Securities and Exchange Commission (the “</w:t>
      </w:r>
      <w:r>
        <w:rPr>
          <w:rFonts w:ascii="Arial" w:cs="Arial" w:eastAsia="Arial" w:hAnsi="Arial"/>
          <w:sz w:val="14"/>
          <w:szCs w:val="14"/>
          <w:b w:val="1"/>
          <w:bCs w:val="1"/>
          <w:color w:val="252525"/>
        </w:rPr>
        <w:t>SEC</w:t>
      </w:r>
      <w:r>
        <w:rPr>
          <w:rFonts w:ascii="Arial" w:cs="Arial" w:eastAsia="Arial" w:hAnsi="Arial"/>
          <w:sz w:val="14"/>
          <w:szCs w:val="14"/>
          <w:color w:val="252525"/>
        </w:rPr>
        <w:t>”) to implement the aforementioned legislation.</w:t>
      </w:r>
    </w:p>
    <w:p>
      <w:pPr>
        <w:spacing w:after="0" w:line="90"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Administration</w:t>
      </w:r>
    </w:p>
    <w:p>
      <w:pPr>
        <w:spacing w:after="0" w:line="119"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252525"/>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75" w:lineRule="exact"/>
        <w:rPr>
          <w:sz w:val="20"/>
          <w:szCs w:val="20"/>
          <w:color w:val="auto"/>
        </w:rPr>
      </w:pPr>
    </w:p>
    <w:p>
      <w:pPr>
        <w:ind w:left="340" w:hanging="335"/>
        <w:spacing w:after="0"/>
        <w:tabs>
          <w:tab w:leader="none" w:pos="34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Covered Executives</w:t>
      </w:r>
    </w:p>
    <w:p>
      <w:pPr>
        <w:spacing w:after="0" w:line="12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252525"/>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Arial" w:cs="Arial" w:eastAsia="Arial" w:hAnsi="Arial"/>
          <w:sz w:val="14"/>
          <w:szCs w:val="14"/>
          <w:b w:val="1"/>
          <w:bCs w:val="1"/>
          <w:color w:val="252525"/>
        </w:rPr>
        <w:t>Covered Executives</w:t>
      </w:r>
      <w:r>
        <w:rPr>
          <w:rFonts w:ascii="Arial" w:cs="Arial" w:eastAsia="Arial" w:hAnsi="Arial"/>
          <w:sz w:val="14"/>
          <w:szCs w:val="14"/>
          <w:color w:val="252525"/>
        </w:rPr>
        <w:t>”).</w:t>
      </w:r>
    </w:p>
    <w:p>
      <w:pPr>
        <w:spacing w:after="0" w:line="7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IV.</w:t>
      </w:r>
      <w:r>
        <w:rPr>
          <w:sz w:val="20"/>
          <w:szCs w:val="20"/>
          <w:color w:val="auto"/>
        </w:rPr>
        <w:tab/>
      </w:r>
      <w:r>
        <w:rPr>
          <w:rFonts w:ascii="Arial" w:cs="Arial" w:eastAsia="Arial" w:hAnsi="Arial"/>
          <w:sz w:val="12"/>
          <w:szCs w:val="12"/>
          <w:b w:val="1"/>
          <w:bCs w:val="1"/>
          <w:u w:val="single" w:color="auto"/>
          <w:color w:val="auto"/>
        </w:rPr>
        <w:t>Incentive-Based Compensation</w:t>
      </w:r>
    </w:p>
    <w:p>
      <w:pPr>
        <w:spacing w:after="0" w:line="12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252525"/>
        </w:rPr>
        <w:t>For purposes of this Policy, incentive-based compensation (“</w:t>
      </w:r>
      <w:r>
        <w:rPr>
          <w:rFonts w:ascii="Arial" w:cs="Arial" w:eastAsia="Arial" w:hAnsi="Arial"/>
          <w:sz w:val="13"/>
          <w:szCs w:val="13"/>
          <w:b w:val="1"/>
          <w:bCs w:val="1"/>
          <w:color w:val="252525"/>
        </w:rPr>
        <w:t>Incentive-Based Compensation</w:t>
      </w:r>
      <w:r>
        <w:rPr>
          <w:rFonts w:ascii="Arial" w:cs="Arial" w:eastAsia="Arial" w:hAnsi="Arial"/>
          <w:sz w:val="13"/>
          <w:szCs w:val="13"/>
          <w:color w:val="252525"/>
        </w:rPr>
        <w:t>”) includes any compensation that is granted, earned, or vested based wholly or in part upon the attainment of any financial reporting measures that are determined and presented in accordance with the accounting principles (“</w:t>
      </w:r>
      <w:r>
        <w:rPr>
          <w:rFonts w:ascii="Arial" w:cs="Arial" w:eastAsia="Arial" w:hAnsi="Arial"/>
          <w:sz w:val="13"/>
          <w:szCs w:val="13"/>
          <w:b w:val="1"/>
          <w:bCs w:val="1"/>
          <w:color w:val="252525"/>
        </w:rPr>
        <w:t>GAAP Measures</w:t>
      </w:r>
      <w:r>
        <w:rPr>
          <w:rFonts w:ascii="Arial" w:cs="Arial" w:eastAsia="Arial" w:hAnsi="Arial"/>
          <w:sz w:val="13"/>
          <w:szCs w:val="13"/>
          <w:color w:val="252525"/>
        </w:rPr>
        <w:t>”) used in preparing the Company’s financial statements and any measures derived wholly or in part from such measures, as well as non-GAAP Measures, stock price, and total shareholder return (collectively, “</w:t>
      </w:r>
      <w:r>
        <w:rPr>
          <w:rFonts w:ascii="Arial" w:cs="Arial" w:eastAsia="Arial" w:hAnsi="Arial"/>
          <w:sz w:val="13"/>
          <w:szCs w:val="13"/>
          <w:b w:val="1"/>
          <w:bCs w:val="1"/>
          <w:color w:val="252525"/>
        </w:rPr>
        <w:t>Financial Reporting</w:t>
      </w:r>
      <w:r>
        <w:rPr>
          <w:rFonts w:ascii="Arial" w:cs="Arial" w:eastAsia="Arial" w:hAnsi="Arial"/>
          <w:sz w:val="13"/>
          <w:szCs w:val="13"/>
          <w:color w:val="252525"/>
        </w:rPr>
        <w:t xml:space="preserve"> </w:t>
      </w:r>
      <w:r>
        <w:rPr>
          <w:rFonts w:ascii="Arial" w:cs="Arial" w:eastAsia="Arial" w:hAnsi="Arial"/>
          <w:sz w:val="13"/>
          <w:szCs w:val="13"/>
          <w:b w:val="1"/>
          <w:bCs w:val="1"/>
          <w:color w:val="252525"/>
        </w:rPr>
        <w:t>Measures</w:t>
      </w:r>
      <w:r>
        <w:rPr>
          <w:rFonts w:ascii="Arial" w:cs="Arial" w:eastAsia="Arial" w:hAnsi="Arial"/>
          <w:sz w:val="13"/>
          <w:szCs w:val="13"/>
          <w:color w:val="252525"/>
        </w:rPr>
        <w:t>”); however, it does not include: (i) base salaries; (ii) discretionary cash bonuses; (iii) awards (either cash or equity) that are based upon subjective, strategic or operational standards, and</w:t>
      </w:r>
    </w:p>
    <w:p>
      <w:pPr>
        <w:spacing w:after="0" w:line="1" w:lineRule="exact"/>
        <w:rPr>
          <w:sz w:val="20"/>
          <w:szCs w:val="20"/>
          <w:color w:val="auto"/>
        </w:rPr>
      </w:pPr>
    </w:p>
    <w:p>
      <w:pPr>
        <w:jc w:val="both"/>
        <w:ind w:firstLine="5"/>
        <w:spacing w:after="0" w:line="259" w:lineRule="auto"/>
        <w:tabs>
          <w:tab w:leader="none" w:pos="242" w:val="left"/>
        </w:tabs>
        <w:numPr>
          <w:ilvl w:val="0"/>
          <w:numId w:val="68"/>
        </w:numPr>
        <w:rPr>
          <w:rFonts w:ascii="Arial" w:cs="Arial" w:eastAsia="Arial" w:hAnsi="Arial"/>
          <w:sz w:val="14"/>
          <w:szCs w:val="14"/>
          <w:color w:val="252525"/>
        </w:rPr>
      </w:pPr>
      <w:r>
        <w:rPr>
          <w:rFonts w:ascii="Arial" w:cs="Arial" w:eastAsia="Arial" w:hAnsi="Arial"/>
          <w:sz w:val="14"/>
          <w:szCs w:val="14"/>
          <w:color w:val="252525"/>
        </w:rPr>
        <w:t>equity awards that vest solely on the passage of time.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award continues to be subject to the time-based vesting conditions.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252525"/>
        </w:rPr>
        <w:t>For the purposes of this Policy, Incentive-Based Compensation may include, among other things, any of the following:</w:t>
      </w:r>
    </w:p>
    <w:p>
      <w:pPr>
        <w:spacing w:after="0" w:line="115" w:lineRule="exact"/>
        <w:rPr>
          <w:sz w:val="20"/>
          <w:szCs w:val="20"/>
          <w:color w:val="auto"/>
        </w:rPr>
      </w:pPr>
    </w:p>
    <w:p>
      <w:pPr>
        <w:ind w:left="1520" w:hanging="497"/>
        <w:spacing w:after="0"/>
        <w:tabs>
          <w:tab w:leader="none" w:pos="1520" w:val="left"/>
        </w:tabs>
        <w:numPr>
          <w:ilvl w:val="0"/>
          <w:numId w:val="69"/>
        </w:numPr>
        <w:rPr>
          <w:rFonts w:ascii="Arial" w:cs="Arial" w:eastAsia="Arial" w:hAnsi="Arial"/>
          <w:sz w:val="14"/>
          <w:szCs w:val="14"/>
          <w:color w:val="auto"/>
        </w:rPr>
      </w:pPr>
      <w:r>
        <w:rPr>
          <w:rFonts w:ascii="Arial" w:cs="Arial" w:eastAsia="Arial" w:hAnsi="Arial"/>
          <w:sz w:val="14"/>
          <w:szCs w:val="14"/>
          <w:color w:val="252525"/>
        </w:rPr>
        <w:t>Annual bonuses and other short- and long-term cash incentives.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69"/>
        </w:numPr>
        <w:rPr>
          <w:rFonts w:ascii="Arial" w:cs="Arial" w:eastAsia="Arial" w:hAnsi="Arial"/>
          <w:sz w:val="14"/>
          <w:szCs w:val="14"/>
          <w:color w:val="auto"/>
        </w:rPr>
      </w:pPr>
      <w:r>
        <w:rPr>
          <w:rFonts w:ascii="Arial" w:cs="Arial" w:eastAsia="Arial" w:hAnsi="Arial"/>
          <w:sz w:val="14"/>
          <w:szCs w:val="14"/>
          <w:color w:val="252525"/>
        </w:rPr>
        <w:t>Stock options.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69"/>
        </w:numPr>
        <w:rPr>
          <w:rFonts w:ascii="Arial" w:cs="Arial" w:eastAsia="Arial" w:hAnsi="Arial"/>
          <w:sz w:val="14"/>
          <w:szCs w:val="14"/>
          <w:color w:val="auto"/>
        </w:rPr>
      </w:pPr>
      <w:r>
        <w:rPr>
          <w:rFonts w:ascii="Arial" w:cs="Arial" w:eastAsia="Arial" w:hAnsi="Arial"/>
          <w:sz w:val="14"/>
          <w:szCs w:val="14"/>
          <w:color w:val="252525"/>
        </w:rPr>
        <w:t>Stock appreciation rights.</w:t>
      </w:r>
    </w:p>
    <w:p>
      <w:pPr>
        <w:spacing w:after="0" w:line="114" w:lineRule="exact"/>
        <w:rPr>
          <w:rFonts w:ascii="Arial" w:cs="Arial" w:eastAsia="Arial" w:hAnsi="Arial"/>
          <w:sz w:val="14"/>
          <w:szCs w:val="14"/>
          <w:color w:val="auto"/>
        </w:rPr>
      </w:pPr>
    </w:p>
    <w:p>
      <w:pPr>
        <w:ind w:left="1520" w:hanging="497"/>
        <w:spacing w:after="0"/>
        <w:tabs>
          <w:tab w:leader="none" w:pos="1520" w:val="left"/>
        </w:tabs>
        <w:numPr>
          <w:ilvl w:val="0"/>
          <w:numId w:val="69"/>
        </w:numPr>
        <w:rPr>
          <w:rFonts w:ascii="Arial" w:cs="Arial" w:eastAsia="Arial" w:hAnsi="Arial"/>
          <w:sz w:val="14"/>
          <w:szCs w:val="14"/>
          <w:color w:val="auto"/>
        </w:rPr>
      </w:pPr>
      <w:r>
        <w:rPr>
          <w:rFonts w:ascii="Arial" w:cs="Arial" w:eastAsia="Arial" w:hAnsi="Arial"/>
          <w:sz w:val="14"/>
          <w:szCs w:val="14"/>
          <w:color w:val="252525"/>
        </w:rPr>
        <w:t>Restricted stock or restricted stock units.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69"/>
        </w:numPr>
        <w:rPr>
          <w:rFonts w:ascii="Arial" w:cs="Arial" w:eastAsia="Arial" w:hAnsi="Arial"/>
          <w:sz w:val="14"/>
          <w:szCs w:val="14"/>
          <w:color w:val="auto"/>
        </w:rPr>
      </w:pPr>
      <w:r>
        <w:rPr>
          <w:rFonts w:ascii="Arial" w:cs="Arial" w:eastAsia="Arial" w:hAnsi="Arial"/>
          <w:sz w:val="14"/>
          <w:szCs w:val="14"/>
          <w:color w:val="252525"/>
        </w:rPr>
        <w:t>Performance shares or performance units.</w:t>
      </w:r>
    </w:p>
    <w:p>
      <w:pPr>
        <w:sectPr>
          <w:pgSz w:w="11900" w:h="16838" w:orient="portrait"/>
          <w:cols w:equalWidth="0" w:num="1">
            <w:col w:w="11280"/>
          </w:cols>
          <w:pgMar w:left="300" w:top="1143" w:right="319" w:bottom="1440" w:gutter="0" w:footer="0" w:header="0"/>
        </w:sectPr>
      </w:pPr>
    </w:p>
    <w:bookmarkStart w:id="224" w:name="page225"/>
    <w:bookmarkEnd w:id="224"/>
    <w:p>
      <w:pPr>
        <w:ind w:left="520"/>
        <w:spacing w:after="0"/>
        <w:rPr>
          <w:sz w:val="20"/>
          <w:szCs w:val="20"/>
          <w:color w:val="auto"/>
        </w:rPr>
      </w:pPr>
      <w:r>
        <w:rPr>
          <w:rFonts w:ascii="Arial" w:cs="Arial" w:eastAsia="Arial" w:hAnsi="Arial"/>
          <w:sz w:val="14"/>
          <w:szCs w:val="14"/>
          <w:color w:val="252525"/>
        </w:rPr>
        <w:t>For purposes of this Policy, Financial Reporting Measures may include, among other things, any of the following:</w:t>
      </w:r>
    </w:p>
    <w:p>
      <w:pPr>
        <w:spacing w:after="0" w:line="125" w:lineRule="exact"/>
        <w:rPr>
          <w:sz w:val="20"/>
          <w:szCs w:val="20"/>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Company stock price.</w:t>
      </w:r>
    </w:p>
    <w:p>
      <w:pPr>
        <w:spacing w:after="0" w:line="114"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Total shareholder return.</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Revenues.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Net income.</w:t>
      </w:r>
    </w:p>
    <w:p>
      <w:pPr>
        <w:spacing w:after="0" w:line="114"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Earnings before interest, taxes, depreciation, and amortization (EBITDA).</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Funds from operations.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Liquidity measures such as working capital or operating cash flow.</w:t>
      </w:r>
    </w:p>
    <w:p>
      <w:pPr>
        <w:spacing w:after="0" w:line="114"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Return measures such as return on invested capital or return on assets.</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1"/>
          <w:numId w:val="70"/>
        </w:numPr>
        <w:rPr>
          <w:rFonts w:ascii="Arial" w:cs="Arial" w:eastAsia="Arial" w:hAnsi="Arial"/>
          <w:sz w:val="14"/>
          <w:szCs w:val="14"/>
          <w:color w:val="auto"/>
        </w:rPr>
      </w:pPr>
      <w:r>
        <w:rPr>
          <w:rFonts w:ascii="Arial" w:cs="Arial" w:eastAsia="Arial" w:hAnsi="Arial"/>
          <w:sz w:val="14"/>
          <w:szCs w:val="14"/>
          <w:color w:val="252525"/>
        </w:rPr>
        <w:t>Earnings measures such as earnings per share.</w:t>
      </w:r>
    </w:p>
    <w:p>
      <w:pPr>
        <w:spacing w:after="0" w:line="1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auto"/>
        </w:rPr>
        <w:t xml:space="preserve">V.  </w:t>
      </w:r>
      <w:r>
        <w:rPr>
          <w:rFonts w:ascii="Arial" w:cs="Arial" w:eastAsia="Arial" w:hAnsi="Arial"/>
          <w:sz w:val="14"/>
          <w:szCs w:val="14"/>
          <w:b w:val="1"/>
          <w:bCs w:val="1"/>
          <w:u w:val="single" w:color="auto"/>
          <w:color w:val="auto"/>
        </w:rPr>
        <w:t>Recoupment; Accounting Restatement</w:t>
      </w:r>
    </w:p>
    <w:p>
      <w:pPr>
        <w:spacing w:after="0" w:line="119"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2"/>
          <w:szCs w:val="12"/>
          <w:color w:val="252525"/>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Arial" w:cs="Arial" w:eastAsia="Arial" w:hAnsi="Arial"/>
          <w:sz w:val="12"/>
          <w:szCs w:val="12"/>
          <w:b w:val="1"/>
          <w:bCs w:val="1"/>
          <w:color w:val="252525"/>
        </w:rPr>
        <w:t>Look-Back Period</w:t>
      </w:r>
      <w:r>
        <w:rPr>
          <w:rFonts w:ascii="Arial" w:cs="Arial" w:eastAsia="Arial" w:hAnsi="Arial"/>
          <w:sz w:val="12"/>
          <w:szCs w:val="12"/>
          <w:color w:val="252525"/>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w:t>
      </w:r>
    </w:p>
    <w:p>
      <w:pPr>
        <w:spacing w:after="0" w:line="6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252525"/>
        </w:rPr>
        <w:t>Recovery of the Incentive-Based Compensation is only required when the excess award is received by a Covered Executive (i) after the beginning of their service as a Covered Executive and (ii) when that Covered Executive served in such covered position during the Lookback Period.</w:t>
      </w:r>
    </w:p>
    <w:p>
      <w:pPr>
        <w:spacing w:after="0" w:line="7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VI.</w:t>
      </w:r>
      <w:r>
        <w:rPr>
          <w:sz w:val="20"/>
          <w:szCs w:val="20"/>
          <w:color w:val="auto"/>
        </w:rPr>
        <w:tab/>
      </w:r>
      <w:r>
        <w:rPr>
          <w:rFonts w:ascii="Arial" w:cs="Arial" w:eastAsia="Arial" w:hAnsi="Arial"/>
          <w:sz w:val="12"/>
          <w:szCs w:val="12"/>
          <w:b w:val="1"/>
          <w:bCs w:val="1"/>
          <w:u w:val="single" w:color="auto"/>
          <w:color w:val="auto"/>
        </w:rPr>
        <w:t>Excess Incentive Compensation: Amount Subject to Recovery</w:t>
      </w:r>
    </w:p>
    <w:p>
      <w:pPr>
        <w:spacing w:after="0" w:line="119"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252525"/>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spacing w:after="0" w:line="5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252525"/>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spacing w:after="0" w:line="9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252525"/>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sectPr>
          <w:pgSz w:w="11900" w:h="16838" w:orient="portrait"/>
          <w:cols w:equalWidth="0" w:num="1">
            <w:col w:w="11280"/>
          </w:cols>
          <w:pgMar w:left="300" w:top="1147" w:right="319" w:bottom="1440" w:gutter="0" w:footer="0" w:header="0"/>
        </w:sectPr>
      </w:pPr>
    </w:p>
    <w:bookmarkStart w:id="225" w:name="page226"/>
    <w:bookmarkEnd w:id="225"/>
    <w:p>
      <w:pPr>
        <w:jc w:val="both"/>
        <w:ind w:firstLine="509"/>
        <w:spacing w:after="0" w:line="267" w:lineRule="auto"/>
        <w:rPr>
          <w:sz w:val="20"/>
          <w:szCs w:val="20"/>
          <w:color w:val="auto"/>
        </w:rPr>
      </w:pPr>
      <w:r>
        <w:rPr>
          <w:rFonts w:ascii="Arial" w:cs="Arial" w:eastAsia="Arial" w:hAnsi="Arial"/>
          <w:sz w:val="14"/>
          <w:szCs w:val="14"/>
          <w:color w:val="252525"/>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spacing w:after="0" w:line="8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VII.</w:t>
      </w:r>
      <w:r>
        <w:rPr>
          <w:sz w:val="20"/>
          <w:szCs w:val="20"/>
          <w:color w:val="auto"/>
        </w:rPr>
        <w:tab/>
      </w:r>
      <w:r>
        <w:rPr>
          <w:rFonts w:ascii="Arial" w:cs="Arial" w:eastAsia="Arial" w:hAnsi="Arial"/>
          <w:sz w:val="12"/>
          <w:szCs w:val="12"/>
          <w:b w:val="1"/>
          <w:bCs w:val="1"/>
          <w:u w:val="single" w:color="auto"/>
          <w:color w:val="auto"/>
        </w:rPr>
        <w:t>Method of Recoupment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252525"/>
        </w:rPr>
        <w:t>The Board will determine, in its sole discretion, subject to applicable law, the method for recouping Incentive Compensation hereunder, which may include, without limitation:</w:t>
      </w:r>
    </w:p>
    <w:p>
      <w:pPr>
        <w:spacing w:after="0" w:line="125" w:lineRule="exact"/>
        <w:rPr>
          <w:sz w:val="20"/>
          <w:szCs w:val="20"/>
          <w:color w:val="auto"/>
        </w:rPr>
      </w:pPr>
    </w:p>
    <w:p>
      <w:pPr>
        <w:ind w:left="1520" w:hanging="497"/>
        <w:spacing w:after="0"/>
        <w:tabs>
          <w:tab w:leader="none" w:pos="1520" w:val="left"/>
        </w:tabs>
        <w:numPr>
          <w:ilvl w:val="0"/>
          <w:numId w:val="71"/>
        </w:numPr>
        <w:rPr>
          <w:rFonts w:ascii="Arial" w:cs="Arial" w:eastAsia="Arial" w:hAnsi="Arial"/>
          <w:sz w:val="14"/>
          <w:szCs w:val="14"/>
          <w:color w:val="auto"/>
        </w:rPr>
      </w:pPr>
      <w:r>
        <w:rPr>
          <w:rFonts w:ascii="Arial" w:cs="Arial" w:eastAsia="Arial" w:hAnsi="Arial"/>
          <w:sz w:val="14"/>
          <w:szCs w:val="14"/>
          <w:color w:val="252525"/>
        </w:rPr>
        <w:t>requiring reimbursement of cash Incentive-Based Compensation previously paid;</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71"/>
        </w:numPr>
        <w:rPr>
          <w:rFonts w:ascii="Arial" w:cs="Arial" w:eastAsia="Arial" w:hAnsi="Arial"/>
          <w:sz w:val="14"/>
          <w:szCs w:val="14"/>
          <w:color w:val="auto"/>
        </w:rPr>
      </w:pPr>
      <w:r>
        <w:rPr>
          <w:rFonts w:ascii="Arial" w:cs="Arial" w:eastAsia="Arial" w:hAnsi="Arial"/>
          <w:sz w:val="14"/>
          <w:szCs w:val="14"/>
          <w:color w:val="252525"/>
        </w:rPr>
        <w:t>seeking recovery of any gain realized on the vesting, exercise, settlement, sale, transfer, or other disposition of any equity-based awards;</w:t>
      </w:r>
    </w:p>
    <w:p>
      <w:pPr>
        <w:spacing w:after="0" w:line="114" w:lineRule="exact"/>
        <w:rPr>
          <w:rFonts w:ascii="Arial" w:cs="Arial" w:eastAsia="Arial" w:hAnsi="Arial"/>
          <w:sz w:val="14"/>
          <w:szCs w:val="14"/>
          <w:color w:val="auto"/>
        </w:rPr>
      </w:pPr>
    </w:p>
    <w:p>
      <w:pPr>
        <w:ind w:left="1520" w:hanging="497"/>
        <w:spacing w:after="0"/>
        <w:tabs>
          <w:tab w:leader="none" w:pos="1520" w:val="left"/>
        </w:tabs>
        <w:numPr>
          <w:ilvl w:val="0"/>
          <w:numId w:val="71"/>
        </w:numPr>
        <w:rPr>
          <w:rFonts w:ascii="Arial" w:cs="Arial" w:eastAsia="Arial" w:hAnsi="Arial"/>
          <w:sz w:val="14"/>
          <w:szCs w:val="14"/>
          <w:color w:val="auto"/>
        </w:rPr>
      </w:pPr>
      <w:r>
        <w:rPr>
          <w:rFonts w:ascii="Arial" w:cs="Arial" w:eastAsia="Arial" w:hAnsi="Arial"/>
          <w:sz w:val="14"/>
          <w:szCs w:val="14"/>
          <w:color w:val="252525"/>
        </w:rPr>
        <w:t>offsetting the recouped amount from any compensation otherwise owed by the Company to the Covered Executive;</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71"/>
        </w:numPr>
        <w:rPr>
          <w:rFonts w:ascii="Arial" w:cs="Arial" w:eastAsia="Arial" w:hAnsi="Arial"/>
          <w:sz w:val="14"/>
          <w:szCs w:val="14"/>
          <w:color w:val="auto"/>
        </w:rPr>
      </w:pPr>
      <w:r>
        <w:rPr>
          <w:rFonts w:ascii="Arial" w:cs="Arial" w:eastAsia="Arial" w:hAnsi="Arial"/>
          <w:sz w:val="14"/>
          <w:szCs w:val="14"/>
          <w:color w:val="252525"/>
        </w:rPr>
        <w:t>cancelling outstanding vested or unvested equity awards; and/or</w:t>
      </w:r>
    </w:p>
    <w:p>
      <w:pPr>
        <w:spacing w:after="0" w:line="125" w:lineRule="exact"/>
        <w:rPr>
          <w:rFonts w:ascii="Arial" w:cs="Arial" w:eastAsia="Arial" w:hAnsi="Arial"/>
          <w:sz w:val="14"/>
          <w:szCs w:val="14"/>
          <w:color w:val="auto"/>
        </w:rPr>
      </w:pPr>
    </w:p>
    <w:p>
      <w:pPr>
        <w:ind w:left="1520" w:hanging="497"/>
        <w:spacing w:after="0"/>
        <w:tabs>
          <w:tab w:leader="none" w:pos="1520" w:val="left"/>
        </w:tabs>
        <w:numPr>
          <w:ilvl w:val="0"/>
          <w:numId w:val="71"/>
        </w:numPr>
        <w:rPr>
          <w:rFonts w:ascii="Arial" w:cs="Arial" w:eastAsia="Arial" w:hAnsi="Arial"/>
          <w:sz w:val="14"/>
          <w:szCs w:val="14"/>
          <w:color w:val="auto"/>
        </w:rPr>
      </w:pPr>
      <w:r>
        <w:rPr>
          <w:rFonts w:ascii="Arial" w:cs="Arial" w:eastAsia="Arial" w:hAnsi="Arial"/>
          <w:sz w:val="14"/>
          <w:szCs w:val="14"/>
          <w:color w:val="252525"/>
        </w:rPr>
        <w:t>taking any other remedial and recovery action permitted by law, as determined by the Board.</w:t>
      </w:r>
    </w:p>
    <w:p>
      <w:pPr>
        <w:spacing w:after="0" w:line="111"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auto"/>
        </w:rPr>
        <w:t>VIII.</w:t>
      </w:r>
      <w:r>
        <w:rPr>
          <w:sz w:val="20"/>
          <w:szCs w:val="20"/>
          <w:color w:val="auto"/>
        </w:rPr>
        <w:tab/>
      </w:r>
      <w:r>
        <w:rPr>
          <w:rFonts w:ascii="Arial" w:cs="Arial" w:eastAsia="Arial" w:hAnsi="Arial"/>
          <w:sz w:val="12"/>
          <w:szCs w:val="12"/>
          <w:b w:val="1"/>
          <w:bCs w:val="1"/>
          <w:u w:val="single" w:color="auto"/>
          <w:color w:val="auto"/>
        </w:rPr>
        <w:t>No Indemnification; Successors</w:t>
      </w:r>
    </w:p>
    <w:p>
      <w:pPr>
        <w:spacing w:after="0" w:line="12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252525"/>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spacing w:after="0" w:line="7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IX.</w:t>
      </w:r>
      <w:r>
        <w:rPr>
          <w:sz w:val="20"/>
          <w:szCs w:val="20"/>
          <w:color w:val="auto"/>
        </w:rPr>
        <w:tab/>
      </w:r>
      <w:r>
        <w:rPr>
          <w:rFonts w:ascii="Arial" w:cs="Arial" w:eastAsia="Arial" w:hAnsi="Arial"/>
          <w:sz w:val="12"/>
          <w:szCs w:val="12"/>
          <w:b w:val="1"/>
          <w:bCs w:val="1"/>
          <w:u w:val="single" w:color="auto"/>
          <w:color w:val="auto"/>
        </w:rPr>
        <w:t>Exception to Enforcement</w:t>
      </w:r>
    </w:p>
    <w:p>
      <w:pPr>
        <w:spacing w:after="0" w:line="11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252525"/>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spacing w:after="0" w:line="85" w:lineRule="exact"/>
        <w:rPr>
          <w:sz w:val="20"/>
          <w:szCs w:val="20"/>
          <w:color w:val="auto"/>
        </w:rPr>
      </w:pPr>
    </w:p>
    <w:p>
      <w:pPr>
        <w:ind w:left="280" w:hanging="275"/>
        <w:spacing w:after="0"/>
        <w:tabs>
          <w:tab w:leader="none" w:pos="2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Interpretation</w:t>
      </w:r>
    </w:p>
    <w:p>
      <w:pPr>
        <w:spacing w:after="0" w:line="12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252525"/>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spacing w:after="0" w:line="7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XI.</w:t>
      </w:r>
      <w:r>
        <w:rPr>
          <w:sz w:val="20"/>
          <w:szCs w:val="20"/>
          <w:color w:val="auto"/>
        </w:rPr>
        <w:tab/>
      </w:r>
      <w:r>
        <w:rPr>
          <w:rFonts w:ascii="Arial" w:cs="Arial" w:eastAsia="Arial" w:hAnsi="Arial"/>
          <w:sz w:val="12"/>
          <w:szCs w:val="12"/>
          <w:b w:val="1"/>
          <w:bCs w:val="1"/>
          <w:u w:val="single" w:color="auto"/>
          <w:color w:val="auto"/>
        </w:rPr>
        <w:t>Effective Date</w:t>
      </w:r>
    </w:p>
    <w:p>
      <w:pPr>
        <w:spacing w:after="0" w:line="12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4"/>
          <w:szCs w:val="14"/>
          <w:color w:val="252525"/>
        </w:rPr>
        <w:t>This Policy shall be effective as of the date it is adopted by the Board (the “</w:t>
      </w:r>
      <w:r>
        <w:rPr>
          <w:rFonts w:ascii="Arial" w:cs="Arial" w:eastAsia="Arial" w:hAnsi="Arial"/>
          <w:sz w:val="14"/>
          <w:szCs w:val="14"/>
          <w:b w:val="1"/>
          <w:bCs w:val="1"/>
          <w:color w:val="252525"/>
        </w:rPr>
        <w:t>Effective Date</w:t>
      </w:r>
      <w:r>
        <w:rPr>
          <w:rFonts w:ascii="Arial" w:cs="Arial" w:eastAsia="Arial" w:hAnsi="Arial"/>
          <w:sz w:val="14"/>
          <w:szCs w:val="14"/>
          <w:color w:val="252525"/>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spacing w:after="0" w:line="83"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XII.</w:t>
      </w:r>
      <w:r>
        <w:rPr>
          <w:sz w:val="20"/>
          <w:szCs w:val="20"/>
          <w:color w:val="auto"/>
        </w:rPr>
        <w:tab/>
      </w:r>
      <w:r>
        <w:rPr>
          <w:rFonts w:ascii="Arial" w:cs="Arial" w:eastAsia="Arial" w:hAnsi="Arial"/>
          <w:sz w:val="13"/>
          <w:szCs w:val="13"/>
          <w:b w:val="1"/>
          <w:bCs w:val="1"/>
          <w:u w:val="single" w:color="auto"/>
          <w:color w:val="auto"/>
        </w:rPr>
        <w:t>Amendment; Termination</w:t>
      </w:r>
    </w:p>
    <w:p>
      <w:pPr>
        <w:spacing w:after="0" w:line="119"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252525"/>
        </w:rPr>
        <w:t>The Board may amend this Policy from time to time in its discretion and shall amend this Policy as it deems necessary to comply with any rules or standards adopted by the SEC and the listing standards of any a national securities exchange on which the Company’s securities are listed. The Board may terminate this Policy at any time.</w:t>
      </w:r>
    </w:p>
    <w:p>
      <w:pPr>
        <w:sectPr>
          <w:pgSz w:w="11900" w:h="16838" w:orient="portrait"/>
          <w:cols w:equalWidth="0" w:num="1">
            <w:col w:w="11280"/>
          </w:cols>
          <w:pgMar w:left="300" w:top="1147" w:right="319" w:bottom="1440" w:gutter="0" w:footer="0" w:header="0"/>
        </w:sectPr>
      </w:pPr>
    </w:p>
    <w:bookmarkStart w:id="226" w:name="page227"/>
    <w:bookmarkEnd w:id="226"/>
    <w:p>
      <w:pPr>
        <w:spacing w:after="0"/>
        <w:tabs>
          <w:tab w:leader="none" w:pos="420" w:val="left"/>
        </w:tabs>
        <w:rPr>
          <w:sz w:val="20"/>
          <w:szCs w:val="20"/>
          <w:color w:val="auto"/>
        </w:rPr>
      </w:pPr>
      <w:r>
        <w:rPr>
          <w:rFonts w:ascii="Arial" w:cs="Arial" w:eastAsia="Arial" w:hAnsi="Arial"/>
          <w:sz w:val="14"/>
          <w:szCs w:val="14"/>
          <w:b w:val="1"/>
          <w:bCs w:val="1"/>
          <w:color w:val="auto"/>
        </w:rPr>
        <w:t>XIII.</w:t>
      </w:r>
      <w:r>
        <w:rPr>
          <w:sz w:val="20"/>
          <w:szCs w:val="20"/>
          <w:color w:val="auto"/>
        </w:rPr>
        <w:tab/>
      </w:r>
      <w:r>
        <w:rPr>
          <w:rFonts w:ascii="Arial" w:cs="Arial" w:eastAsia="Arial" w:hAnsi="Arial"/>
          <w:sz w:val="12"/>
          <w:szCs w:val="12"/>
          <w:b w:val="1"/>
          <w:bCs w:val="1"/>
          <w:u w:val="single" w:color="auto"/>
          <w:color w:val="auto"/>
        </w:rPr>
        <w:t>Other Recoupment Rights</w:t>
      </w:r>
    </w:p>
    <w:p>
      <w:pPr>
        <w:spacing w:after="0" w:line="129"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252525"/>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180"/>
          </w:cols>
          <w:pgMar w:left="300" w:top="1143" w:right="4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4"/>
          <w:szCs w:val="14"/>
          <w:b w:val="1"/>
          <w:bCs w:val="1"/>
          <w:u w:val="single" w:color="auto"/>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257810</wp:posOffset>
            </wp:positionV>
            <wp:extent cx="1684020" cy="5727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168402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CODE OF ETHICS FOR SENIOR FINANCIAL OFFICERS</w:t>
      </w:r>
    </w:p>
    <w:p>
      <w:pPr>
        <w:spacing w:after="0" w:line="253"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I.</w:t>
      </w:r>
      <w:r>
        <w:rPr>
          <w:sz w:val="20"/>
          <w:szCs w:val="20"/>
          <w:color w:val="auto"/>
        </w:rPr>
        <w:tab/>
      </w:r>
      <w:r>
        <w:rPr>
          <w:rFonts w:ascii="Arial" w:cs="Arial" w:eastAsia="Arial" w:hAnsi="Arial"/>
          <w:sz w:val="13"/>
          <w:szCs w:val="13"/>
          <w:b w:val="1"/>
          <w:bCs w:val="1"/>
          <w:color w:val="auto"/>
        </w:rPr>
        <w:t>PURPOSE</w:t>
      </w:r>
    </w:p>
    <w:p>
      <w:pPr>
        <w:spacing w:after="0" w:line="129"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The Board of Directors (the “Board”) of Lisata Therapeutics, Inc. (the “Company”) has adopted the following Code of Ethics (the “Code”) to apply to the Company’s Chief Executive Officer, Chief Financial Officer, Chief Accounting Officer or Controller, and any persons performing similar functions (collectively, the “Senior Financial Officers”). This Code is intended to:</w:t>
      </w:r>
    </w:p>
    <w:p>
      <w:pPr>
        <w:spacing w:after="0" w:line="56" w:lineRule="exact"/>
        <w:rPr>
          <w:sz w:val="20"/>
          <w:szCs w:val="20"/>
          <w:color w:val="auto"/>
        </w:rPr>
      </w:pP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promote honest and ethical conduct, including the ethical handling of actual or apparent conflicts of interest between personal and professional relationships;</w:t>
      </w:r>
    </w:p>
    <w:p>
      <w:pPr>
        <w:spacing w:after="0" w:line="11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promote the full, fair, accurate, timely and understandable disclosure in reports and documents that the Company files with, or submits to, the Securities and Exchange Commission, as well as in other public communications made by or on behalf of the Company;</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promote compliance with applicable governmental laws, rules and regulations;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deter wrongdoing;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require prompt internal reporting of breaches of, and accountability for adherence to, this Code.</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No code or policy can anticipate every situation that may arise. Accordingly, this Code is intended to serve as a source of guiding principles. Senior Financial Officers are encouraged to bring questions about particular circumstances that may involve one or more of the provisions of this Code to the attention of the Audit Committee of the Board (the “Committee”), which Committee may consult with inside or outside legal counsel, as appropriate.</w:t>
      </w:r>
    </w:p>
    <w:p>
      <w:pPr>
        <w:spacing w:after="0" w:line="85" w:lineRule="exact"/>
        <w:rPr>
          <w:sz w:val="20"/>
          <w:szCs w:val="20"/>
          <w:color w:val="auto"/>
        </w:rPr>
      </w:pPr>
    </w:p>
    <w:p>
      <w:pPr>
        <w:ind w:left="300" w:hanging="295"/>
        <w:spacing w:after="0"/>
        <w:tabs>
          <w:tab w:leader="none" w:pos="30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INTRODUCTION</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Each Senior Financial Officer is expected to adhere to a high standard of ethical conduct. The good name of the Company depends on the way Senior Financial Officers conduct business and the way the public perceives that conduct. Unethical actions, or the appearance of unethical actions, are not acceptable. Senior Financial Officers are expected to be guided by the following principles in carrying out their responsibilities:</w:t>
      </w:r>
    </w:p>
    <w:p>
      <w:pPr>
        <w:spacing w:after="0" w:line="89" w:lineRule="exact"/>
        <w:rPr>
          <w:sz w:val="20"/>
          <w:szCs w:val="20"/>
          <w:color w:val="auto"/>
        </w:rPr>
      </w:pPr>
    </w:p>
    <w:p>
      <w:pPr>
        <w:ind w:left="520" w:hanging="260"/>
        <w:spacing w:after="0"/>
        <w:tabs>
          <w:tab w:leader="none" w:pos="520" w:val="left"/>
        </w:tabs>
        <w:numPr>
          <w:ilvl w:val="1"/>
          <w:numId w:val="75"/>
        </w:numPr>
        <w:rPr>
          <w:rFonts w:ascii="Arial" w:cs="Arial" w:eastAsia="Arial" w:hAnsi="Arial"/>
          <w:sz w:val="14"/>
          <w:szCs w:val="14"/>
          <w:color w:val="auto"/>
        </w:rPr>
      </w:pPr>
      <w:r>
        <w:rPr>
          <w:rFonts w:ascii="Arial" w:cs="Arial" w:eastAsia="Arial" w:hAnsi="Arial"/>
          <w:sz w:val="14"/>
          <w:szCs w:val="14"/>
          <w:u w:val="single" w:color="auto"/>
          <w:color w:val="auto"/>
        </w:rPr>
        <w:t>Loyalty</w:t>
      </w:r>
      <w:r>
        <w:rPr>
          <w:rFonts w:ascii="Arial" w:cs="Arial" w:eastAsia="Arial" w:hAnsi="Arial"/>
          <w:sz w:val="14"/>
          <w:szCs w:val="14"/>
          <w:color w:val="auto"/>
        </w:rPr>
        <w:t>. Senior Financial Officers should not be, or appear to be, subject to influences, interests or relationships that conflict with the best interests of the Company.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1"/>
          <w:numId w:val="75"/>
        </w:numPr>
        <w:rPr>
          <w:rFonts w:ascii="Arial" w:cs="Arial" w:eastAsia="Arial" w:hAnsi="Arial"/>
          <w:sz w:val="14"/>
          <w:szCs w:val="14"/>
          <w:color w:val="auto"/>
        </w:rPr>
      </w:pPr>
      <w:r>
        <w:rPr>
          <w:rFonts w:ascii="Arial" w:cs="Arial" w:eastAsia="Arial" w:hAnsi="Arial"/>
          <w:sz w:val="14"/>
          <w:szCs w:val="14"/>
          <w:u w:val="single" w:color="auto"/>
          <w:color w:val="auto"/>
        </w:rPr>
        <w:t>Compliance with Applicable Laws</w:t>
      </w:r>
      <w:r>
        <w:rPr>
          <w:rFonts w:ascii="Arial" w:cs="Arial" w:eastAsia="Arial" w:hAnsi="Arial"/>
          <w:sz w:val="14"/>
          <w:szCs w:val="14"/>
          <w:color w:val="auto"/>
        </w:rPr>
        <w:t>. Senior Financial Officers are expected to comply with all laws, rules and regulations applicable to the Company’s activities.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1"/>
          <w:numId w:val="75"/>
        </w:numPr>
        <w:rPr>
          <w:rFonts w:ascii="Arial" w:cs="Arial" w:eastAsia="Arial" w:hAnsi="Arial"/>
          <w:sz w:val="13"/>
          <w:szCs w:val="13"/>
          <w:color w:val="auto"/>
        </w:rPr>
      </w:pPr>
      <w:r>
        <w:rPr>
          <w:rFonts w:ascii="Arial" w:cs="Arial" w:eastAsia="Arial" w:hAnsi="Arial"/>
          <w:sz w:val="13"/>
          <w:szCs w:val="13"/>
          <w:u w:val="single" w:color="auto"/>
          <w:color w:val="auto"/>
        </w:rPr>
        <w:t>Observance of Ethical Standards</w:t>
      </w:r>
      <w:r>
        <w:rPr>
          <w:rFonts w:ascii="Arial" w:cs="Arial" w:eastAsia="Arial" w:hAnsi="Arial"/>
          <w:sz w:val="13"/>
          <w:szCs w:val="13"/>
          <w:color w:val="auto"/>
        </w:rPr>
        <w:t>. Senior Financial Officers must adhere to high ethical standards in the conduct of their duties. These include the duties of honesty and fairness.</w:t>
      </w:r>
    </w:p>
    <w:p>
      <w:pPr>
        <w:spacing w:after="0" w:line="1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b w:val="1"/>
          <w:bCs w:val="1"/>
          <w:color w:val="auto"/>
        </w:rPr>
        <w:t>III.  GENERAL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Each of the Senior Financial Officers is expected to be honest, fair, and accountable in all business dealings and obligations, and to ensure:</w:t>
      </w:r>
    </w:p>
    <w:p>
      <w:pPr>
        <w:sectPr>
          <w:pgSz w:w="11900" w:h="16838" w:orient="portrait"/>
          <w:cols w:equalWidth="0" w:num="1">
            <w:col w:w="11280"/>
          </w:cols>
          <w:pgMar w:left="300" w:top="1143" w:right="319" w:bottom="1440" w:gutter="0" w:footer="0" w:header="0"/>
        </w:sectPr>
      </w:pPr>
    </w:p>
    <w:bookmarkStart w:id="228" w:name="page229"/>
    <w:bookmarkEnd w:id="228"/>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ethical handling of conflicts of interest between personal and professional relationships;</w:t>
      </w:r>
    </w:p>
    <w:p>
      <w:pPr>
        <w:spacing w:after="0" w:line="121" w:lineRule="exact"/>
        <w:rPr>
          <w:rFonts w:ascii="Arial" w:cs="Arial" w:eastAsia="Arial" w:hAnsi="Arial"/>
          <w:sz w:val="14"/>
          <w:szCs w:val="14"/>
          <w:color w:val="auto"/>
        </w:rPr>
      </w:pPr>
    </w:p>
    <w:p>
      <w:pPr>
        <w:ind w:left="520" w:hanging="260"/>
        <w:spacing w:after="0" w:line="287" w:lineRule="auto"/>
        <w:tabs>
          <w:tab w:leader="none" w:pos="516" w:val="left"/>
        </w:tabs>
        <w:numPr>
          <w:ilvl w:val="0"/>
          <w:numId w:val="76"/>
        </w:numPr>
        <w:rPr>
          <w:rFonts w:ascii="Arial" w:cs="Arial" w:eastAsia="Arial" w:hAnsi="Arial"/>
          <w:sz w:val="14"/>
          <w:szCs w:val="14"/>
          <w:color w:val="auto"/>
        </w:rPr>
      </w:pPr>
      <w:r>
        <w:rPr>
          <w:rFonts w:ascii="Arial" w:cs="Arial" w:eastAsia="Arial" w:hAnsi="Arial"/>
          <w:sz w:val="14"/>
          <w:szCs w:val="14"/>
          <w:color w:val="auto"/>
        </w:rPr>
        <w:t>full, fair, accurate, timely and understandable disclosure in the reports required to be filed by the Company with the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and in other public communications made by the Company; and</w:t>
      </w:r>
    </w:p>
    <w:p>
      <w:pPr>
        <w:spacing w:after="0" w:line="64" w:lineRule="exact"/>
        <w:rPr>
          <w:rFonts w:ascii="Arial" w:cs="Arial" w:eastAsia="Arial" w:hAnsi="Arial"/>
          <w:sz w:val="14"/>
          <w:szCs w:val="14"/>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compliance with applicable governmental laws, rules and regulations.</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IV.</w:t>
        <w:tab/>
        <w:t>DUTY TO REPORT VIOLATIONS</w:t>
      </w:r>
    </w:p>
    <w:p>
      <w:pPr>
        <w:spacing w:after="0" w:line="12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You are responsible for reporting in good faith to the Company any circumstances that you believe may constitute a violation of this Code. Senior Financial Officers should communicate any suspected violations of this Code promptly to the Chairman of the Committee. The Committee Chair will then inform the other independent directors of the Committee and they will collectively determine whether a violation has occurred, according to the standards outlined above, hold a formal meeting, if required, to question the officer, employee or director reported, and if necessary recommend a disciplinary remedy or termination of employment or notify the appropriate legal authorities. Reports may be made to the Company’s secure hotline at (646) 606-2191. The Company’s Whistleblower Policy provides details for reporting illegal or unethical conduct. Only the Committee may grant waivers of this policy.</w:t>
      </w:r>
    </w:p>
    <w:p>
      <w:pPr>
        <w:spacing w:after="0" w:line="6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V.</w:t>
        <w:tab/>
        <w:t>INTEGRITY OF RECORDS AND FINANCIAL REPORTING</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Senior Financial Officers are responsible for the accurate and reliable preparation and maintenance of the Company’s financial records. Accurate and reliable preparation of financial records is of critical importance to proper management decisions and the fulfillment of the Company’s financial, legal and reporting obligations. Diligence in accurately preparing and maintaining the Company’s records allows the Company to fulfill its reporting obligations and to provide stockholders, governmental authorities and the general public with full, fair, accurate, timely and understandable disclosure.</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Senior Financial Officers are responsible for establishing and maintaining adequate disclosure controls and procedures, and internal controls and procedures, including procedures that are designed to enable the Company to: (a) accurately document and account for transactions on the books and records of the Company; and (b) maintain reports, vouchers, bills, invoices, payroll and service records, business measurement and performance records and other essential data with care and honesty.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Senior Financial Officers shall immediately bring to the attention of the Committee any information they may have concerning:</w:t>
      </w:r>
    </w:p>
    <w:p>
      <w:pPr>
        <w:spacing w:after="0" w:line="125" w:lineRule="exact"/>
        <w:rPr>
          <w:sz w:val="20"/>
          <w:szCs w:val="20"/>
          <w:color w:val="auto"/>
        </w:rPr>
      </w:pPr>
    </w:p>
    <w:p>
      <w:pPr>
        <w:ind w:left="520" w:hanging="260"/>
        <w:spacing w:after="0" w:line="28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Defects, deficiencies, or discrepancies related to the design or operation of internal controls which may affect the Company’s ability to accurately record, process, summarize, report and disclose its financial data; or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roles in the Company’s financial reporting, disclosures or internal controls.</w:t>
      </w:r>
    </w:p>
    <w:p>
      <w:pPr>
        <w:spacing w:after="0" w:line="115"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Company maintains (a) a system of internal controls to provide reasonable assurance that transactions are executed in accordance with management’s authorization, are properly recorded and posted and are in compliance with regulatory requirements and (b) disclosure controls and procedures to ensure that all of the information required to be disclosed by the Company in the reports that it files or submits under the Securities Exchange Act of 1934, as amended, is recorded, processed, summarized and reported within the time periods specified by the SEC’s rules and forms.</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Senior Financial Officers are expected to be familiar with, and to adhere strictly to, these internal controls and disclosure controls and procedures. </w:t>
      </w:r>
      <w:r>
        <w:rPr>
          <w:rFonts w:ascii="Arial" w:cs="Arial" w:eastAsia="Arial" w:hAnsi="Arial"/>
          <w:sz w:val="14"/>
          <w:szCs w:val="14"/>
          <w:b w:val="1"/>
          <w:bCs w:val="1"/>
          <w:color w:val="auto"/>
        </w:rPr>
        <w:t>Because the integrity of the Company’s external</w:t>
      </w:r>
      <w:r>
        <w:rPr>
          <w:rFonts w:ascii="Arial" w:cs="Arial" w:eastAsia="Arial" w:hAnsi="Arial"/>
          <w:sz w:val="14"/>
          <w:szCs w:val="14"/>
          <w:color w:val="auto"/>
        </w:rPr>
        <w:t xml:space="preserve"> </w:t>
      </w:r>
      <w:r>
        <w:rPr>
          <w:rFonts w:ascii="Arial" w:cs="Arial" w:eastAsia="Arial" w:hAnsi="Arial"/>
          <w:sz w:val="14"/>
          <w:szCs w:val="14"/>
          <w:b w:val="1"/>
          <w:bCs w:val="1"/>
          <w:color w:val="auto"/>
        </w:rPr>
        <w:t>reports to stockholders and the SEC depends on the integrity of the Company’s internal reports and recordkeeping, Senior Financial Officers must adhere to the highest standards of care with respect to the Company’s internal records and reporting. The Company is committed to full, fair, accurate, timely, and understandable disclosure in its periodic reports required to be filed with the SEC.</w:t>
      </w:r>
    </w:p>
    <w:p>
      <w:pPr>
        <w:sectPr>
          <w:pgSz w:w="11900" w:h="16838" w:orient="portrait"/>
          <w:cols w:equalWidth="0" w:num="1">
            <w:col w:w="11280"/>
          </w:cols>
          <w:pgMar w:left="300" w:top="1147" w:right="319" w:bottom="1440" w:gutter="0" w:footer="0" w:header="0"/>
        </w:sectPr>
      </w:pPr>
    </w:p>
    <w:bookmarkStart w:id="229" w:name="page230"/>
    <w:bookmarkEnd w:id="229"/>
    <w:p>
      <w:pPr>
        <w:spacing w:after="0"/>
        <w:tabs>
          <w:tab w:leader="none" w:pos="320" w:val="left"/>
        </w:tabs>
        <w:rPr>
          <w:sz w:val="20"/>
          <w:szCs w:val="20"/>
          <w:color w:val="auto"/>
        </w:rPr>
      </w:pPr>
      <w:r>
        <w:rPr>
          <w:rFonts w:ascii="Arial" w:cs="Arial" w:eastAsia="Arial" w:hAnsi="Arial"/>
          <w:sz w:val="14"/>
          <w:szCs w:val="14"/>
          <w:b w:val="1"/>
          <w:bCs w:val="1"/>
          <w:color w:val="auto"/>
        </w:rPr>
        <w:t>VI.</w:t>
        <w:tab/>
        <w:t>CONFLICT OF INTEREST</w:t>
      </w:r>
    </w:p>
    <w:p>
      <w:pPr>
        <w:spacing w:after="0" w:line="12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Senior Financial Officers must avoid any conflicts of interest between themselves and the Company. Any situation that involves, or may involve, a conflict of interest with the Company should be disclosed promptly to the Committee, which may consult with inside or outside legal counsel, as appropriate.</w:t>
      </w:r>
    </w:p>
    <w:p>
      <w:pPr>
        <w:spacing w:after="0" w:line="6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 “conflict of interest” can occur when an individual’s personal interest is adverse to, or may appear to be adverse to, the interests of the Company as a whole. Conflicts of interest also arise when an individual, or a member of his or her family, receives improper personal benefits as a result of his or her position with the Company.</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This Code does not attempt to describe all possible conflicts of interest which could develop. Some of the more common conflicts from which Senior Financial Officers must refrain, however, are set forth below:</w:t>
      </w:r>
    </w:p>
    <w:p>
      <w:pPr>
        <w:spacing w:after="0" w:line="79" w:lineRule="exact"/>
        <w:rPr>
          <w:sz w:val="20"/>
          <w:szCs w:val="20"/>
          <w:color w:val="auto"/>
        </w:rPr>
      </w:pPr>
    </w:p>
    <w:p>
      <w:pPr>
        <w:ind w:left="520" w:hanging="260"/>
        <w:spacing w:after="0" w:line="281" w:lineRule="auto"/>
        <w:tabs>
          <w:tab w:leader="none" w:pos="516"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Improper conduct and activities</w:t>
      </w:r>
      <w:r>
        <w:rPr>
          <w:rFonts w:ascii="Arial" w:cs="Arial" w:eastAsia="Arial" w:hAnsi="Arial"/>
          <w:sz w:val="14"/>
          <w:szCs w:val="14"/>
          <w:color w:val="auto"/>
        </w:rPr>
        <w:t>. Senior Financial Officers may not engage in any conduct or activities that are inconsistent with the Company’s best interests or that disrupt or impair the Company’s relationship with any person or entity with which the Company has, or proposes to enter into, a business or contractual relationship.</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Compensation from non-Company Sources</w:t>
      </w:r>
      <w:r>
        <w:rPr>
          <w:rFonts w:ascii="Arial" w:cs="Arial" w:eastAsia="Arial" w:hAnsi="Arial"/>
          <w:sz w:val="13"/>
          <w:szCs w:val="13"/>
          <w:color w:val="auto"/>
        </w:rPr>
        <w:t>. Senior Financial Officers may not accept compensation for services performed for the Company from any source other than the Company.</w:t>
      </w:r>
    </w:p>
    <w:p>
      <w:pPr>
        <w:spacing w:after="0" w:line="13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Gifts</w:t>
      </w:r>
      <w:r>
        <w:rPr>
          <w:rFonts w:ascii="Arial" w:cs="Arial" w:eastAsia="Arial" w:hAnsi="Arial"/>
          <w:sz w:val="14"/>
          <w:szCs w:val="14"/>
          <w:color w:val="auto"/>
        </w:rPr>
        <w:t>. Senior Financial Officers and members of their immediate families may not accept gifts from persons or entities where any such gift is being made in order to influence their actions in their position with the Company, or where acceptance of the gifts could create the appearance of a conflict of interest.</w:t>
      </w:r>
    </w:p>
    <w:p>
      <w:pPr>
        <w:spacing w:after="0" w:line="7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Personal use of Company assets</w:t>
      </w:r>
      <w:r>
        <w:rPr>
          <w:rFonts w:ascii="Arial" w:cs="Arial" w:eastAsia="Arial" w:hAnsi="Arial"/>
          <w:sz w:val="14"/>
          <w:szCs w:val="14"/>
          <w:color w:val="auto"/>
        </w:rPr>
        <w:t>. Senior Financial Officers may not use Company assets, labor or information for personal use, other than incidental personal use, unless approved by the Committee or as part of a compensation or expense reimbursement program.</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Financial Interests in other Businesses</w:t>
      </w:r>
      <w:r>
        <w:rPr>
          <w:rFonts w:ascii="Arial" w:cs="Arial" w:eastAsia="Arial" w:hAnsi="Arial"/>
          <w:sz w:val="14"/>
          <w:szCs w:val="14"/>
          <w:color w:val="auto"/>
        </w:rPr>
        <w:t>. Senior Financial Officers should avoid having an ownership interest in any other enterprises, such as a customer, supplier or competitor, if that interest compromises the officer’s loyalty to the Company.</w:t>
      </w:r>
    </w:p>
    <w:p>
      <w:pPr>
        <w:spacing w:after="0" w:line="75"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VII.</w:t>
        <w:tab/>
        <w:t>CORPORATE OPPORTUNITIES</w:t>
      </w:r>
    </w:p>
    <w:p>
      <w:pPr>
        <w:spacing w:after="0" w:line="12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Senior Financial Officers are prohibited from: (a) taking for themselves personal opportunities related to the Company’s business without first presenting those opportunities to the Company and obtaining approval from the Board; (b) using the Company’s property, information, or position for personal gain; or (c) competing with the Company for business opportunities.</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auto"/>
        </w:rPr>
        <w:t>VIII.</w:t>
        <w:tab/>
        <w:t>CONFIDENTIALITY</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Senior Financial Officers should maintain the confidentiality of information entrusted to them by the Company and any other confidential information about the Company, its business or finances, customers or suppliers that comes to them, from whatever source, except when disclosure is authorized or legally mandated. For purposes of this Code, “confidential information” includes all non-public information relating to the Company, its business or finances, customers or suppliers.</w:t>
      </w:r>
    </w:p>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IX.</w:t>
        <w:tab/>
        <w:t>COMPLIANCE WITH LAWS, RULES AND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Senior Financial Officers shall comply with laws, rules and regulations applicable to the Company, including insider trading laws, and all other Company policies.</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X.</w:t>
        <w:tab/>
        <w:t>ENCOURAGING THE REPORTING OF ANY ILLEGAL OR UNETHICAL BEHAVIOR</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Senior Financial Officers must promote ethical behavior and create a culture of ethical compliance. Senior Financial Officers should foster an environment in which the Company: (a) encourages employees to talk to supervisors, managers and other appropriate personnel when in doubt about the best course of action in a particular situation; (b) encourages employees to report violations of laws, rules and regulations to appropriate personnel; and (c) informs</w:t>
      </w:r>
    </w:p>
    <w:p>
      <w:pPr>
        <w:sectPr>
          <w:pgSz w:w="11900" w:h="16838" w:orient="portrait"/>
          <w:cols w:equalWidth="0" w:num="1">
            <w:col w:w="11280"/>
          </w:cols>
          <w:pgMar w:left="300" w:top="1143" w:right="319" w:bottom="1440" w:gutter="0" w:footer="0" w:header="0"/>
        </w:sectPr>
      </w:pPr>
    </w:p>
    <w:bookmarkStart w:id="230" w:name="page231"/>
    <w:bookmarkEnd w:id="230"/>
    <w:p>
      <w:pPr>
        <w:spacing w:after="0"/>
        <w:rPr>
          <w:sz w:val="20"/>
          <w:szCs w:val="20"/>
          <w:color w:val="auto"/>
        </w:rPr>
      </w:pPr>
      <w:r>
        <w:rPr>
          <w:rFonts w:ascii="Arial" w:cs="Arial" w:eastAsia="Arial" w:hAnsi="Arial"/>
          <w:sz w:val="12"/>
          <w:szCs w:val="12"/>
          <w:color w:val="auto"/>
        </w:rPr>
        <w:t>employees that the Company will not allow retaliation for reports made in good faith, in each case in accordance with the Company’s Code of Conduct and Ethics and Whistleblower Policy.</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Effective as of November 7, 2022.</w:t>
      </w:r>
    </w:p>
    <w:p>
      <w:pPr>
        <w:sectPr>
          <w:pgSz w:w="11900" w:h="16838" w:orient="portrait"/>
          <w:cols w:equalWidth="0" w:num="1">
            <w:col w:w="10720"/>
          </w:cols>
          <w:pgMar w:left="300" w:top="1147" w:right="879" w:bottom="1440" w:gutter="0" w:footer="0" w:header="0"/>
        </w:sectPr>
      </w:pPr>
    </w:p>
    <w:bookmarkStart w:id="231" w:name="page232"/>
    <w:bookmarkEnd w:id="231"/>
    <w:p>
      <w:pPr>
        <w:jc w:val="right"/>
        <w:spacing w:after="0"/>
        <w:rPr>
          <w:sz w:val="20"/>
          <w:szCs w:val="20"/>
          <w:color w:val="auto"/>
        </w:rPr>
      </w:pPr>
      <w:r>
        <w:rPr>
          <w:rFonts w:ascii="Arial" w:cs="Arial" w:eastAsia="Arial" w:hAnsi="Arial"/>
          <w:sz w:val="14"/>
          <w:szCs w:val="14"/>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Lisata Therapeutics, Inc.</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720" w:type="dxa"/>
            <w:vAlign w:val="bottom"/>
          </w:tcPr>
          <w:p>
            <w:pPr>
              <w:ind w:left="2700"/>
              <w:spacing w:after="0"/>
              <w:rPr>
                <w:sz w:val="20"/>
                <w:szCs w:val="20"/>
                <w:color w:val="auto"/>
              </w:rPr>
            </w:pPr>
            <w:r>
              <w:rPr>
                <w:rFonts w:ascii="Arial" w:cs="Arial" w:eastAsia="Arial" w:hAnsi="Arial"/>
                <w:sz w:val="14"/>
                <w:szCs w:val="14"/>
                <w:color w:val="auto"/>
              </w:rPr>
              <w:t>Entity</w:t>
            </w:r>
          </w:p>
        </w:tc>
        <w:tc>
          <w:tcPr>
            <w:tcW w:w="3440" w:type="dxa"/>
            <w:vAlign w:val="bottom"/>
          </w:tcPr>
          <w:p>
            <w:pPr>
              <w:ind w:left="1660"/>
              <w:spacing w:after="0"/>
              <w:rPr>
                <w:sz w:val="20"/>
                <w:szCs w:val="20"/>
                <w:color w:val="auto"/>
              </w:rPr>
            </w:pPr>
            <w:r>
              <w:rPr>
                <w:rFonts w:ascii="Arial" w:cs="Arial" w:eastAsia="Arial" w:hAnsi="Arial"/>
                <w:sz w:val="14"/>
                <w:szCs w:val="14"/>
                <w:color w:val="auto"/>
              </w:rPr>
              <w:t>Percentage of Ownership</w:t>
            </w:r>
          </w:p>
        </w:tc>
        <w:tc>
          <w:tcPr>
            <w:tcW w:w="3080" w:type="dxa"/>
            <w:vAlign w:val="bottom"/>
          </w:tcPr>
          <w:p>
            <w:pPr>
              <w:ind w:left="1440"/>
              <w:spacing w:after="0"/>
              <w:rPr>
                <w:sz w:val="20"/>
                <w:szCs w:val="20"/>
                <w:color w:val="auto"/>
              </w:rPr>
            </w:pPr>
            <w:r>
              <w:rPr>
                <w:rFonts w:ascii="Arial" w:cs="Arial" w:eastAsia="Arial" w:hAnsi="Arial"/>
                <w:sz w:val="14"/>
                <w:szCs w:val="14"/>
                <w:color w:val="auto"/>
              </w:rPr>
              <w:t>Location</w:t>
            </w: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Amorcyte, LLC</w:t>
            </w:r>
          </w:p>
        </w:tc>
        <w:tc>
          <w:tcPr>
            <w:tcW w:w="3440" w:type="dxa"/>
            <w:vAlign w:val="bottom"/>
            <w:shd w:val="clear" w:color="auto" w:fill="CCEEFF"/>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United States of America</w:t>
            </w:r>
          </w:p>
        </w:tc>
      </w:tr>
      <w:tr>
        <w:trPr>
          <w:trHeight w:val="180"/>
        </w:trPr>
        <w:tc>
          <w:tcPr>
            <w:tcW w:w="4720" w:type="dxa"/>
            <w:vAlign w:val="bottom"/>
          </w:tcPr>
          <w:p>
            <w:pPr>
              <w:ind w:left="20"/>
              <w:spacing w:after="0"/>
              <w:rPr>
                <w:sz w:val="20"/>
                <w:szCs w:val="20"/>
                <w:color w:val="auto"/>
              </w:rPr>
            </w:pPr>
            <w:r>
              <w:rPr>
                <w:rFonts w:ascii="Arial" w:cs="Arial" w:eastAsia="Arial" w:hAnsi="Arial"/>
                <w:sz w:val="14"/>
                <w:szCs w:val="14"/>
                <w:color w:val="auto"/>
              </w:rPr>
              <w:t>Athelos Corporation (1)</w:t>
            </w:r>
          </w:p>
        </w:tc>
        <w:tc>
          <w:tcPr>
            <w:tcW w:w="3440" w:type="dxa"/>
            <w:vAlign w:val="bottom"/>
          </w:tcPr>
          <w:p>
            <w:pPr>
              <w:jc w:val="center"/>
              <w:ind w:left="1229"/>
              <w:spacing w:after="0"/>
              <w:rPr>
                <w:sz w:val="20"/>
                <w:szCs w:val="20"/>
                <w:color w:val="auto"/>
              </w:rPr>
            </w:pPr>
            <w:r>
              <w:rPr>
                <w:rFonts w:ascii="Arial" w:cs="Arial" w:eastAsia="Arial" w:hAnsi="Arial"/>
                <w:sz w:val="14"/>
                <w:szCs w:val="14"/>
                <w:color w:val="auto"/>
                <w:w w:val="92"/>
              </w:rPr>
              <w:t>99%</w:t>
            </w:r>
          </w:p>
        </w:tc>
        <w:tc>
          <w:tcPr>
            <w:tcW w:w="3080" w:type="dxa"/>
            <w:vAlign w:val="bottom"/>
          </w:tcPr>
          <w:p>
            <w:pPr>
              <w:ind w:left="320"/>
              <w:spacing w:after="0"/>
              <w:rPr>
                <w:sz w:val="20"/>
                <w:szCs w:val="20"/>
                <w:color w:val="auto"/>
              </w:rPr>
            </w:pPr>
            <w:r>
              <w:rPr>
                <w:rFonts w:ascii="Arial" w:cs="Arial" w:eastAsia="Arial" w:hAnsi="Arial"/>
                <w:sz w:val="14"/>
                <w:szCs w:val="14"/>
                <w:color w:val="auto"/>
              </w:rPr>
              <w:t>United States of America</w:t>
            </w: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Cend Therapeutics, Inc.</w:t>
            </w:r>
          </w:p>
        </w:tc>
        <w:tc>
          <w:tcPr>
            <w:tcW w:w="3440" w:type="dxa"/>
            <w:vAlign w:val="bottom"/>
            <w:shd w:val="clear" w:color="auto" w:fill="CCEEFF"/>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United States of America</w:t>
            </w:r>
          </w:p>
        </w:tc>
      </w:tr>
      <w:tr>
        <w:trPr>
          <w:trHeight w:val="180"/>
        </w:trPr>
        <w:tc>
          <w:tcPr>
            <w:tcW w:w="4720" w:type="dxa"/>
            <w:vAlign w:val="bottom"/>
          </w:tcPr>
          <w:p>
            <w:pPr>
              <w:ind w:left="20"/>
              <w:spacing w:after="0"/>
              <w:rPr>
                <w:sz w:val="20"/>
                <w:szCs w:val="20"/>
                <w:color w:val="auto"/>
              </w:rPr>
            </w:pPr>
            <w:r>
              <w:rPr>
                <w:rFonts w:ascii="Arial" w:cs="Arial" w:eastAsia="Arial" w:hAnsi="Arial"/>
                <w:sz w:val="14"/>
                <w:szCs w:val="14"/>
                <w:color w:val="auto"/>
              </w:rPr>
              <w:t>NeoStem Oncology, LLC</w:t>
            </w:r>
          </w:p>
        </w:tc>
        <w:tc>
          <w:tcPr>
            <w:tcW w:w="3440" w:type="dxa"/>
            <w:vAlign w:val="bottom"/>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tcPr>
          <w:p>
            <w:pPr>
              <w:ind w:left="320"/>
              <w:spacing w:after="0"/>
              <w:rPr>
                <w:sz w:val="20"/>
                <w:szCs w:val="20"/>
                <w:color w:val="auto"/>
              </w:rPr>
            </w:pPr>
            <w:r>
              <w:rPr>
                <w:rFonts w:ascii="Arial" w:cs="Arial" w:eastAsia="Arial" w:hAnsi="Arial"/>
                <w:sz w:val="14"/>
                <w:szCs w:val="14"/>
                <w:color w:val="auto"/>
              </w:rPr>
              <w:t>United States of America</w:t>
            </w: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Lisata Therapeutics Australia Pty Ltd</w:t>
            </w:r>
          </w:p>
        </w:tc>
        <w:tc>
          <w:tcPr>
            <w:tcW w:w="3440" w:type="dxa"/>
            <w:vAlign w:val="bottom"/>
            <w:shd w:val="clear" w:color="auto" w:fill="CCEEFF"/>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r>
      <w:tr>
        <w:trPr>
          <w:trHeight w:val="180"/>
        </w:trPr>
        <w:tc>
          <w:tcPr>
            <w:tcW w:w="4720" w:type="dxa"/>
            <w:vAlign w:val="bottom"/>
          </w:tcPr>
          <w:p>
            <w:pPr>
              <w:ind w:left="20"/>
              <w:spacing w:after="0"/>
              <w:rPr>
                <w:sz w:val="20"/>
                <w:szCs w:val="20"/>
                <w:color w:val="auto"/>
              </w:rPr>
            </w:pPr>
            <w:r>
              <w:rPr>
                <w:rFonts w:ascii="Arial" w:cs="Arial" w:eastAsia="Arial" w:hAnsi="Arial"/>
                <w:sz w:val="14"/>
                <w:szCs w:val="14"/>
                <w:color w:val="auto"/>
              </w:rPr>
              <w:t>Lisata Therapeutics Ireland Limited</w:t>
            </w:r>
          </w:p>
        </w:tc>
        <w:tc>
          <w:tcPr>
            <w:tcW w:w="3440" w:type="dxa"/>
            <w:vAlign w:val="bottom"/>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tcPr>
          <w:p>
            <w:pPr>
              <w:ind w:left="320"/>
              <w:spacing w:after="0"/>
              <w:rPr>
                <w:sz w:val="20"/>
                <w:szCs w:val="20"/>
                <w:color w:val="auto"/>
              </w:rPr>
            </w:pPr>
            <w:r>
              <w:rPr>
                <w:rFonts w:ascii="Arial" w:cs="Arial" w:eastAsia="Arial" w:hAnsi="Arial"/>
                <w:sz w:val="14"/>
                <w:szCs w:val="14"/>
                <w:color w:val="auto"/>
              </w:rPr>
              <w:t>Ireland</w:t>
            </w: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Lisata Therapeutics KK</w:t>
            </w:r>
          </w:p>
        </w:tc>
        <w:tc>
          <w:tcPr>
            <w:tcW w:w="3440" w:type="dxa"/>
            <w:vAlign w:val="bottom"/>
            <w:shd w:val="clear" w:color="auto" w:fill="CCEEFF"/>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Japan</w:t>
            </w:r>
          </w:p>
        </w:tc>
      </w:tr>
      <w:tr>
        <w:trPr>
          <w:trHeight w:val="180"/>
        </w:trPr>
        <w:tc>
          <w:tcPr>
            <w:tcW w:w="4720" w:type="dxa"/>
            <w:vAlign w:val="bottom"/>
          </w:tcPr>
          <w:p>
            <w:pPr>
              <w:ind w:left="20"/>
              <w:spacing w:after="0"/>
              <w:rPr>
                <w:sz w:val="20"/>
                <w:szCs w:val="20"/>
                <w:color w:val="auto"/>
              </w:rPr>
            </w:pPr>
            <w:r>
              <w:rPr>
                <w:rFonts w:ascii="Arial" w:cs="Arial" w:eastAsia="Arial" w:hAnsi="Arial"/>
                <w:sz w:val="14"/>
                <w:szCs w:val="14"/>
                <w:color w:val="auto"/>
              </w:rPr>
              <w:t>Lisata Therapeutics (U.K.) Limited</w:t>
            </w:r>
          </w:p>
        </w:tc>
        <w:tc>
          <w:tcPr>
            <w:tcW w:w="3440" w:type="dxa"/>
            <w:vAlign w:val="bottom"/>
          </w:tcPr>
          <w:p>
            <w:pPr>
              <w:jc w:val="center"/>
              <w:ind w:left="1249"/>
              <w:spacing w:after="0"/>
              <w:rPr>
                <w:sz w:val="20"/>
                <w:szCs w:val="20"/>
                <w:color w:val="auto"/>
              </w:rPr>
            </w:pPr>
            <w:r>
              <w:rPr>
                <w:rFonts w:ascii="Arial" w:cs="Arial" w:eastAsia="Arial" w:hAnsi="Arial"/>
                <w:sz w:val="14"/>
                <w:szCs w:val="14"/>
                <w:color w:val="auto"/>
                <w:w w:val="89"/>
              </w:rPr>
              <w:t>100%</w:t>
            </w:r>
          </w:p>
        </w:tc>
        <w:tc>
          <w:tcPr>
            <w:tcW w:w="3080" w:type="dxa"/>
            <w:vAlign w:val="bottom"/>
          </w:tcPr>
          <w:p>
            <w:pPr>
              <w:ind w:left="320"/>
              <w:spacing w:after="0"/>
              <w:rPr>
                <w:sz w:val="20"/>
                <w:szCs w:val="20"/>
                <w:color w:val="auto"/>
              </w:rPr>
            </w:pPr>
            <w:r>
              <w:rPr>
                <w:rFonts w:ascii="Arial" w:cs="Arial" w:eastAsia="Arial" w:hAnsi="Arial"/>
                <w:sz w:val="14"/>
                <w:szCs w:val="14"/>
                <w:color w:val="auto"/>
              </w:rPr>
              <w:t>United Kingdom</w:t>
            </w:r>
          </w:p>
        </w:tc>
      </w:tr>
      <w:tr>
        <w:trPr>
          <w:trHeight w:val="202"/>
        </w:trPr>
        <w:tc>
          <w:tcPr>
            <w:tcW w:w="47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(1) As of December 31, 2022, Becton Dickinson's ownership interest in Athelos Corporation was 1.0%.</w:t>
      </w:r>
    </w:p>
    <w:p>
      <w:pPr>
        <w:sectPr>
          <w:pgSz w:w="11900" w:h="16838" w:orient="portrait"/>
          <w:cols w:equalWidth="0" w:num="1">
            <w:col w:w="11280"/>
          </w:cols>
          <w:pgMar w:left="300" w:top="730"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4"/>
          <w:szCs w:val="14"/>
          <w:b w:val="1"/>
          <w:bCs w:val="1"/>
          <w:u w:val="single" w:color="auto"/>
          <w:color w:val="auto"/>
        </w:rPr>
        <w:t>Exhibit 23.1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have issued our report dated March 30, 2023, with respect to the consolidated financial statements included in the Annual Report of Lisata Therapeutics, Inc. on Form 10-K for the year ended December 31, 2022. We consent to the incorporation by reference of said report in the Registration Statements of Lisata Therapeutics, Inc. on Form S-1 (File No 333-239302), Forms S-3 (File No. 333-196702, File No. 333-210664, File No. 333-214607, File No. 333-220354, File No. 333-248100, File No. 333-252560, and File No. 333-254971) and on Forms S-8 (File No. 333-107438, File No. 333-144265, File No. 333-159282, File No. 333-162733, File No. 333-173854, File No. 333-181365, File No. 333- 184927, File No. 333-191572, File No. 333-205662, File No. 333-212202, File No. 333-215455, File No. 333-218642, File No. 333-222410, File No. 333-225743, File No. 333-225744, File No. 333-248101, File No. 333-257560, and File No. 333-267909).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/s/GRANT THORNTON LLP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March 30, 2023</w:t>
      </w:r>
    </w:p>
    <w:p>
      <w:pPr>
        <w:sectPr>
          <w:pgSz w:w="11900" w:h="16838" w:orient="portrait"/>
          <w:cols w:equalWidth="0" w:num="1">
            <w:col w:w="11280"/>
          </w:cols>
          <w:pgMar w:left="300" w:top="729"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4"/>
          <w:szCs w:val="14"/>
          <w:b w:val="1"/>
          <w:bCs w:val="1"/>
          <w:u w:val="single" w:color="auto"/>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UNDER SECTION 302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David J. Mazzo, certify that:</w:t>
      </w:r>
    </w:p>
    <w:p>
      <w:pPr>
        <w:spacing w:after="0" w:line="251" w:lineRule="exact"/>
        <w:rPr>
          <w:sz w:val="20"/>
          <w:szCs w:val="20"/>
          <w:color w:val="auto"/>
        </w:rPr>
      </w:pPr>
    </w:p>
    <w:p>
      <w:pPr>
        <w:ind w:left="660" w:hanging="146"/>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Lisata Therapeutics, Inc.;</w:t>
      </w:r>
    </w:p>
    <w:p>
      <w:pPr>
        <w:spacing w:after="0" w:line="81" w:lineRule="exact"/>
        <w:rPr>
          <w:rFonts w:ascii="Arial" w:cs="Arial" w:eastAsia="Arial" w:hAnsi="Arial"/>
          <w:sz w:val="16"/>
          <w:szCs w:val="16"/>
          <w:color w:val="auto"/>
        </w:rPr>
      </w:pPr>
    </w:p>
    <w:p>
      <w:pPr>
        <w:ind w:firstLine="514"/>
        <w:spacing w:after="0" w:line="265" w:lineRule="auto"/>
        <w:tabs>
          <w:tab w:leader="none" w:pos="6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6"/>
          <w:szCs w:val="16"/>
          <w:color w:val="auto"/>
        </w:rPr>
      </w:pPr>
    </w:p>
    <w:p>
      <w:pPr>
        <w:ind w:firstLine="514"/>
        <w:spacing w:after="0" w:line="265" w:lineRule="auto"/>
        <w:tabs>
          <w:tab w:leader="none" w:pos="67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6"/>
          <w:szCs w:val="16"/>
          <w:color w:val="auto"/>
        </w:rPr>
      </w:pPr>
    </w:p>
    <w:p>
      <w:pPr>
        <w:ind w:left="680" w:hanging="166"/>
        <w:spacing w:after="0"/>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79" w:lineRule="exact"/>
        <w:rPr>
          <w:rFonts w:ascii="Arial" w:cs="Arial" w:eastAsia="Arial" w:hAnsi="Arial"/>
          <w:sz w:val="14"/>
          <w:szCs w:val="14"/>
          <w:color w:val="auto"/>
        </w:rPr>
      </w:pPr>
    </w:p>
    <w:p>
      <w:pPr>
        <w:jc w:val="both"/>
        <w:ind w:firstLine="721"/>
        <w:spacing w:after="0" w:line="250" w:lineRule="auto"/>
        <w:tabs>
          <w:tab w:leader="none" w:pos="888" w:val="left"/>
        </w:tabs>
        <w:numPr>
          <w:ilvl w:val="3"/>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6"/>
          <w:szCs w:val="16"/>
          <w:color w:val="auto"/>
        </w:rPr>
      </w:pPr>
    </w:p>
    <w:p>
      <w:pPr>
        <w:jc w:val="both"/>
        <w:ind w:firstLine="746"/>
        <w:spacing w:after="0" w:line="250" w:lineRule="auto"/>
        <w:tabs>
          <w:tab w:leader="none" w:pos="929" w:val="left"/>
        </w:tabs>
        <w:numPr>
          <w:ilvl w:val="4"/>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6"/>
          <w:szCs w:val="16"/>
          <w:color w:val="auto"/>
        </w:rPr>
      </w:pPr>
    </w:p>
    <w:p>
      <w:pPr>
        <w:ind w:firstLine="696"/>
        <w:spacing w:after="0" w:line="265" w:lineRule="auto"/>
        <w:tabs>
          <w:tab w:leader="none" w:pos="858" w:val="left"/>
        </w:tabs>
        <w:numPr>
          <w:ilvl w:val="2"/>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6"/>
          <w:szCs w:val="16"/>
          <w:color w:val="auto"/>
        </w:rPr>
      </w:pPr>
    </w:p>
    <w:p>
      <w:pPr>
        <w:jc w:val="both"/>
        <w:ind w:firstLine="747"/>
        <w:spacing w:after="0" w:line="250" w:lineRule="auto"/>
        <w:tabs>
          <w:tab w:leader="none" w:pos="930" w:val="left"/>
        </w:tabs>
        <w:numPr>
          <w:ilvl w:val="4"/>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6"/>
          <w:szCs w:val="16"/>
          <w:color w:val="auto"/>
        </w:rPr>
      </w:pPr>
    </w:p>
    <w:p>
      <w:pPr>
        <w:ind w:firstLine="514"/>
        <w:spacing w:after="0" w:line="265" w:lineRule="auto"/>
        <w:tabs>
          <w:tab w:leader="none" w:pos="66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6"/>
          <w:szCs w:val="16"/>
          <w:color w:val="auto"/>
        </w:rPr>
      </w:pPr>
    </w:p>
    <w:p>
      <w:pPr>
        <w:ind w:firstLine="670"/>
        <w:spacing w:after="0" w:line="265" w:lineRule="auto"/>
        <w:tabs>
          <w:tab w:leader="none" w:pos="824"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6"/>
          <w:szCs w:val="16"/>
          <w:color w:val="auto"/>
        </w:rPr>
      </w:pPr>
    </w:p>
    <w:p>
      <w:pPr>
        <w:ind w:left="940" w:hanging="185"/>
        <w:spacing w:after="0"/>
        <w:tabs>
          <w:tab w:leader="none" w:pos="940" w:val="left"/>
        </w:tabs>
        <w:numPr>
          <w:ilvl w:val="4"/>
          <w:numId w:val="8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reporting.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David J. Mazzo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 Principal Financial Officer and Principal Accounting Officer</w:t>
      </w:r>
      <w:r>
        <w:rPr>
          <w:rFonts w:ascii="Arial" w:cs="Arial" w:eastAsia="Arial" w:hAnsi="Arial"/>
          <w:sz w:val="14"/>
          <w:szCs w:val="14"/>
          <w:color w:val="auto"/>
        </w:rPr>
        <w:t>)</w:t>
      </w:r>
    </w:p>
    <w:p>
      <w:pPr>
        <w:sectPr>
          <w:pgSz w:w="11900" w:h="16838" w:orient="portrait"/>
          <w:cols w:equalWidth="0" w:num="1">
            <w:col w:w="11280"/>
          </w:cols>
          <w:pgMar w:left="300" w:top="729"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4"/>
          <w:szCs w:val="14"/>
          <w:b w:val="1"/>
          <w:bCs w:val="1"/>
          <w:u w:val="single" w:color="auto"/>
          <w:color w:val="auto"/>
        </w:rPr>
        <w:t>Exhibit 32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UNDER SECTION 906</w:t>
      </w:r>
    </w:p>
    <w:p>
      <w:pPr>
        <w:spacing w:after="0" w:line="255" w:lineRule="exact"/>
        <w:rPr>
          <w:sz w:val="20"/>
          <w:szCs w:val="20"/>
          <w:color w:val="auto"/>
        </w:rPr>
      </w:pPr>
    </w:p>
    <w:p>
      <w:pPr>
        <w:ind w:firstLine="212"/>
        <w:spacing w:after="0" w:line="300" w:lineRule="auto"/>
        <w:rPr>
          <w:sz w:val="20"/>
          <w:szCs w:val="20"/>
          <w:color w:val="auto"/>
        </w:rPr>
      </w:pPr>
      <w:r>
        <w:rPr>
          <w:rFonts w:ascii="Arial" w:cs="Arial" w:eastAsia="Arial" w:hAnsi="Arial"/>
          <w:sz w:val="14"/>
          <w:szCs w:val="14"/>
          <w:color w:val="auto"/>
        </w:rPr>
        <w:t xml:space="preserve">Pursuant to section 906 of the Sarbanes-Oxley Act of 2002 (subsections (a) and (b) of section 1350, chapter 63 of title 18, United States Code), each of the undersigned officers of </w:t>
      </w:r>
      <w:r>
        <w:rPr>
          <w:rFonts w:ascii="Arial" w:cs="Arial" w:eastAsia="Arial" w:hAnsi="Arial"/>
          <w:sz w:val="15"/>
          <w:szCs w:val="15"/>
          <w:color w:val="auto"/>
        </w:rPr>
        <w:t>Lisata</w:t>
      </w:r>
      <w:r>
        <w:rPr>
          <w:rFonts w:ascii="Arial" w:cs="Arial" w:eastAsia="Arial" w:hAnsi="Arial"/>
          <w:sz w:val="14"/>
          <w:szCs w:val="14"/>
          <w:color w:val="auto"/>
        </w:rPr>
        <w:t xml:space="preserve"> </w:t>
      </w:r>
      <w:r>
        <w:rPr>
          <w:rFonts w:ascii="Arial" w:cs="Arial" w:eastAsia="Arial" w:hAnsi="Arial"/>
          <w:sz w:val="15"/>
          <w:szCs w:val="15"/>
          <w:color w:val="auto"/>
        </w:rPr>
        <w:t xml:space="preserve">Therapeutics, Inc., </w:t>
      </w:r>
      <w:r>
        <w:rPr>
          <w:rFonts w:ascii="Arial" w:cs="Arial" w:eastAsia="Arial" w:hAnsi="Arial"/>
          <w:sz w:val="14"/>
          <w:szCs w:val="14"/>
          <w:color w:val="auto"/>
        </w:rPr>
        <w:t>a Delaware corporation (the “Company”), does hereby certify, to such officer’s knowledge, that:</w:t>
      </w:r>
    </w:p>
    <w:p>
      <w:pPr>
        <w:spacing w:after="0" w:line="232" w:lineRule="exact"/>
        <w:rPr>
          <w:sz w:val="20"/>
          <w:szCs w:val="20"/>
          <w:color w:val="auto"/>
        </w:rPr>
      </w:pPr>
    </w:p>
    <w:p>
      <w:pPr>
        <w:ind w:firstLine="173"/>
        <w:spacing w:after="0" w:line="281" w:lineRule="auto"/>
        <w:rPr>
          <w:sz w:val="20"/>
          <w:szCs w:val="20"/>
          <w:color w:val="auto"/>
        </w:rPr>
      </w:pPr>
      <w:r>
        <w:rPr>
          <w:rFonts w:ascii="Arial" w:cs="Arial" w:eastAsia="Arial" w:hAnsi="Arial"/>
          <w:sz w:val="14"/>
          <w:szCs w:val="14"/>
          <w:color w:val="auto"/>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Arial" w:cs="Arial" w:eastAsia="Arial" w:hAnsi="Arial"/>
                <w:sz w:val="14"/>
                <w:szCs w:val="14"/>
                <w:color w:val="auto"/>
              </w:rPr>
              <w:t>Dated: March 30, 2023</w:t>
            </w:r>
          </w:p>
        </w:tc>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 David J. Mazzo</w:t>
            </w:r>
          </w:p>
        </w:tc>
        <w:tc>
          <w:tcPr>
            <w:tcW w:w="364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4700" w:type="dxa"/>
            <w:vAlign w:val="bottom"/>
            <w:gridSpan w:val="2"/>
          </w:tcPr>
          <w:p>
            <w:pPr>
              <w:spacing w:after="0"/>
              <w:rPr>
                <w:sz w:val="20"/>
                <w:szCs w:val="20"/>
                <w:color w:val="auto"/>
              </w:rPr>
            </w:pPr>
            <w:r>
              <w:rPr>
                <w:rFonts w:ascii="Arial" w:cs="Arial" w:eastAsia="Arial" w:hAnsi="Arial"/>
                <w:sz w:val="14"/>
                <w:szCs w:val="14"/>
                <w:color w:val="auto"/>
              </w:rPr>
              <w:t>David J. Mazzo, PhD</w:t>
            </w:r>
          </w:p>
        </w:tc>
      </w:tr>
      <w:tr>
        <w:trPr>
          <w:trHeight w:val="180"/>
        </w:trPr>
        <w:tc>
          <w:tcPr>
            <w:tcW w:w="462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Arial" w:cs="Arial" w:eastAsia="Arial" w:hAnsi="Arial"/>
                <w:sz w:val="14"/>
                <w:szCs w:val="14"/>
                <w:color w:val="auto"/>
              </w:rPr>
              <w:t>Chief Executive Officer</w:t>
            </w:r>
          </w:p>
        </w:tc>
      </w:tr>
      <w:tr>
        <w:trPr>
          <w:trHeight w:val="138"/>
        </w:trPr>
        <w:tc>
          <w:tcPr>
            <w:tcW w:w="4620" w:type="dxa"/>
            <w:vAlign w:val="bottom"/>
          </w:tcPr>
          <w:p>
            <w:pPr>
              <w:spacing w:after="0"/>
              <w:rPr>
                <w:sz w:val="12"/>
                <w:szCs w:val="12"/>
                <w:color w:val="auto"/>
              </w:rPr>
            </w:pPr>
          </w:p>
        </w:tc>
        <w:tc>
          <w:tcPr>
            <w:tcW w:w="4700" w:type="dxa"/>
            <w:vAlign w:val="bottom"/>
            <w:gridSpan w:val="2"/>
          </w:tcPr>
          <w:p>
            <w:pPr>
              <w:spacing w:after="0" w:line="139" w:lineRule="exact"/>
              <w:rPr>
                <w:sz w:val="20"/>
                <w:szCs w:val="20"/>
                <w:color w:val="auto"/>
              </w:rPr>
            </w:pPr>
            <w:r>
              <w:rPr>
                <w:rFonts w:ascii="Arial" w:cs="Arial" w:eastAsia="Arial" w:hAnsi="Arial"/>
                <w:sz w:val="14"/>
                <w:szCs w:val="14"/>
                <w:color w:val="auto"/>
                <w:w w:val="95"/>
              </w:rPr>
              <w:t>(</w:t>
            </w:r>
            <w:r>
              <w:rPr>
                <w:rFonts w:ascii="Arial" w:cs="Arial" w:eastAsia="Arial" w:hAnsi="Arial"/>
                <w:sz w:val="14"/>
                <w:szCs w:val="14"/>
                <w:i w:val="1"/>
                <w:iCs w:val="1"/>
                <w:color w:val="auto"/>
                <w:w w:val="95"/>
              </w:rPr>
              <w:t>Principal Executive Officer, Principal Financial Officer and Principal Accounting</w:t>
            </w:r>
          </w:p>
        </w:tc>
      </w:tr>
      <w:tr>
        <w:trPr>
          <w:trHeight w:val="180"/>
        </w:trPr>
        <w:tc>
          <w:tcPr>
            <w:tcW w:w="462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14"/>
                <w:szCs w:val="14"/>
                <w:color w:val="auto"/>
              </w:rPr>
              <w:t>)</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lowerLetter"/>
      <w:start w:val="1"/>
    </w:lvl>
  </w:abstractNum>
  <w:abstractNum w:abstractNumId="5">
    <w:nsid w:val="1D4ED43B"/>
    <w:multiLevelType w:val="hybridMultilevel"/>
    <w:lvl w:ilvl="0">
      <w:lvlJc w:val="left"/>
      <w:lvlText w:val="%1."/>
      <w:numFmt w:val="lowerLetter"/>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endash "/>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lvl w:ilvl="1">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lowerLetter"/>
      <w:start w:val="3"/>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upperLetter"/>
      <w:start w:val="9"/>
    </w:lvl>
  </w:abstractNum>
  <w:abstractNum w:abstractNumId="65">
    <w:nsid w:val="661E3F1E"/>
    <w:multiLevelType w:val="hybridMultilevel"/>
    <w:lvl w:ilvl="0">
      <w:lvlJc w:val="left"/>
      <w:lvlText w:val="%1."/>
      <w:numFmt w:val="upperLetter"/>
      <w:start w:val="35"/>
    </w:lvl>
  </w:abstractNum>
  <w:abstractNum w:abstractNumId="66">
    <w:nsid w:val="5DC79EA8"/>
    <w:multiLevelType w:val="hybridMultilevel"/>
    <w:lvl w:ilvl="0">
      <w:lvlJc w:val="left"/>
      <w:lvlText w:val="%1."/>
      <w:numFmt w:val="upperLetter"/>
      <w:start w:val="61"/>
    </w:lvl>
  </w:abstractNum>
  <w:abstractNum w:abstractNumId="67">
    <w:nsid w:val="540A471C"/>
    <w:multiLevelType w:val="hybridMultilevel"/>
    <w:lvl w:ilvl="0">
      <w:lvlJc w:val="left"/>
      <w:lvlText w:val="(%1)"/>
      <w:numFmt w:val="lowerRoman"/>
      <w:start w:val="4"/>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upperLetter"/>
      <w:start w:val="1"/>
    </w:lvl>
    <w:lvl w:ilvl="1">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upperLetter"/>
      <w:start w:val="24"/>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upperLetter"/>
      <w:start w:val="35"/>
    </w:lvl>
  </w:abstractNum>
  <w:abstractNum w:abstractNumId="74">
    <w:nsid w:val="A0382C5"/>
    <w:multiLevelType w:val="hybridMultilevel"/>
    <w:lvl w:ilvl="0">
      <w:lvlJc w:val="left"/>
      <w:lvlText w:val="%1"/>
      <w:numFmt w:val="upperLetter"/>
      <w:start w:val="1"/>
    </w:lvl>
    <w:lvl w:ilvl="1">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2"/>
    </w:lvl>
  </w:abstractNum>
  <w:abstractNum w:abstractNumId="79">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80">
    <w:nsid w:val="60B6DF7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jpeg"/><Relationship Id="rId121" Type="http://schemas.openxmlformats.org/officeDocument/2006/relationships/hyperlink" Target="http://www.sec.gov/Archives/edgar/data/320017/000114036122033411/brhc10041800_ex3-1.htm" TargetMode="External"/><Relationship Id="rId122" Type="http://schemas.openxmlformats.org/officeDocument/2006/relationships/hyperlink" Target="http://www.sec.gov/Archives/edgar/data/320017/000114036122033411/brhc10041800_ex3-2.htm" TargetMode="External"/><Relationship Id="rId123" Type="http://schemas.openxmlformats.org/officeDocument/2006/relationships/hyperlink" Target="http://www.sec.gov/Archives/edgar/data/320017/000032001716000143/exhibit31arcertofincorpeff.htm" TargetMode="External"/><Relationship Id="rId124" Type="http://schemas.openxmlformats.org/officeDocument/2006/relationships/hyperlink" Target="http://www.sec.gov/Archives/edgar/data/320017/000032001716000143/exhibit32arbylawseff072720.htm" TargetMode="External"/><Relationship Id="rId125" Type="http://schemas.openxmlformats.org/officeDocument/2006/relationships/hyperlink" Target="http://www.sec.gov/Archives/edgar/data/320017/000032001717000082/exhibit31092017.htm" TargetMode="External"/><Relationship Id="rId126" Type="http://schemas.openxmlformats.org/officeDocument/2006/relationships/hyperlink" Target="http://www.sec.gov/Archives/edgar/data/320017/000032001721000043/exh432020.htm" TargetMode="External"/><Relationship Id="rId127" Type="http://schemas.openxmlformats.org/officeDocument/2006/relationships/hyperlink" Target="http://www.sec.gov/Archives/edgar/data/320017/000032001720000022/ex41.htm" TargetMode="External"/><Relationship Id="rId128" Type="http://schemas.openxmlformats.org/officeDocument/2006/relationships/hyperlink" Target="http://www.sec.gov/Archives/edgar/data/320017/000032001720000039/ex41.htm" TargetMode="External"/><Relationship Id="rId129" Type="http://schemas.openxmlformats.org/officeDocument/2006/relationships/hyperlink" Target="http://www.sec.gov/Archives/edgar/data/320017/000032001720000060/pipe20200710ex41.htm" TargetMode="External"/><Relationship Id="rId130" Type="http://schemas.openxmlformats.org/officeDocument/2006/relationships/hyperlink" Target="http://www.sec.gov/Archives/edgar/data/320017/000032001721000006/a20210121ex41formofwarrant.htm" TargetMode="External"/><Relationship Id="rId131" Type="http://schemas.openxmlformats.org/officeDocument/2006/relationships/hyperlink" Target="http://www.sec.gov/Archives/edgar/data/320017/000032001718000031/def14a-2018.htm" TargetMode="External"/><Relationship Id="rId134" Type="http://schemas.openxmlformats.org/officeDocument/2006/relationships/hyperlink" Target="http://www.sec.gov/Archives/edgar/data/320017/000114036122033411/brhc10041800_ex10-2.htm" TargetMode="External"/><Relationship Id="rId135" Type="http://schemas.openxmlformats.org/officeDocument/2006/relationships/hyperlink" Target="http://www.sec.gov/Archives/edgar/data/320017/000032001715000002/exhibit102dm.htm" TargetMode="External"/><Relationship Id="rId136" Type="http://schemas.openxmlformats.org/officeDocument/2006/relationships/hyperlink" Target="http://www.sec.gov/Archives/edgar/data/320017/000032001715000008/exh102dm.htm" TargetMode="External"/><Relationship Id="rId137" Type="http://schemas.openxmlformats.org/officeDocument/2006/relationships/hyperlink" Target="http://www.sec.gov/Archives/edgar/data/320017/000032001716000143/exhibit101djmamendment.htm" TargetMode="External"/><Relationship Id="rId138" Type="http://schemas.openxmlformats.org/officeDocument/2006/relationships/hyperlink" Target="http://www.sec.gov/Archives/edgar/data/320017/000032001717000082/exhibit101amendedemploymen.htm" TargetMode="External"/><Relationship Id="rId139" Type="http://schemas.openxmlformats.org/officeDocument/2006/relationships/hyperlink" Target="http://www.sec.gov/Archives/edgar/data/320017/000114420418063631/tv508609_ex10-1.htm" TargetMode="External"/><Relationship Id="rId140" Type="http://schemas.openxmlformats.org/officeDocument/2006/relationships/hyperlink" Target="http://www.sec.gov/Archives/edgar/data/320017/000032001721000046/ex101to8-kcomplete.htm" TargetMode="External"/><Relationship Id="rId141" Type="http://schemas.openxmlformats.org/officeDocument/2006/relationships/hyperlink" Target="http://www.sec.gov/Archives/edgar/data/320017/000114036122033411/brhc10041800_ex10-1.htm" TargetMode="External"/><Relationship Id="rId142" Type="http://schemas.openxmlformats.org/officeDocument/2006/relationships/hyperlink" Target="http://www.sec.gov/Archives/edgar/data/320017/000032001720000022/ex101.htm" TargetMode="External"/><Relationship Id="rId143" Type="http://schemas.openxmlformats.org/officeDocument/2006/relationships/hyperlink" Target="http://www.sec.gov/Archives/edgar/data/320017/000032001720000039/ex102.htm" TargetMode="External"/><Relationship Id="rId144" Type="http://schemas.openxmlformats.org/officeDocument/2006/relationships/hyperlink" Target="http://www.sec.gov/Archives/edgar/data/320017/000032001720000039/ex101.htm" TargetMode="External"/><Relationship Id="rId145" Type="http://schemas.openxmlformats.org/officeDocument/2006/relationships/hyperlink" Target="http://www.sec.gov/Archives/edgar/data/320017/000032001720000060/pipe20200710ex101.htm" TargetMode="External"/><Relationship Id="rId146" Type="http://schemas.openxmlformats.org/officeDocument/2006/relationships/hyperlink" Target="http://www.sec.gov/Archives/edgar/data/320017/000032001720000060/pipe20200710ex102.htm" TargetMode="External"/><Relationship Id="rId147" Type="http://schemas.openxmlformats.org/officeDocument/2006/relationships/hyperlink" Target="http://www.sec.gov/Archives/edgar/data/320017/000032001721000006/a20210121ex101formofsecpur.htm" TargetMode="External"/><Relationship Id="rId148" Type="http://schemas.openxmlformats.org/officeDocument/2006/relationships/hyperlink" Target="http://www.sec.gov/Archives/edgar/data/320017/000032001721000006/a20210121ex102formofregrts.htm" TargetMode="External"/><Relationship Id="rId149" Type="http://schemas.openxmlformats.org/officeDocument/2006/relationships/hyperlink" Target="http://www.sec.gov/Archives/edgar/data/320017/000032001721000032/exhibit10120210212.htm" TargetMode="External"/><Relationship Id="rId152" Type="http://schemas.openxmlformats.org/officeDocument/2006/relationships/hyperlink" Target="http://www.sec.gov/Archives/edgar/data/320017/000032001721000032/exhibit10220210212.htm" TargetMode="External"/><Relationship Id="rId153" Type="http://schemas.openxmlformats.org/officeDocument/2006/relationships/hyperlink" Target="http://www.sec.gov/Archives/edgar/data/320017/000032001721000032/exhibit103hcw424b5202102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2023-03-30T15:54:47Z</dcterms:created>
  <dcterms:modified xsi:type="dcterms:W3CDTF">2023-03-30T15:54:47Z</dcterms:modified>
</cp:coreProperties>
</file>